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6363" w:tblpY="710"/>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96"/>
      </w:tblGrid>
      <w:tr w:rsidR="00A139D0" w:rsidRPr="006B2C10" w:rsidTr="00893F7D">
        <w:trPr>
          <w:cantSplit/>
          <w:trHeight w:hRule="exact" w:val="312"/>
        </w:trPr>
        <w:tc>
          <w:tcPr>
            <w:tcW w:w="2366" w:type="dxa"/>
            <w:tcMar>
              <w:left w:w="0" w:type="dxa"/>
              <w:right w:w="0" w:type="dxa"/>
            </w:tcMar>
          </w:tcPr>
          <w:p w:rsidR="005A266A" w:rsidRPr="006B2C10" w:rsidRDefault="0073556F" w:rsidP="00893F7D">
            <w:pPr>
              <w:rPr>
                <w:b/>
                <w:bCs/>
                <w:lang w:val="fi-FI"/>
              </w:rPr>
            </w:pPr>
            <w:r>
              <w:rPr>
                <w:b/>
                <w:bCs/>
                <w:lang w:val="fi-FI"/>
              </w:rPr>
              <w:t>Memorandum</w:t>
            </w: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p w:rsidR="00A139D0" w:rsidRPr="006B2C10" w:rsidRDefault="00865B97" w:rsidP="00893F7D">
            <w:pPr>
              <w:rPr>
                <w:lang w:val="fi-FI"/>
              </w:rPr>
            </w:pPr>
            <w:r>
              <w:rPr>
                <w:lang w:val="fi-FI"/>
              </w:rPr>
              <w:t>Esko Hyvärinen</w:t>
            </w: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p w:rsidR="00A139D0" w:rsidRPr="006B2C10" w:rsidRDefault="00865B97" w:rsidP="00893F7D">
            <w:pPr>
              <w:rPr>
                <w:lang w:val="fi-FI"/>
              </w:rPr>
            </w:pPr>
            <w:r>
              <w:rPr>
                <w:lang w:val="fi-FI"/>
              </w:rPr>
              <w:t>LYMO/LUMO</w:t>
            </w: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sdt>
            <w:sdtPr>
              <w:rPr>
                <w:rFonts w:eastAsiaTheme="majorEastAsia"/>
              </w:rPr>
              <w:id w:val="1501084050"/>
              <w:placeholder>
                <w:docPart w:val="D22E389251484B1E8CE0C32FBD044DE6"/>
              </w:placeholder>
              <w:dataBinding w:prefixMappings="xmlns:ns0='http://schemas.microsoft.com/office/2006/coverPageProps'" w:xpath="/ns0:CoverPageProperties[1]/ns0:PublishDate[1]" w:storeItemID="{55AF091B-3C7A-41E3-B477-F2FDAA23CFDA}"/>
              <w:date w:fullDate="2021-03-24T00:00:00Z">
                <w:dateFormat w:val="d.M.yyyy"/>
                <w:lid w:val="fi-FI"/>
                <w:storeMappedDataAs w:val="dateTime"/>
                <w:calendar w:val="gregorian"/>
              </w:date>
            </w:sdtPr>
            <w:sdtEndPr/>
            <w:sdtContent>
              <w:p w:rsidR="00893F7D" w:rsidRDefault="005F5014" w:rsidP="00167DCA">
                <w:pPr>
                  <w:rPr>
                    <w:rFonts w:eastAsiaTheme="majorEastAsia"/>
                  </w:rPr>
                </w:pPr>
                <w:r>
                  <w:rPr>
                    <w:rFonts w:eastAsiaTheme="majorEastAsia"/>
                    <w:lang w:val="fi-FI"/>
                  </w:rPr>
                  <w:t>24.3.2021</w:t>
                </w:r>
              </w:p>
            </w:sdtContent>
          </w:sdt>
          <w:p w:rsidR="00A139D0" w:rsidRPr="006B2C10" w:rsidRDefault="00A139D0" w:rsidP="00893F7D">
            <w:pPr>
              <w:rPr>
                <w:rFonts w:eastAsiaTheme="majorEastAsia"/>
                <w:lang w:val="fi-FI"/>
              </w:rPr>
            </w:pPr>
          </w:p>
        </w:tc>
        <w:tc>
          <w:tcPr>
            <w:tcW w:w="2596" w:type="dxa"/>
            <w:tcMar>
              <w:left w:w="0" w:type="dxa"/>
              <w:right w:w="0" w:type="dxa"/>
            </w:tcMar>
          </w:tcPr>
          <w:p w:rsidR="00A139D0" w:rsidRPr="006B2C10" w:rsidRDefault="005F5014" w:rsidP="00043B13">
            <w:pPr>
              <w:rPr>
                <w:lang w:val="fi-FI"/>
              </w:rPr>
            </w:pPr>
            <w:r>
              <w:rPr>
                <w:lang w:val="fi-FI"/>
              </w:rPr>
              <w:t>VN/7521/2021</w:t>
            </w:r>
          </w:p>
        </w:tc>
      </w:tr>
    </w:tbl>
    <w:p w:rsidR="00606D23" w:rsidRPr="0073556F" w:rsidRDefault="0073556F" w:rsidP="009845E6">
      <w:pPr>
        <w:pStyle w:val="Leipteksti"/>
        <w:rPr>
          <w:lang w:val="sv-SE"/>
        </w:rPr>
      </w:pPr>
      <w:r w:rsidRPr="006C5CA9">
        <w:rPr>
          <w:lang w:val="sv-FI"/>
        </w:rPr>
        <w:t>STATSRÅDETS FÖRORDNING OM ÄNDRING AV NATURVÅRDSFÖRORDNING</w:t>
      </w:r>
      <w:r>
        <w:rPr>
          <w:lang w:val="sv-FI"/>
        </w:rPr>
        <w:t>EN</w:t>
      </w:r>
      <w:r w:rsidRPr="006C5CA9">
        <w:rPr>
          <w:lang w:val="sv-FI"/>
        </w:rPr>
        <w:t xml:space="preserve"> (160/1997)</w:t>
      </w:r>
      <w:r w:rsidR="00606D23" w:rsidRPr="0073556F">
        <w:rPr>
          <w:lang w:val="sv-SE"/>
        </w:rPr>
        <w:t xml:space="preserve"> </w:t>
      </w:r>
    </w:p>
    <w:p w:rsidR="00B1395A" w:rsidRPr="0073556F" w:rsidRDefault="00B1395A" w:rsidP="009845E6">
      <w:pPr>
        <w:pStyle w:val="Leipteksti"/>
        <w:rPr>
          <w:lang w:val="sv-SE"/>
        </w:rPr>
      </w:pPr>
    </w:p>
    <w:p w:rsidR="004138F7" w:rsidRPr="00746F36" w:rsidRDefault="004138F7" w:rsidP="004138F7">
      <w:pPr>
        <w:pStyle w:val="Leipteksti"/>
        <w:rPr>
          <w:lang w:val="sv-FI"/>
        </w:rPr>
      </w:pPr>
      <w:r w:rsidRPr="00746F36">
        <w:rPr>
          <w:lang w:val="sv-FI"/>
        </w:rPr>
        <w:t>1 Inledning</w:t>
      </w:r>
    </w:p>
    <w:p w:rsidR="004138F7" w:rsidRPr="00C67D2C" w:rsidRDefault="004138F7" w:rsidP="004138F7">
      <w:pPr>
        <w:pStyle w:val="Leipteksti"/>
        <w:rPr>
          <w:lang w:val="sv-FI"/>
        </w:rPr>
      </w:pPr>
      <w:r w:rsidRPr="006C5CA9">
        <w:rPr>
          <w:lang w:val="sv-FI"/>
        </w:rPr>
        <w:t xml:space="preserve">Syftet med förslaget är att företa behövliga ändringar i naturvårdsförordningens bilagor. I bilagorna till förordningen ingår förteckningar över fiskarter på vilka naturvårdslagen (1096/1996) tillämpas (bilaga 1), andra djurarter än däggdjur och fåglar som är fridlysta i hela landet och en del av landet (bilagorna 2(a) och (b)), </w:t>
      </w:r>
      <w:r>
        <w:rPr>
          <w:lang w:val="sv-FI"/>
        </w:rPr>
        <w:t>växtarter som är fridlysta i hela landet och en del av landet</w:t>
      </w:r>
      <w:r w:rsidRPr="006C5CA9">
        <w:rPr>
          <w:lang w:val="sv-FI"/>
        </w:rPr>
        <w:t xml:space="preserve"> (</w:t>
      </w:r>
      <w:r>
        <w:rPr>
          <w:lang w:val="sv-FI"/>
        </w:rPr>
        <w:t>bilagorna</w:t>
      </w:r>
      <w:r w:rsidRPr="006C5CA9">
        <w:rPr>
          <w:lang w:val="sv-FI"/>
        </w:rPr>
        <w:t xml:space="preserve"> 3(a), (b) </w:t>
      </w:r>
      <w:r>
        <w:rPr>
          <w:lang w:val="sv-FI"/>
        </w:rPr>
        <w:t>och</w:t>
      </w:r>
      <w:r w:rsidRPr="006C5CA9">
        <w:rPr>
          <w:lang w:val="sv-FI"/>
        </w:rPr>
        <w:t xml:space="preserve"> (c)), </w:t>
      </w:r>
      <w:r>
        <w:rPr>
          <w:lang w:val="sv-FI"/>
        </w:rPr>
        <w:t>hotade arter och arter som kräver särskilt skydd</w:t>
      </w:r>
      <w:r w:rsidRPr="006C5CA9">
        <w:rPr>
          <w:lang w:val="sv-FI"/>
        </w:rPr>
        <w:t xml:space="preserve"> (</w:t>
      </w:r>
      <w:r>
        <w:rPr>
          <w:lang w:val="sv-FI"/>
        </w:rPr>
        <w:t>bilaga</w:t>
      </w:r>
      <w:r w:rsidRPr="006C5CA9">
        <w:rPr>
          <w:lang w:val="sv-FI"/>
        </w:rPr>
        <w:t xml:space="preserve"> 4), s</w:t>
      </w:r>
      <w:r>
        <w:rPr>
          <w:lang w:val="sv-FI"/>
        </w:rPr>
        <w:t>amt de i bilaga</w:t>
      </w:r>
      <w:r w:rsidRPr="00C67D2C">
        <w:rPr>
          <w:lang w:val="sv-FI"/>
        </w:rPr>
        <w:t xml:space="preserve"> IV a </w:t>
      </w:r>
      <w:r>
        <w:rPr>
          <w:lang w:val="sv-FI"/>
        </w:rPr>
        <w:t xml:space="preserve">till rådets direktiv </w:t>
      </w:r>
      <w:r w:rsidRPr="00C67D2C">
        <w:rPr>
          <w:lang w:val="sv-FI"/>
        </w:rPr>
        <w:t xml:space="preserve">om bevarande av livsmiljöer samt vilda djur och växter </w:t>
      </w:r>
      <w:r>
        <w:rPr>
          <w:lang w:val="sv-FI"/>
        </w:rPr>
        <w:t>(92/43/EEG) nämnda djurarter som förekommer i Finland</w:t>
      </w:r>
      <w:r w:rsidRPr="006C5CA9">
        <w:rPr>
          <w:lang w:val="sv-FI"/>
        </w:rPr>
        <w:t xml:space="preserve"> (</w:t>
      </w:r>
      <w:r>
        <w:rPr>
          <w:lang w:val="sv-FI"/>
        </w:rPr>
        <w:t>bilaga</w:t>
      </w:r>
      <w:r w:rsidRPr="006C5CA9">
        <w:rPr>
          <w:lang w:val="sv-FI"/>
        </w:rPr>
        <w:t xml:space="preserve"> 5). </w:t>
      </w:r>
      <w:r>
        <w:rPr>
          <w:lang w:val="sv-FI"/>
        </w:rPr>
        <w:t>Det föreslås att bilagorna</w:t>
      </w:r>
      <w:r w:rsidRPr="00C67D2C">
        <w:rPr>
          <w:lang w:val="sv-FI"/>
        </w:rPr>
        <w:t xml:space="preserve"> 1, 4 och 5 ändras och uppd</w:t>
      </w:r>
      <w:r>
        <w:rPr>
          <w:lang w:val="sv-FI"/>
        </w:rPr>
        <w:t>ateras</w:t>
      </w:r>
      <w:r w:rsidRPr="00C67D2C">
        <w:rPr>
          <w:lang w:val="sv-FI"/>
        </w:rPr>
        <w:t>. I fråga om bilagorna 2 och 3 föreslås endast att artnamn uppdater</w:t>
      </w:r>
      <w:r>
        <w:rPr>
          <w:lang w:val="sv-FI"/>
        </w:rPr>
        <w:t>as</w:t>
      </w:r>
      <w:r w:rsidRPr="00C67D2C">
        <w:rPr>
          <w:lang w:val="sv-FI"/>
        </w:rPr>
        <w:t>.</w:t>
      </w:r>
    </w:p>
    <w:p w:rsidR="004138F7" w:rsidRDefault="004138F7" w:rsidP="004138F7">
      <w:pPr>
        <w:pStyle w:val="Leipteksti"/>
        <w:rPr>
          <w:lang w:val="sv-FI"/>
        </w:rPr>
      </w:pPr>
    </w:p>
    <w:p w:rsidR="004138F7" w:rsidRPr="00346864" w:rsidRDefault="004138F7" w:rsidP="004138F7">
      <w:pPr>
        <w:pStyle w:val="Leipteksti"/>
        <w:rPr>
          <w:lang w:val="sv-FI"/>
        </w:rPr>
      </w:pPr>
      <w:r w:rsidRPr="00346864">
        <w:rPr>
          <w:lang w:val="sv-FI"/>
        </w:rPr>
        <w:t>2 Förslagets detaljerade innehåll</w:t>
      </w:r>
    </w:p>
    <w:p w:rsidR="004138F7" w:rsidRPr="00346864" w:rsidRDefault="004138F7" w:rsidP="004138F7">
      <w:pPr>
        <w:pStyle w:val="Leipteksti"/>
        <w:rPr>
          <w:lang w:val="sv-FI"/>
        </w:rPr>
      </w:pPr>
      <w:r w:rsidRPr="00346864">
        <w:rPr>
          <w:lang w:val="sv-FI"/>
        </w:rPr>
        <w:t>2.1 Ändringar som föreslås i bilagorna till förordninge</w:t>
      </w:r>
      <w:r>
        <w:rPr>
          <w:lang w:val="sv-FI"/>
        </w:rPr>
        <w:t>n</w:t>
      </w:r>
    </w:p>
    <w:p w:rsidR="004138F7" w:rsidRPr="00346864" w:rsidRDefault="004138F7" w:rsidP="004138F7">
      <w:pPr>
        <w:pStyle w:val="Leipteksti"/>
        <w:rPr>
          <w:lang w:val="sv-FI"/>
        </w:rPr>
      </w:pPr>
      <w:r w:rsidRPr="00346864">
        <w:rPr>
          <w:lang w:val="sv-FI"/>
        </w:rPr>
        <w:t>De ändringar som föreslås i arterna i bilagorna gäller bilagorna 1 (fiskarter p</w:t>
      </w:r>
      <w:r>
        <w:rPr>
          <w:lang w:val="sv-FI"/>
        </w:rPr>
        <w:t>å</w:t>
      </w:r>
      <w:r w:rsidRPr="00346864">
        <w:rPr>
          <w:lang w:val="sv-FI"/>
        </w:rPr>
        <w:t xml:space="preserve"> vilka naturv</w:t>
      </w:r>
      <w:r>
        <w:rPr>
          <w:lang w:val="sv-FI"/>
        </w:rPr>
        <w:t>årdslagen tillämpas</w:t>
      </w:r>
      <w:r w:rsidRPr="00346864">
        <w:rPr>
          <w:lang w:val="sv-FI"/>
        </w:rPr>
        <w:t>), 4 (</w:t>
      </w:r>
      <w:r>
        <w:rPr>
          <w:lang w:val="sv-FI"/>
        </w:rPr>
        <w:t>hotade arter</w:t>
      </w:r>
      <w:r w:rsidRPr="00346864">
        <w:rPr>
          <w:lang w:val="sv-FI"/>
        </w:rPr>
        <w:t xml:space="preserve">) </w:t>
      </w:r>
      <w:r>
        <w:rPr>
          <w:lang w:val="sv-FI"/>
        </w:rPr>
        <w:t>och</w:t>
      </w:r>
      <w:r w:rsidRPr="00346864">
        <w:rPr>
          <w:lang w:val="sv-FI"/>
        </w:rPr>
        <w:t xml:space="preserve"> 5 (</w:t>
      </w:r>
      <w:r>
        <w:rPr>
          <w:lang w:val="sv-FI"/>
        </w:rPr>
        <w:t>i habitatdirektivets bilaga</w:t>
      </w:r>
      <w:r w:rsidRPr="00346864">
        <w:rPr>
          <w:lang w:val="sv-FI"/>
        </w:rPr>
        <w:t xml:space="preserve"> IV a </w:t>
      </w:r>
      <w:r>
        <w:rPr>
          <w:lang w:val="sv-FI"/>
        </w:rPr>
        <w:t>nämnda djurarter som förekommer i Finland</w:t>
      </w:r>
      <w:r w:rsidRPr="00346864">
        <w:rPr>
          <w:lang w:val="sv-FI"/>
        </w:rPr>
        <w:t>). I fråga om bilag</w:t>
      </w:r>
      <w:r>
        <w:rPr>
          <w:lang w:val="sv-FI"/>
        </w:rPr>
        <w:t>o</w:t>
      </w:r>
      <w:r w:rsidRPr="00346864">
        <w:rPr>
          <w:lang w:val="sv-FI"/>
        </w:rPr>
        <w:t xml:space="preserve">rna </w:t>
      </w:r>
      <w:r w:rsidRPr="00346864">
        <w:rPr>
          <w:szCs w:val="21"/>
          <w:lang w:val="sv-FI"/>
        </w:rPr>
        <w:t>2(a), 3(a), 3(b) och 3(c) föreslås inte att några arter tillfogas eller stryks, m</w:t>
      </w:r>
      <w:r>
        <w:rPr>
          <w:szCs w:val="21"/>
          <w:lang w:val="sv-FI"/>
        </w:rPr>
        <w:t>en artnamnen uppdateras till behövliga delar</w:t>
      </w:r>
      <w:r w:rsidRPr="00346864">
        <w:rPr>
          <w:szCs w:val="21"/>
          <w:lang w:val="sv-FI"/>
        </w:rPr>
        <w:t>.</w:t>
      </w:r>
    </w:p>
    <w:p w:rsidR="004138F7" w:rsidRPr="00346864" w:rsidRDefault="004138F7" w:rsidP="004138F7">
      <w:pPr>
        <w:pStyle w:val="Leipteksti"/>
        <w:rPr>
          <w:i/>
          <w:lang w:val="sv-FI"/>
        </w:rPr>
      </w:pPr>
      <w:r>
        <w:rPr>
          <w:i/>
          <w:lang w:val="sv-FI"/>
        </w:rPr>
        <w:t>Ändringar som föreslås i bilaga</w:t>
      </w:r>
      <w:r w:rsidRPr="00346864">
        <w:rPr>
          <w:i/>
          <w:lang w:val="sv-FI"/>
        </w:rPr>
        <w:t xml:space="preserve"> 1</w:t>
      </w:r>
    </w:p>
    <w:p w:rsidR="004138F7" w:rsidRPr="00193297" w:rsidRDefault="004138F7" w:rsidP="004138F7">
      <w:pPr>
        <w:pStyle w:val="Leipteksti"/>
        <w:rPr>
          <w:lang w:val="sv-FI"/>
        </w:rPr>
      </w:pPr>
      <w:r w:rsidRPr="00346864">
        <w:rPr>
          <w:lang w:val="sv-FI"/>
        </w:rPr>
        <w:t>Det föreslås att bilaga 1 till förordningen ändras så att i bi</w:t>
      </w:r>
      <w:r>
        <w:rPr>
          <w:lang w:val="sv-FI"/>
        </w:rPr>
        <w:t>lagan stryks arterna groplöja</w:t>
      </w:r>
      <w:r w:rsidRPr="00346864">
        <w:rPr>
          <w:lang w:val="sv-FI"/>
        </w:rPr>
        <w:t xml:space="preserve"> (</w:t>
      </w:r>
      <w:r w:rsidRPr="00346864">
        <w:rPr>
          <w:i/>
          <w:lang w:val="sv-FI"/>
        </w:rPr>
        <w:t>Leucaspius delineatus</w:t>
      </w:r>
      <w:r w:rsidRPr="00346864">
        <w:rPr>
          <w:lang w:val="sv-FI"/>
        </w:rPr>
        <w:t xml:space="preserve">), </w:t>
      </w:r>
      <w:r>
        <w:rPr>
          <w:lang w:val="sv-FI"/>
        </w:rPr>
        <w:t>dvärgmal</w:t>
      </w:r>
      <w:r w:rsidRPr="00346864">
        <w:rPr>
          <w:lang w:val="sv-FI"/>
        </w:rPr>
        <w:t xml:space="preserve"> (</w:t>
      </w:r>
      <w:r w:rsidRPr="00346864">
        <w:rPr>
          <w:i/>
          <w:lang w:val="sv-FI"/>
        </w:rPr>
        <w:t>Ictalurus nebulosus</w:t>
      </w:r>
      <w:r w:rsidRPr="00346864">
        <w:rPr>
          <w:lang w:val="sv-FI"/>
        </w:rPr>
        <w:t xml:space="preserve">) </w:t>
      </w:r>
      <w:r>
        <w:rPr>
          <w:lang w:val="sv-FI"/>
        </w:rPr>
        <w:t>och bäckspigg</w:t>
      </w:r>
      <w:r w:rsidRPr="00346864">
        <w:rPr>
          <w:lang w:val="sv-FI"/>
        </w:rPr>
        <w:t xml:space="preserve"> (</w:t>
      </w:r>
      <w:r w:rsidRPr="00346864">
        <w:rPr>
          <w:i/>
          <w:lang w:val="sv-FI"/>
        </w:rPr>
        <w:t>Culaea inconstans</w:t>
      </w:r>
      <w:r w:rsidRPr="00346864">
        <w:rPr>
          <w:lang w:val="sv-FI"/>
        </w:rPr>
        <w:t xml:space="preserve">). </w:t>
      </w:r>
      <w:r w:rsidRPr="00193297">
        <w:rPr>
          <w:lang w:val="sv-FI"/>
        </w:rPr>
        <w:t>Dessa tre fiskarter förekommer inte i Finland inom sitt naturliga utbredningsområde, u</w:t>
      </w:r>
      <w:r>
        <w:rPr>
          <w:lang w:val="sv-FI"/>
        </w:rPr>
        <w:t>tan är främmande arter som släpps ut i naturen av människan</w:t>
      </w:r>
      <w:r w:rsidRPr="00193297">
        <w:rPr>
          <w:lang w:val="sv-FI"/>
        </w:rPr>
        <w:t>. Namnen på andra arter uppdateras till behövliga delar.</w:t>
      </w:r>
    </w:p>
    <w:p w:rsidR="004138F7" w:rsidRPr="00193297" w:rsidRDefault="004138F7" w:rsidP="004138F7">
      <w:pPr>
        <w:pStyle w:val="Leipteksti"/>
        <w:rPr>
          <w:i/>
          <w:lang w:val="sv-FI"/>
        </w:rPr>
      </w:pPr>
      <w:r w:rsidRPr="00193297">
        <w:rPr>
          <w:i/>
          <w:lang w:val="sv-FI"/>
        </w:rPr>
        <w:t>Ändringar som föreslås i bila</w:t>
      </w:r>
      <w:r>
        <w:rPr>
          <w:i/>
          <w:lang w:val="sv-FI"/>
        </w:rPr>
        <w:t>ga</w:t>
      </w:r>
      <w:r w:rsidRPr="00193297">
        <w:rPr>
          <w:i/>
          <w:lang w:val="sv-FI"/>
        </w:rPr>
        <w:t xml:space="preserve"> 4</w:t>
      </w:r>
    </w:p>
    <w:p w:rsidR="004138F7" w:rsidRPr="00193297" w:rsidRDefault="004138F7" w:rsidP="004138F7">
      <w:pPr>
        <w:pStyle w:val="MKappalejako"/>
        <w:spacing w:after="160" w:line="300" w:lineRule="atLeast"/>
        <w:ind w:left="0"/>
        <w:rPr>
          <w:rFonts w:asciiTheme="minorHAnsi" w:hAnsiTheme="minorHAnsi" w:cstheme="minorHAnsi"/>
          <w:sz w:val="21"/>
          <w:szCs w:val="21"/>
          <w:lang w:val="sv-FI"/>
        </w:rPr>
      </w:pPr>
      <w:r w:rsidRPr="00193297">
        <w:rPr>
          <w:rFonts w:asciiTheme="minorHAnsi" w:hAnsiTheme="minorHAnsi" w:cstheme="minorHAnsi"/>
          <w:sz w:val="21"/>
          <w:szCs w:val="21"/>
          <w:lang w:val="sv-FI"/>
        </w:rPr>
        <w:t xml:space="preserve">Det föreslås att bilaga 4 till förordningen ändras så att den innehåller en reviderad förteckning över hotade </w:t>
      </w:r>
      <w:r>
        <w:rPr>
          <w:rFonts w:asciiTheme="minorHAnsi" w:hAnsiTheme="minorHAnsi" w:cstheme="minorHAnsi"/>
          <w:sz w:val="21"/>
          <w:szCs w:val="21"/>
          <w:lang w:val="sv-FI"/>
        </w:rPr>
        <w:t>arter i Finland</w:t>
      </w:r>
      <w:r w:rsidRPr="00193297">
        <w:rPr>
          <w:rFonts w:asciiTheme="minorHAnsi" w:hAnsiTheme="minorHAnsi" w:cstheme="minorHAnsi"/>
          <w:sz w:val="21"/>
          <w:szCs w:val="21"/>
          <w:lang w:val="sv-FI"/>
        </w:rPr>
        <w:t xml:space="preserve">, </w:t>
      </w:r>
      <w:r>
        <w:rPr>
          <w:rFonts w:asciiTheme="minorHAnsi" w:hAnsiTheme="minorHAnsi" w:cstheme="minorHAnsi"/>
          <w:sz w:val="21"/>
          <w:szCs w:val="21"/>
          <w:lang w:val="sv-FI"/>
        </w:rPr>
        <w:t>inklusive arter som kräver särskilt skydd</w:t>
      </w:r>
      <w:r w:rsidRPr="00193297">
        <w:rPr>
          <w:rFonts w:asciiTheme="minorHAnsi" w:hAnsiTheme="minorHAnsi" w:cstheme="minorHAnsi"/>
          <w:sz w:val="21"/>
          <w:szCs w:val="21"/>
          <w:lang w:val="sv-FI"/>
        </w:rPr>
        <w:t xml:space="preserve">. </w:t>
      </w:r>
    </w:p>
    <w:p w:rsidR="004138F7" w:rsidRPr="00286003" w:rsidRDefault="004138F7" w:rsidP="004138F7">
      <w:pPr>
        <w:pStyle w:val="MKappalejako"/>
        <w:spacing w:after="160" w:line="300" w:lineRule="atLeast"/>
        <w:ind w:left="0"/>
        <w:rPr>
          <w:rFonts w:asciiTheme="minorHAnsi" w:hAnsiTheme="minorHAnsi" w:cstheme="minorHAnsi"/>
          <w:sz w:val="21"/>
          <w:szCs w:val="21"/>
          <w:lang w:val="sv-FI"/>
        </w:rPr>
      </w:pPr>
      <w:r w:rsidRPr="00193297">
        <w:rPr>
          <w:rFonts w:asciiTheme="minorHAnsi" w:hAnsiTheme="minorHAnsi" w:cstheme="minorHAnsi"/>
          <w:sz w:val="21"/>
          <w:szCs w:val="21"/>
          <w:lang w:val="sv-FI"/>
        </w:rPr>
        <w:t>I den gällande bilaga 4 till naturskyddsförordningen uppräknas 2 124 h</w:t>
      </w:r>
      <w:r>
        <w:rPr>
          <w:rFonts w:asciiTheme="minorHAnsi" w:hAnsiTheme="minorHAnsi" w:cstheme="minorHAnsi"/>
          <w:sz w:val="21"/>
          <w:szCs w:val="21"/>
          <w:lang w:val="sv-FI"/>
        </w:rPr>
        <w:t>otade arter</w:t>
      </w:r>
      <w:r w:rsidRPr="00193297">
        <w:rPr>
          <w:rFonts w:asciiTheme="minorHAnsi" w:hAnsiTheme="minorHAnsi" w:cstheme="minorHAnsi"/>
          <w:sz w:val="21"/>
          <w:szCs w:val="21"/>
          <w:lang w:val="sv-FI"/>
        </w:rPr>
        <w:t xml:space="preserve">. </w:t>
      </w:r>
      <w:r w:rsidRPr="00746F36">
        <w:rPr>
          <w:rFonts w:asciiTheme="minorHAnsi" w:hAnsiTheme="minorHAnsi" w:cstheme="minorHAnsi"/>
          <w:sz w:val="21"/>
          <w:szCs w:val="21"/>
          <w:lang w:val="sv-FI"/>
        </w:rPr>
        <w:t xml:space="preserve">Av dessa är 679 arter som kräver särskilt skydd. </w:t>
      </w:r>
      <w:r w:rsidRPr="00193297">
        <w:rPr>
          <w:rFonts w:asciiTheme="minorHAnsi" w:hAnsiTheme="minorHAnsi" w:cstheme="minorHAnsi"/>
          <w:sz w:val="21"/>
          <w:szCs w:val="21"/>
          <w:lang w:val="sv-FI"/>
        </w:rPr>
        <w:t xml:space="preserve">I den </w:t>
      </w:r>
      <w:r>
        <w:rPr>
          <w:rFonts w:asciiTheme="minorHAnsi" w:hAnsiTheme="minorHAnsi" w:cstheme="minorHAnsi"/>
          <w:sz w:val="21"/>
          <w:szCs w:val="21"/>
          <w:lang w:val="sv-FI"/>
        </w:rPr>
        <w:t xml:space="preserve">föreslagna </w:t>
      </w:r>
      <w:r w:rsidRPr="00193297">
        <w:rPr>
          <w:rFonts w:asciiTheme="minorHAnsi" w:hAnsiTheme="minorHAnsi" w:cstheme="minorHAnsi"/>
          <w:sz w:val="21"/>
          <w:szCs w:val="21"/>
          <w:lang w:val="sv-FI"/>
        </w:rPr>
        <w:t>nya förteckning</w:t>
      </w:r>
      <w:r>
        <w:rPr>
          <w:rFonts w:asciiTheme="minorHAnsi" w:hAnsiTheme="minorHAnsi" w:cstheme="minorHAnsi"/>
          <w:sz w:val="21"/>
          <w:szCs w:val="21"/>
          <w:lang w:val="sv-FI"/>
        </w:rPr>
        <w:t>en</w:t>
      </w:r>
      <w:r w:rsidRPr="00193297">
        <w:rPr>
          <w:rFonts w:asciiTheme="minorHAnsi" w:hAnsiTheme="minorHAnsi" w:cstheme="minorHAnsi"/>
          <w:sz w:val="21"/>
          <w:szCs w:val="21"/>
          <w:lang w:val="sv-FI"/>
        </w:rPr>
        <w:t xml:space="preserve"> ingår </w:t>
      </w:r>
      <w:r w:rsidRPr="00193297">
        <w:rPr>
          <w:rFonts w:asciiTheme="minorHAnsi" w:hAnsiTheme="minorHAnsi" w:cstheme="minorHAnsi"/>
          <w:color w:val="000000"/>
          <w:sz w:val="21"/>
          <w:szCs w:val="21"/>
          <w:lang w:val="sv-FI"/>
        </w:rPr>
        <w:t xml:space="preserve">2 538 </w:t>
      </w:r>
      <w:r>
        <w:rPr>
          <w:rFonts w:asciiTheme="minorHAnsi" w:hAnsiTheme="minorHAnsi" w:cstheme="minorHAnsi"/>
          <w:color w:val="000000"/>
          <w:sz w:val="21"/>
          <w:szCs w:val="21"/>
          <w:lang w:val="sv-FI"/>
        </w:rPr>
        <w:t>hotade arter</w:t>
      </w:r>
      <w:r w:rsidRPr="00193297">
        <w:rPr>
          <w:rFonts w:asciiTheme="minorHAnsi" w:hAnsiTheme="minorHAnsi" w:cstheme="minorHAnsi"/>
          <w:color w:val="000000"/>
          <w:sz w:val="21"/>
          <w:szCs w:val="21"/>
          <w:lang w:val="sv-FI"/>
        </w:rPr>
        <w:t xml:space="preserve">, </w:t>
      </w:r>
      <w:r>
        <w:rPr>
          <w:rFonts w:asciiTheme="minorHAnsi" w:hAnsiTheme="minorHAnsi" w:cstheme="minorHAnsi"/>
          <w:color w:val="000000"/>
          <w:sz w:val="21"/>
          <w:szCs w:val="21"/>
          <w:lang w:val="sv-FI"/>
        </w:rPr>
        <w:t>av vilka 807 kräver särskilt skydd</w:t>
      </w:r>
      <w:r w:rsidRPr="00193297">
        <w:rPr>
          <w:rFonts w:asciiTheme="minorHAnsi" w:hAnsiTheme="minorHAnsi" w:cstheme="minorHAnsi"/>
          <w:sz w:val="21"/>
          <w:szCs w:val="21"/>
          <w:lang w:val="sv-FI"/>
        </w:rPr>
        <w:t xml:space="preserve">. I förteckningen över hotade arter föreslås att 402 arter stryks och att </w:t>
      </w:r>
      <w:r>
        <w:rPr>
          <w:rFonts w:asciiTheme="minorHAnsi" w:hAnsiTheme="minorHAnsi" w:cstheme="minorHAnsi"/>
          <w:sz w:val="21"/>
          <w:szCs w:val="21"/>
          <w:lang w:val="sv-FI"/>
        </w:rPr>
        <w:t>816 nya arter läggs till</w:t>
      </w:r>
      <w:r w:rsidRPr="00193297">
        <w:rPr>
          <w:rFonts w:asciiTheme="minorHAnsi" w:hAnsiTheme="minorHAnsi" w:cstheme="minorHAnsi"/>
          <w:sz w:val="21"/>
          <w:szCs w:val="21"/>
          <w:lang w:val="sv-FI"/>
        </w:rPr>
        <w:t>. Det ökade antalet arter beror både på att hotbedömningen är mer heltäckande än tidiga</w:t>
      </w:r>
      <w:r>
        <w:rPr>
          <w:rFonts w:asciiTheme="minorHAnsi" w:hAnsiTheme="minorHAnsi" w:cstheme="minorHAnsi"/>
          <w:sz w:val="21"/>
          <w:szCs w:val="21"/>
          <w:lang w:val="sv-FI"/>
        </w:rPr>
        <w:t>re och på att de hotade arterna hela tiden blir fler</w:t>
      </w:r>
      <w:r w:rsidRPr="00193297">
        <w:rPr>
          <w:rFonts w:asciiTheme="minorHAnsi" w:hAnsiTheme="minorHAnsi" w:cstheme="minorHAnsi"/>
          <w:sz w:val="21"/>
          <w:szCs w:val="21"/>
          <w:lang w:val="sv-FI"/>
        </w:rPr>
        <w:t>. Det föreslås att arter stryks i förteckningen över hotade arter om de e</w:t>
      </w:r>
      <w:r>
        <w:rPr>
          <w:rFonts w:asciiTheme="minorHAnsi" w:hAnsiTheme="minorHAnsi" w:cstheme="minorHAnsi"/>
          <w:sz w:val="21"/>
          <w:szCs w:val="21"/>
          <w:lang w:val="sv-FI"/>
        </w:rPr>
        <w:t>nligt den senaste hotbedömningen inte längre är hotade på riksnivå</w:t>
      </w:r>
      <w:r w:rsidRPr="00193297">
        <w:rPr>
          <w:rFonts w:asciiTheme="minorHAnsi" w:hAnsiTheme="minorHAnsi" w:cstheme="minorHAnsi"/>
          <w:sz w:val="21"/>
          <w:szCs w:val="21"/>
          <w:lang w:val="sv-FI"/>
        </w:rPr>
        <w:t>. Det föreslås att 120 arter fråntas status som art som kräver särskilt skydd m</w:t>
      </w:r>
      <w:r>
        <w:rPr>
          <w:rFonts w:asciiTheme="minorHAnsi" w:hAnsiTheme="minorHAnsi" w:cstheme="minorHAnsi"/>
          <w:sz w:val="21"/>
          <w:szCs w:val="21"/>
          <w:lang w:val="sv-FI"/>
        </w:rPr>
        <w:t>edan 248 nya arter föreslås sådan status</w:t>
      </w:r>
      <w:r w:rsidRPr="00193297">
        <w:rPr>
          <w:rFonts w:asciiTheme="minorHAnsi" w:hAnsiTheme="minorHAnsi" w:cstheme="minorHAnsi"/>
          <w:sz w:val="21"/>
          <w:szCs w:val="21"/>
          <w:lang w:val="sv-FI"/>
        </w:rPr>
        <w:t xml:space="preserve">. </w:t>
      </w:r>
      <w:r w:rsidRPr="00286003">
        <w:rPr>
          <w:rFonts w:asciiTheme="minorHAnsi" w:hAnsiTheme="minorHAnsi" w:cstheme="minorHAnsi"/>
          <w:sz w:val="21"/>
          <w:szCs w:val="21"/>
          <w:lang w:val="sv-FI"/>
        </w:rPr>
        <w:t>Trots ändringarna förblir andelen arter som kräver särskilt skydd ungefär 32 %.</w:t>
      </w:r>
    </w:p>
    <w:p w:rsidR="004138F7" w:rsidRPr="00286003" w:rsidRDefault="004138F7" w:rsidP="004138F7">
      <w:pPr>
        <w:pStyle w:val="Leipteksti"/>
        <w:rPr>
          <w:lang w:val="sv-FI"/>
        </w:rPr>
      </w:pPr>
      <w:r w:rsidRPr="00286003">
        <w:rPr>
          <w:lang w:val="sv-FI"/>
        </w:rPr>
        <w:t>Dessutom uppdateras artnamnen till behövliga delar.</w:t>
      </w:r>
    </w:p>
    <w:p w:rsidR="004138F7" w:rsidRPr="00286003" w:rsidRDefault="004138F7" w:rsidP="004138F7">
      <w:pPr>
        <w:pStyle w:val="Leipteksti"/>
        <w:rPr>
          <w:i/>
          <w:szCs w:val="21"/>
          <w:lang w:val="sv-FI"/>
        </w:rPr>
      </w:pPr>
      <w:r>
        <w:rPr>
          <w:i/>
          <w:szCs w:val="21"/>
          <w:lang w:val="sv-FI"/>
        </w:rPr>
        <w:lastRenderedPageBreak/>
        <w:t>Ändringar som föreslås i bilaga</w:t>
      </w:r>
      <w:r w:rsidRPr="00286003">
        <w:rPr>
          <w:i/>
          <w:szCs w:val="21"/>
          <w:lang w:val="sv-FI"/>
        </w:rPr>
        <w:t xml:space="preserve"> 5</w:t>
      </w:r>
    </w:p>
    <w:p w:rsidR="004138F7" w:rsidRPr="00286003" w:rsidRDefault="004138F7" w:rsidP="004138F7">
      <w:pPr>
        <w:pStyle w:val="MKappalejako"/>
        <w:spacing w:after="160" w:line="300" w:lineRule="atLeast"/>
        <w:ind w:left="0"/>
        <w:rPr>
          <w:rFonts w:asciiTheme="minorHAnsi" w:hAnsiTheme="minorHAnsi" w:cstheme="minorHAnsi"/>
          <w:sz w:val="21"/>
          <w:szCs w:val="21"/>
          <w:lang w:val="sv-FI"/>
        </w:rPr>
      </w:pPr>
      <w:r w:rsidRPr="00286003">
        <w:rPr>
          <w:rFonts w:asciiTheme="minorHAnsi" w:hAnsiTheme="minorHAnsi" w:cstheme="minorHAnsi"/>
          <w:sz w:val="21"/>
          <w:szCs w:val="21"/>
          <w:lang w:val="sv-FI"/>
        </w:rPr>
        <w:t>Det föreslås att två fladdermusarter som ingår i bilaga IV a till</w:t>
      </w:r>
      <w:r>
        <w:rPr>
          <w:rFonts w:asciiTheme="minorHAnsi" w:hAnsiTheme="minorHAnsi" w:cstheme="minorHAnsi"/>
          <w:sz w:val="21"/>
          <w:szCs w:val="21"/>
          <w:lang w:val="sv-FI"/>
        </w:rPr>
        <w:t xml:space="preserve"> habitatdirektivet fogas till bilaga</w:t>
      </w:r>
      <w:r w:rsidRPr="00286003">
        <w:rPr>
          <w:rFonts w:asciiTheme="minorHAnsi" w:hAnsiTheme="minorHAnsi" w:cstheme="minorHAnsi"/>
          <w:sz w:val="21"/>
          <w:szCs w:val="21"/>
          <w:lang w:val="sv-FI"/>
        </w:rPr>
        <w:t xml:space="preserve"> 5: </w:t>
      </w:r>
      <w:r>
        <w:rPr>
          <w:rFonts w:asciiTheme="minorHAnsi" w:hAnsiTheme="minorHAnsi" w:cstheme="minorHAnsi"/>
          <w:sz w:val="21"/>
          <w:szCs w:val="21"/>
          <w:lang w:val="sv-FI"/>
        </w:rPr>
        <w:t>dvärgfladdermus</w:t>
      </w:r>
      <w:r w:rsidRPr="00286003">
        <w:rPr>
          <w:rFonts w:asciiTheme="minorHAnsi" w:hAnsiTheme="minorHAnsi" w:cstheme="minorHAnsi"/>
          <w:sz w:val="21"/>
          <w:szCs w:val="21"/>
          <w:lang w:val="sv-FI"/>
        </w:rPr>
        <w:t xml:space="preserve"> (</w:t>
      </w:r>
      <w:r w:rsidRPr="00286003">
        <w:rPr>
          <w:rFonts w:asciiTheme="minorHAnsi" w:hAnsiTheme="minorHAnsi" w:cstheme="minorHAnsi"/>
          <w:i/>
          <w:sz w:val="21"/>
          <w:szCs w:val="21"/>
          <w:lang w:val="sv-FI"/>
        </w:rPr>
        <w:t>Pipistrellus pygmaeus</w:t>
      </w:r>
      <w:r w:rsidRPr="00286003">
        <w:rPr>
          <w:rFonts w:asciiTheme="minorHAnsi" w:hAnsiTheme="minorHAnsi" w:cstheme="minorHAnsi"/>
          <w:sz w:val="21"/>
          <w:szCs w:val="21"/>
          <w:lang w:val="sv-FI"/>
        </w:rPr>
        <w:t xml:space="preserve">) </w:t>
      </w:r>
      <w:r>
        <w:rPr>
          <w:rFonts w:asciiTheme="minorHAnsi" w:hAnsiTheme="minorHAnsi" w:cstheme="minorHAnsi"/>
          <w:sz w:val="21"/>
          <w:szCs w:val="21"/>
          <w:lang w:val="sv-FI"/>
        </w:rPr>
        <w:t>och sydfladdermus</w:t>
      </w:r>
      <w:r w:rsidRPr="00286003">
        <w:rPr>
          <w:rFonts w:asciiTheme="minorHAnsi" w:hAnsiTheme="minorHAnsi" w:cstheme="minorHAnsi"/>
          <w:sz w:val="21"/>
          <w:szCs w:val="21"/>
          <w:lang w:val="sv-FI"/>
        </w:rPr>
        <w:t xml:space="preserve"> (</w:t>
      </w:r>
      <w:r w:rsidRPr="00286003">
        <w:rPr>
          <w:rFonts w:asciiTheme="minorHAnsi" w:hAnsiTheme="minorHAnsi" w:cstheme="minorHAnsi"/>
          <w:i/>
          <w:sz w:val="21"/>
          <w:szCs w:val="21"/>
          <w:lang w:val="sv-FI"/>
        </w:rPr>
        <w:t>Eptesicus serotinus</w:t>
      </w:r>
      <w:r w:rsidRPr="00286003">
        <w:rPr>
          <w:rFonts w:asciiTheme="minorHAnsi" w:hAnsiTheme="minorHAnsi" w:cstheme="minorHAnsi"/>
          <w:sz w:val="21"/>
          <w:szCs w:val="21"/>
          <w:lang w:val="sv-FI"/>
        </w:rPr>
        <w:t xml:space="preserve">). </w:t>
      </w:r>
      <w:r>
        <w:rPr>
          <w:rFonts w:asciiTheme="minorHAnsi" w:hAnsiTheme="minorHAnsi" w:cstheme="minorHAnsi"/>
          <w:sz w:val="21"/>
          <w:szCs w:val="21"/>
          <w:lang w:val="sv-FI"/>
        </w:rPr>
        <w:t>Nya observationer ger vid handen att</w:t>
      </w:r>
      <w:r w:rsidRPr="00286003">
        <w:rPr>
          <w:rFonts w:asciiTheme="minorHAnsi" w:hAnsiTheme="minorHAnsi" w:cstheme="minorHAnsi"/>
          <w:sz w:val="21"/>
          <w:szCs w:val="21"/>
          <w:lang w:val="sv-FI"/>
        </w:rPr>
        <w:t xml:space="preserve"> dvärgfladdermus</w:t>
      </w:r>
      <w:r>
        <w:rPr>
          <w:rFonts w:asciiTheme="minorHAnsi" w:hAnsiTheme="minorHAnsi" w:cstheme="minorHAnsi"/>
          <w:sz w:val="21"/>
          <w:szCs w:val="21"/>
          <w:lang w:val="sv-FI"/>
        </w:rPr>
        <w:t>en</w:t>
      </w:r>
      <w:r w:rsidRPr="00286003">
        <w:rPr>
          <w:rFonts w:asciiTheme="minorHAnsi" w:hAnsiTheme="minorHAnsi" w:cstheme="minorHAnsi"/>
          <w:sz w:val="21"/>
          <w:szCs w:val="21"/>
          <w:lang w:val="sv-FI"/>
        </w:rPr>
        <w:t xml:space="preserve"> </w:t>
      </w:r>
      <w:r>
        <w:rPr>
          <w:rFonts w:asciiTheme="minorHAnsi" w:hAnsiTheme="minorHAnsi" w:cstheme="minorHAnsi"/>
          <w:sz w:val="21"/>
          <w:szCs w:val="21"/>
          <w:lang w:val="sv-FI"/>
        </w:rPr>
        <w:t xml:space="preserve">förekommer </w:t>
      </w:r>
      <w:r w:rsidRPr="00286003">
        <w:rPr>
          <w:rFonts w:asciiTheme="minorHAnsi" w:hAnsiTheme="minorHAnsi" w:cstheme="minorHAnsi"/>
          <w:sz w:val="21"/>
          <w:szCs w:val="21"/>
          <w:lang w:val="sv-FI"/>
        </w:rPr>
        <w:t>mer regelbundet i Finland</w:t>
      </w:r>
      <w:r>
        <w:rPr>
          <w:rFonts w:asciiTheme="minorHAnsi" w:hAnsiTheme="minorHAnsi" w:cstheme="minorHAnsi"/>
          <w:sz w:val="21"/>
          <w:szCs w:val="21"/>
          <w:lang w:val="sv-FI"/>
        </w:rPr>
        <w:t xml:space="preserve"> än förr</w:t>
      </w:r>
      <w:r w:rsidRPr="00286003">
        <w:rPr>
          <w:rFonts w:asciiTheme="minorHAnsi" w:hAnsiTheme="minorHAnsi" w:cstheme="minorHAnsi"/>
          <w:sz w:val="21"/>
          <w:szCs w:val="21"/>
          <w:lang w:val="sv-FI"/>
        </w:rPr>
        <w:t xml:space="preserve"> och arten förefaller att</w:t>
      </w:r>
      <w:r>
        <w:rPr>
          <w:rFonts w:asciiTheme="minorHAnsi" w:hAnsiTheme="minorHAnsi" w:cstheme="minorHAnsi"/>
          <w:sz w:val="21"/>
          <w:szCs w:val="21"/>
          <w:lang w:val="sv-FI"/>
        </w:rPr>
        <w:t xml:space="preserve"> bli vanligare</w:t>
      </w:r>
      <w:r w:rsidRPr="00286003">
        <w:rPr>
          <w:rFonts w:asciiTheme="minorHAnsi" w:hAnsiTheme="minorHAnsi" w:cstheme="minorHAnsi"/>
          <w:sz w:val="21"/>
          <w:szCs w:val="21"/>
          <w:lang w:val="sv-FI"/>
        </w:rPr>
        <w:t xml:space="preserve">. </w:t>
      </w:r>
      <w:r>
        <w:rPr>
          <w:rFonts w:asciiTheme="minorHAnsi" w:hAnsiTheme="minorHAnsi" w:cstheme="minorHAnsi"/>
          <w:sz w:val="21"/>
          <w:szCs w:val="21"/>
          <w:lang w:val="sv-FI"/>
        </w:rPr>
        <w:t>Hittills har s</w:t>
      </w:r>
      <w:r w:rsidRPr="00286003">
        <w:rPr>
          <w:rFonts w:asciiTheme="minorHAnsi" w:hAnsiTheme="minorHAnsi" w:cstheme="minorHAnsi"/>
          <w:sz w:val="21"/>
          <w:szCs w:val="21"/>
          <w:lang w:val="sv-FI"/>
        </w:rPr>
        <w:t>ydfladdermusen med säkerhet påträffats endast fem gånger i Finland, m</w:t>
      </w:r>
      <w:r>
        <w:rPr>
          <w:rFonts w:asciiTheme="minorHAnsi" w:hAnsiTheme="minorHAnsi" w:cstheme="minorHAnsi"/>
          <w:sz w:val="21"/>
          <w:szCs w:val="21"/>
          <w:lang w:val="sv-FI"/>
        </w:rPr>
        <w:t>en arten har också observerats övervintra i Finland</w:t>
      </w:r>
      <w:r w:rsidRPr="00286003">
        <w:rPr>
          <w:rFonts w:asciiTheme="minorHAnsi" w:hAnsiTheme="minorHAnsi" w:cstheme="minorHAnsi"/>
          <w:sz w:val="21"/>
          <w:szCs w:val="21"/>
          <w:lang w:val="sv-FI"/>
        </w:rPr>
        <w:t xml:space="preserve">. </w:t>
      </w:r>
      <w:r>
        <w:rPr>
          <w:rFonts w:asciiTheme="minorHAnsi" w:hAnsiTheme="minorHAnsi" w:cstheme="minorHAnsi"/>
          <w:sz w:val="21"/>
          <w:szCs w:val="21"/>
          <w:lang w:val="sv-FI"/>
        </w:rPr>
        <w:t>Tills vidare har inga</w:t>
      </w:r>
      <w:r w:rsidRPr="00286003">
        <w:rPr>
          <w:rFonts w:asciiTheme="minorHAnsi" w:hAnsiTheme="minorHAnsi" w:cstheme="minorHAnsi"/>
          <w:sz w:val="21"/>
          <w:szCs w:val="21"/>
          <w:lang w:val="sv-FI"/>
        </w:rPr>
        <w:t xml:space="preserve"> förökningssamhällen </w:t>
      </w:r>
      <w:r>
        <w:rPr>
          <w:rFonts w:asciiTheme="minorHAnsi" w:hAnsiTheme="minorHAnsi" w:cstheme="minorHAnsi"/>
          <w:sz w:val="21"/>
          <w:szCs w:val="21"/>
          <w:lang w:val="sv-FI"/>
        </w:rPr>
        <w:t>av arterna</w:t>
      </w:r>
      <w:r w:rsidRPr="00286003">
        <w:rPr>
          <w:rFonts w:asciiTheme="minorHAnsi" w:hAnsiTheme="minorHAnsi" w:cstheme="minorHAnsi"/>
          <w:sz w:val="21"/>
          <w:szCs w:val="21"/>
          <w:lang w:val="sv-FI"/>
        </w:rPr>
        <w:t xml:space="preserve"> konstaterats i Finland. </w:t>
      </w:r>
    </w:p>
    <w:p w:rsidR="004138F7" w:rsidRPr="00286003" w:rsidRDefault="004138F7" w:rsidP="004138F7">
      <w:pPr>
        <w:pStyle w:val="Leipteksti"/>
        <w:rPr>
          <w:lang w:val="sv-FI"/>
        </w:rPr>
      </w:pPr>
      <w:r w:rsidRPr="00286003">
        <w:rPr>
          <w:lang w:val="sv-FI"/>
        </w:rPr>
        <w:t xml:space="preserve">Dessutom uppdateras andra artnamn till behövliga delar. </w:t>
      </w:r>
    </w:p>
    <w:p w:rsidR="004138F7" w:rsidRDefault="004138F7" w:rsidP="004138F7">
      <w:pPr>
        <w:pStyle w:val="Leipteksti"/>
        <w:rPr>
          <w:lang w:val="sv-FI"/>
        </w:rPr>
      </w:pPr>
    </w:p>
    <w:p w:rsidR="004138F7" w:rsidRPr="005F48BB" w:rsidRDefault="004138F7" w:rsidP="004138F7">
      <w:pPr>
        <w:pStyle w:val="Leipteksti"/>
        <w:rPr>
          <w:lang w:val="sv-FI"/>
        </w:rPr>
      </w:pPr>
      <w:r w:rsidRPr="005F48BB">
        <w:rPr>
          <w:lang w:val="sv-FI"/>
        </w:rPr>
        <w:t>2.3 Beredning av förteckningen över hotade arter och arter som kräv</w:t>
      </w:r>
      <w:r>
        <w:rPr>
          <w:lang w:val="sv-FI"/>
        </w:rPr>
        <w:t>er särskilt skydd</w:t>
      </w:r>
    </w:p>
    <w:p w:rsidR="004138F7" w:rsidRPr="00592817" w:rsidRDefault="004138F7" w:rsidP="004138F7">
      <w:pPr>
        <w:pStyle w:val="Leipteksti"/>
        <w:rPr>
          <w:lang w:val="sv-FI"/>
        </w:rPr>
      </w:pPr>
      <w:r w:rsidRPr="00592817">
        <w:rPr>
          <w:lang w:val="sv-FI"/>
        </w:rPr>
        <w:t>Den femte hotbedömningen av arterna i Finland blev klar i mars 2019. I det omfattande arbetet</w:t>
      </w:r>
      <w:r>
        <w:rPr>
          <w:lang w:val="sv-FI"/>
        </w:rPr>
        <w:t>,</w:t>
      </w:r>
      <w:r w:rsidRPr="00592817">
        <w:rPr>
          <w:lang w:val="sv-FI"/>
        </w:rPr>
        <w:t xml:space="preserve"> som samordnades av Finlands miljöcentral</w:t>
      </w:r>
      <w:r>
        <w:rPr>
          <w:lang w:val="sv-FI"/>
        </w:rPr>
        <w:t>,</w:t>
      </w:r>
      <w:r w:rsidRPr="00592817">
        <w:rPr>
          <w:lang w:val="sv-FI"/>
        </w:rPr>
        <w:t xml:space="preserve"> deltog ungefär</w:t>
      </w:r>
      <w:r w:rsidRPr="00592817">
        <w:rPr>
          <w:rFonts w:eastAsia="Calibri"/>
          <w:lang w:val="sv-FI"/>
        </w:rPr>
        <w:t xml:space="preserve"> 180 experter från bland annat universitet, n</w:t>
      </w:r>
      <w:r>
        <w:rPr>
          <w:rFonts w:eastAsia="Calibri"/>
          <w:lang w:val="sv-FI"/>
        </w:rPr>
        <w:t>aturvetenskapliga museer</w:t>
      </w:r>
      <w:r w:rsidRPr="00592817">
        <w:rPr>
          <w:rFonts w:eastAsia="Calibri"/>
          <w:lang w:val="sv-FI"/>
        </w:rPr>
        <w:t xml:space="preserve">, </w:t>
      </w:r>
      <w:r>
        <w:rPr>
          <w:rFonts w:eastAsia="Calibri"/>
          <w:lang w:val="sv-FI"/>
        </w:rPr>
        <w:t>Naturresursinstitutet</w:t>
      </w:r>
      <w:r w:rsidRPr="00592817">
        <w:rPr>
          <w:rFonts w:eastAsia="Calibri"/>
          <w:lang w:val="sv-FI"/>
        </w:rPr>
        <w:t xml:space="preserve">, </w:t>
      </w:r>
      <w:r>
        <w:rPr>
          <w:rFonts w:eastAsia="Calibri"/>
          <w:lang w:val="sv-FI"/>
        </w:rPr>
        <w:t>Finlands miljöcentral</w:t>
      </w:r>
      <w:r w:rsidRPr="00592817">
        <w:rPr>
          <w:rFonts w:eastAsia="Calibri"/>
          <w:lang w:val="sv-FI"/>
        </w:rPr>
        <w:t xml:space="preserve">, </w:t>
      </w:r>
      <w:r>
        <w:rPr>
          <w:rFonts w:eastAsia="Calibri"/>
          <w:lang w:val="sv-FI"/>
        </w:rPr>
        <w:t xml:space="preserve">Forststyrelsen och </w:t>
      </w:r>
      <w:r w:rsidRPr="00592817">
        <w:rPr>
          <w:rFonts w:eastAsia="Calibri"/>
          <w:lang w:val="sv-FI"/>
        </w:rPr>
        <w:t>Suomen nisäkästieteelli</w:t>
      </w:r>
      <w:r>
        <w:rPr>
          <w:rFonts w:eastAsia="Calibri"/>
          <w:lang w:val="sv-FI"/>
        </w:rPr>
        <w:t>nen</w:t>
      </w:r>
      <w:r w:rsidRPr="00592817">
        <w:rPr>
          <w:rFonts w:eastAsia="Calibri"/>
          <w:lang w:val="sv-FI"/>
        </w:rPr>
        <w:t xml:space="preserve"> seura. En av miljöministeriet tillsatt styrgrupp ledde bedömningen </w:t>
      </w:r>
      <w:r>
        <w:rPr>
          <w:rFonts w:eastAsia="Calibri"/>
          <w:lang w:val="sv-FI"/>
        </w:rPr>
        <w:t xml:space="preserve">samt </w:t>
      </w:r>
      <w:r w:rsidRPr="00592817">
        <w:rPr>
          <w:rFonts w:eastAsia="Calibri"/>
          <w:lang w:val="sv-FI"/>
        </w:rPr>
        <w:t>granskade och godkände de</w:t>
      </w:r>
      <w:r>
        <w:rPr>
          <w:rFonts w:eastAsia="Calibri"/>
          <w:lang w:val="sv-FI"/>
        </w:rPr>
        <w:t xml:space="preserve"> olika arbetsgruppernas bedömningar</w:t>
      </w:r>
      <w:r w:rsidRPr="00592817">
        <w:rPr>
          <w:rFonts w:eastAsia="Calibri"/>
          <w:lang w:val="sv-FI"/>
        </w:rPr>
        <w:t>. Styrgruppen föreslog som en åtgärd att naturvårdsförordningens bilagor uppdateras omedelbart i öv</w:t>
      </w:r>
      <w:r>
        <w:rPr>
          <w:rFonts w:eastAsia="Calibri"/>
          <w:lang w:val="sv-FI"/>
        </w:rPr>
        <w:t>erensstämmelse med den nya kunskapen</w:t>
      </w:r>
      <w:r w:rsidRPr="00592817">
        <w:rPr>
          <w:lang w:val="sv-FI"/>
        </w:rPr>
        <w:t>.</w:t>
      </w:r>
    </w:p>
    <w:p w:rsidR="004138F7" w:rsidRPr="009E71D5" w:rsidRDefault="004138F7" w:rsidP="004138F7">
      <w:pPr>
        <w:pStyle w:val="Leipteksti"/>
        <w:rPr>
          <w:lang w:val="sv-FI"/>
        </w:rPr>
      </w:pPr>
      <w:r w:rsidRPr="00592817">
        <w:rPr>
          <w:lang w:val="sv-FI"/>
        </w:rPr>
        <w:t>Vid hotbedömningen följdes på samma sätt som vid de två tidigare bedömningarna Internationella naturvårdsunionens (IUCN) h</w:t>
      </w:r>
      <w:r>
        <w:rPr>
          <w:lang w:val="sv-FI"/>
        </w:rPr>
        <w:t>otklassificering och kriterier samt unionens anvisningar om tillämpningen av dem</w:t>
      </w:r>
      <w:r w:rsidRPr="00592817">
        <w:rPr>
          <w:lang w:val="sv-FI"/>
        </w:rPr>
        <w:t xml:space="preserve">. </w:t>
      </w:r>
      <w:r w:rsidRPr="009E71D5">
        <w:rPr>
          <w:lang w:val="sv-FI"/>
        </w:rPr>
        <w:t xml:space="preserve">I hotbedömningen och hotklassificeringen är det fråga om sannolikheten för att arter </w:t>
      </w:r>
      <w:r>
        <w:rPr>
          <w:lang w:val="sv-FI"/>
        </w:rPr>
        <w:t>utrotas</w:t>
      </w:r>
      <w:r w:rsidRPr="009E71D5">
        <w:rPr>
          <w:lang w:val="sv-FI"/>
        </w:rPr>
        <w:t>. Sannolikheten för att en art som hör till en hög</w:t>
      </w:r>
      <w:r>
        <w:rPr>
          <w:lang w:val="sv-FI"/>
        </w:rPr>
        <w:t>re</w:t>
      </w:r>
      <w:r w:rsidRPr="009E71D5">
        <w:rPr>
          <w:lang w:val="sv-FI"/>
        </w:rPr>
        <w:t xml:space="preserve"> hotklass</w:t>
      </w:r>
      <w:r>
        <w:rPr>
          <w:lang w:val="sv-FI"/>
        </w:rPr>
        <w:t xml:space="preserve"> utrotas</w:t>
      </w:r>
      <w:r w:rsidRPr="009E71D5">
        <w:rPr>
          <w:lang w:val="sv-FI"/>
        </w:rPr>
        <w:t xml:space="preserve"> är större än för </w:t>
      </w:r>
      <w:r>
        <w:rPr>
          <w:lang w:val="sv-FI"/>
        </w:rPr>
        <w:t>en art som hör till en lägre klass</w:t>
      </w:r>
      <w:r w:rsidRPr="009E71D5">
        <w:rPr>
          <w:lang w:val="sv-FI"/>
        </w:rPr>
        <w:t>.</w:t>
      </w:r>
    </w:p>
    <w:p w:rsidR="004138F7" w:rsidRPr="009E71D5" w:rsidRDefault="004138F7" w:rsidP="004138F7">
      <w:pPr>
        <w:pStyle w:val="Leipteksti"/>
        <w:rPr>
          <w:lang w:val="sv-FI"/>
        </w:rPr>
      </w:pPr>
      <w:r w:rsidRPr="009E71D5">
        <w:rPr>
          <w:lang w:val="sv-FI"/>
        </w:rPr>
        <w:t xml:space="preserve">Enligt 46 § i naturvårdslagen kan </w:t>
      </w:r>
      <w:r>
        <w:rPr>
          <w:lang w:val="sv-FI"/>
        </w:rPr>
        <w:t>g</w:t>
      </w:r>
      <w:r w:rsidRPr="009E71D5">
        <w:rPr>
          <w:lang w:val="sv-FI"/>
        </w:rPr>
        <w:t xml:space="preserve">enom förordning </w:t>
      </w:r>
      <w:r>
        <w:rPr>
          <w:lang w:val="sv-FI"/>
        </w:rPr>
        <w:t>föreskrivas</w:t>
      </w:r>
      <w:r w:rsidRPr="009E71D5">
        <w:rPr>
          <w:lang w:val="sv-FI"/>
        </w:rPr>
        <w:t xml:space="preserve"> att en sådan vild art vars naturliga fortlevnad i Finland är i fara förklaras hotad. Enligt lagens 47 § 1 mom. kan </w:t>
      </w:r>
      <w:r>
        <w:rPr>
          <w:lang w:val="sv-FI"/>
        </w:rPr>
        <w:t>g</w:t>
      </w:r>
      <w:r w:rsidRPr="009E71D5">
        <w:rPr>
          <w:lang w:val="sv-FI"/>
        </w:rPr>
        <w:t xml:space="preserve">enom förordning </w:t>
      </w:r>
      <w:r>
        <w:rPr>
          <w:lang w:val="sv-FI"/>
        </w:rPr>
        <w:t>föreskrivas</w:t>
      </w:r>
      <w:r w:rsidRPr="009E71D5">
        <w:rPr>
          <w:lang w:val="sv-FI"/>
        </w:rPr>
        <w:t xml:space="preserve"> att en sådan hotad art som uppenbart hotas av utrotning åtnjuter särskilt skydd.</w:t>
      </w:r>
    </w:p>
    <w:p w:rsidR="004138F7" w:rsidRPr="00080A56" w:rsidRDefault="004138F7" w:rsidP="004138F7">
      <w:pPr>
        <w:pStyle w:val="Leipteksti"/>
        <w:rPr>
          <w:lang w:val="sv-FI"/>
        </w:rPr>
      </w:pPr>
      <w:r w:rsidRPr="00101BD4">
        <w:rPr>
          <w:lang w:val="sv-FI"/>
        </w:rPr>
        <w:t xml:space="preserve">Hotbedömningen ger ett heltäckande kunskapsunderlag för bedömning av om lagstiftningen </w:t>
      </w:r>
      <w:r>
        <w:rPr>
          <w:lang w:val="sv-FI"/>
        </w:rPr>
        <w:t>är ajour och för att ajourföra den</w:t>
      </w:r>
      <w:r w:rsidRPr="00101BD4">
        <w:rPr>
          <w:lang w:val="sv-FI"/>
        </w:rPr>
        <w:t>. Bedömningsresultaten berättar dock inte direkt om behovet av skyddsåtgärder eller</w:t>
      </w:r>
      <w:r>
        <w:rPr>
          <w:lang w:val="sv-FI"/>
        </w:rPr>
        <w:t xml:space="preserve"> hur brådskande de är</w:t>
      </w:r>
      <w:r w:rsidRPr="00101BD4">
        <w:rPr>
          <w:lang w:val="sv-FI"/>
        </w:rPr>
        <w:t>. Arter kan vara hotade av olika orsaker, av vilka en del kan vara na</w:t>
      </w:r>
      <w:r>
        <w:rPr>
          <w:lang w:val="sv-FI"/>
        </w:rPr>
        <w:t>turliga och hänföra sig till artens utbredning och egenskaper</w:t>
      </w:r>
      <w:r w:rsidRPr="00101BD4">
        <w:rPr>
          <w:lang w:val="sv-FI"/>
        </w:rPr>
        <w:t>. Hot är dock oftast en följd av att till exempel artens livsmiljöer förstörts eller försämrats. Eftersom resultaten av hotbedömningen inte är avsedda att tas in i lagstiftningen som sådana, har de expertgrupper som gjort bedömningen ytterligar</w:t>
      </w:r>
      <w:r>
        <w:rPr>
          <w:lang w:val="sv-FI"/>
        </w:rPr>
        <w:t>e granskat vilka hotade arter som löper uppenbar risk att utrotas</w:t>
      </w:r>
      <w:r w:rsidRPr="00101BD4">
        <w:rPr>
          <w:lang w:val="sv-FI"/>
        </w:rPr>
        <w:t xml:space="preserve">, </w:t>
      </w:r>
      <w:r>
        <w:rPr>
          <w:lang w:val="sv-FI"/>
        </w:rPr>
        <w:t>och vilka av sådana arter som det är skäl att definiera som arter som kräver särskilt skydd</w:t>
      </w:r>
      <w:r w:rsidRPr="00101BD4">
        <w:rPr>
          <w:lang w:val="sv-FI"/>
        </w:rPr>
        <w:t xml:space="preserve">. </w:t>
      </w:r>
      <w:r w:rsidRPr="00080A56">
        <w:rPr>
          <w:lang w:val="sv-FI"/>
        </w:rPr>
        <w:t>Hotbedömningen fungerar således framför allt som kunskapsunderlag för uppdatering av bi</w:t>
      </w:r>
      <w:r>
        <w:rPr>
          <w:lang w:val="sv-FI"/>
        </w:rPr>
        <w:t>laga 4 till naturvårdsförordningen</w:t>
      </w:r>
      <w:r w:rsidRPr="00080A56">
        <w:rPr>
          <w:lang w:val="sv-FI"/>
        </w:rPr>
        <w:t>.</w:t>
      </w:r>
    </w:p>
    <w:p w:rsidR="004138F7" w:rsidRPr="00CF5070" w:rsidRDefault="004138F7" w:rsidP="004138F7">
      <w:pPr>
        <w:pStyle w:val="Leipteksti"/>
        <w:rPr>
          <w:lang w:val="sv-FI"/>
        </w:rPr>
      </w:pPr>
      <w:r w:rsidRPr="00CF5070">
        <w:rPr>
          <w:lang w:val="sv-FI"/>
        </w:rPr>
        <w:t>De ändringar som föreslås i bilaga 4 till naturvårdsförordningen baserar sig såväl</w:t>
      </w:r>
      <w:r>
        <w:rPr>
          <w:lang w:val="sv-FI"/>
        </w:rPr>
        <w:t xml:space="preserve"> på</w:t>
      </w:r>
      <w:r w:rsidRPr="00CF5070">
        <w:rPr>
          <w:lang w:val="sv-FI"/>
        </w:rPr>
        <w:t xml:space="preserve"> expertarbetsgruppernas bedömning som </w:t>
      </w:r>
      <w:r>
        <w:rPr>
          <w:lang w:val="sv-FI"/>
        </w:rPr>
        <w:t>på</w:t>
      </w:r>
      <w:r w:rsidRPr="00CF5070">
        <w:rPr>
          <w:lang w:val="sv-FI"/>
        </w:rPr>
        <w:t xml:space="preserve"> </w:t>
      </w:r>
      <w:r>
        <w:rPr>
          <w:lang w:val="sv-FI"/>
        </w:rPr>
        <w:t>ny information som har fåtts om vissa enstaka arter efter att hotbedömningen blev klar och som har förändrat uppfattningen om risken för att arten ska utrotas</w:t>
      </w:r>
      <w:r w:rsidRPr="00CF5070">
        <w:rPr>
          <w:lang w:val="sv-FI"/>
        </w:rPr>
        <w:t>.</w:t>
      </w:r>
    </w:p>
    <w:p w:rsidR="004138F7" w:rsidRDefault="004138F7" w:rsidP="004138F7">
      <w:pPr>
        <w:pStyle w:val="Leipteksti"/>
        <w:rPr>
          <w:lang w:val="sv-FI"/>
        </w:rPr>
      </w:pPr>
    </w:p>
    <w:p w:rsidR="004138F7" w:rsidRDefault="004138F7" w:rsidP="004138F7">
      <w:pPr>
        <w:pStyle w:val="Leipteksti"/>
        <w:rPr>
          <w:lang w:val="sv-FI"/>
        </w:rPr>
      </w:pPr>
    </w:p>
    <w:p w:rsidR="004138F7" w:rsidRPr="00746F36" w:rsidRDefault="004138F7" w:rsidP="004138F7">
      <w:pPr>
        <w:pStyle w:val="Leipteksti"/>
        <w:rPr>
          <w:lang w:val="sv-FI"/>
        </w:rPr>
      </w:pPr>
      <w:r w:rsidRPr="00746F36">
        <w:rPr>
          <w:lang w:val="sv-FI"/>
        </w:rPr>
        <w:lastRenderedPageBreak/>
        <w:t>3 Förslagets konsekven</w:t>
      </w:r>
      <w:r>
        <w:rPr>
          <w:lang w:val="sv-FI"/>
        </w:rPr>
        <w:t>s</w:t>
      </w:r>
      <w:r w:rsidRPr="00746F36">
        <w:rPr>
          <w:lang w:val="sv-FI"/>
        </w:rPr>
        <w:t>er</w:t>
      </w:r>
    </w:p>
    <w:p w:rsidR="004138F7" w:rsidRPr="00746F36" w:rsidRDefault="004138F7" w:rsidP="004138F7">
      <w:pPr>
        <w:pStyle w:val="Leipteksti"/>
        <w:rPr>
          <w:lang w:val="sv-FI"/>
        </w:rPr>
      </w:pPr>
      <w:r w:rsidRPr="00746F36">
        <w:rPr>
          <w:lang w:val="sv-FI"/>
        </w:rPr>
        <w:t xml:space="preserve">3.1 </w:t>
      </w:r>
      <w:r>
        <w:rPr>
          <w:lang w:val="sv-FI"/>
        </w:rPr>
        <w:t>Rättsliga</w:t>
      </w:r>
      <w:r w:rsidRPr="00746F36">
        <w:rPr>
          <w:lang w:val="sv-FI"/>
        </w:rPr>
        <w:t xml:space="preserve"> konsekvenser</w:t>
      </w:r>
    </w:p>
    <w:p w:rsidR="004138F7" w:rsidRPr="00D21F45" w:rsidRDefault="004138F7" w:rsidP="004138F7">
      <w:pPr>
        <w:pStyle w:val="Leipteksti"/>
        <w:rPr>
          <w:lang w:val="sv-FI"/>
        </w:rPr>
      </w:pPr>
      <w:r w:rsidRPr="00D21F45">
        <w:rPr>
          <w:lang w:val="sv-FI"/>
        </w:rPr>
        <w:t xml:space="preserve">Bilaga 1: Enligt 37 § i naturvårdslagen tillämpas bestämmelserna i lagens 6 kap. inte på fiskarter som har ekonomisk betydelse. Enligt 17 § i naturvårdsförordningen räknas </w:t>
      </w:r>
      <w:r>
        <w:rPr>
          <w:lang w:val="sv-FI"/>
        </w:rPr>
        <w:t xml:space="preserve">de </w:t>
      </w:r>
      <w:r w:rsidRPr="00D21F45">
        <w:rPr>
          <w:lang w:val="sv-FI"/>
        </w:rPr>
        <w:t>fiskarter som faller inom naturvårdslagens tillämpningsområde upp i förordningens bilaga 1. Det följer inga direkta rättsverkningar av att en art tas in i bilagan, men arterna i fråga kan vid behov fridlysas med stöd av 37 § 2 mom.</w:t>
      </w:r>
      <w:r>
        <w:rPr>
          <w:lang w:val="sv-FI"/>
        </w:rPr>
        <w:t xml:space="preserve"> i naturvårdslagen samt när vissa villkor är uppfyllda definieras som hotade arter och arter som kräver särskilt skydd i enlighet med lagens</w:t>
      </w:r>
      <w:r w:rsidRPr="00D21F45">
        <w:rPr>
          <w:lang w:val="sv-FI"/>
        </w:rPr>
        <w:t xml:space="preserve"> 46 </w:t>
      </w:r>
      <w:r>
        <w:rPr>
          <w:lang w:val="sv-FI"/>
        </w:rPr>
        <w:t>och</w:t>
      </w:r>
      <w:r w:rsidRPr="00D21F45">
        <w:rPr>
          <w:lang w:val="sv-FI"/>
        </w:rPr>
        <w:t xml:space="preserve"> 47 §.</w:t>
      </w:r>
    </w:p>
    <w:p w:rsidR="004138F7" w:rsidRPr="00F306E1" w:rsidRDefault="004138F7" w:rsidP="004138F7">
      <w:pPr>
        <w:pStyle w:val="Leipteksti"/>
        <w:rPr>
          <w:lang w:val="sv-FI"/>
        </w:rPr>
      </w:pPr>
      <w:r w:rsidRPr="00D21F45">
        <w:rPr>
          <w:lang w:val="sv-FI"/>
        </w:rPr>
        <w:t xml:space="preserve">Bilaga 2: Enligt 38 § i naturvårdslagen är alla däggdjur och fåglar som faller inom </w:t>
      </w:r>
      <w:r>
        <w:rPr>
          <w:lang w:val="sv-FI"/>
        </w:rPr>
        <w:t xml:space="preserve">lagens </w:t>
      </w:r>
      <w:r w:rsidRPr="00D21F45">
        <w:rPr>
          <w:lang w:val="sv-FI"/>
        </w:rPr>
        <w:t>tillämpningsområde fridlysta. Om existensen av en djurart som inte hör till däggdjuren eller fåglarna blir hotad, eller om fridlysning av någon annan anledning visar sig behövlig, kan en sådan art genom förordning fridlysas i hela landet eller i en del av landet. De djurarter som enligt 38 § 2 mom. i naturvårdslagen är fridlysta räknas i enlighet</w:t>
      </w:r>
      <w:r>
        <w:rPr>
          <w:lang w:val="sv-FI"/>
        </w:rPr>
        <w:t xml:space="preserve"> med 18 § i naturvårdsförordningen upp i förordningens bilaga</w:t>
      </w:r>
      <w:r w:rsidRPr="00D21F45">
        <w:rPr>
          <w:lang w:val="sv-FI"/>
        </w:rPr>
        <w:t xml:space="preserve"> 2. </w:t>
      </w:r>
      <w:r w:rsidRPr="00F306E1">
        <w:rPr>
          <w:lang w:val="sv-FI"/>
        </w:rPr>
        <w:t>Då ska fridlysningsbestämmelserna enligt 39 § i naturvårds</w:t>
      </w:r>
      <w:r>
        <w:rPr>
          <w:lang w:val="sv-FI"/>
        </w:rPr>
        <w:t>l</w:t>
      </w:r>
      <w:r w:rsidRPr="00F306E1">
        <w:rPr>
          <w:lang w:val="sv-FI"/>
        </w:rPr>
        <w:t xml:space="preserve">agen iakttas </w:t>
      </w:r>
      <w:r>
        <w:rPr>
          <w:lang w:val="sv-FI"/>
        </w:rPr>
        <w:t>beträffade arten i fråga</w:t>
      </w:r>
      <w:r w:rsidRPr="00F306E1">
        <w:rPr>
          <w:lang w:val="sv-FI"/>
        </w:rPr>
        <w:t>. På motsvarande sätt är det möjligt att avvika från fridlysningsbestämmelserna i d</w:t>
      </w:r>
      <w:r>
        <w:rPr>
          <w:lang w:val="sv-FI"/>
        </w:rPr>
        <w:t>en ordning som anges i lagens</w:t>
      </w:r>
      <w:r w:rsidRPr="00F306E1">
        <w:rPr>
          <w:lang w:val="sv-FI"/>
        </w:rPr>
        <w:t xml:space="preserve"> 48 </w:t>
      </w:r>
      <w:r>
        <w:rPr>
          <w:lang w:val="sv-FI"/>
        </w:rPr>
        <w:t>och</w:t>
      </w:r>
      <w:r w:rsidRPr="00F306E1">
        <w:rPr>
          <w:lang w:val="sv-FI"/>
        </w:rPr>
        <w:t xml:space="preserve"> 49 §.</w:t>
      </w:r>
    </w:p>
    <w:p w:rsidR="004138F7" w:rsidRPr="000837B8" w:rsidRDefault="004138F7" w:rsidP="004138F7">
      <w:pPr>
        <w:pStyle w:val="Leipteksti"/>
        <w:rPr>
          <w:lang w:val="sv-FI"/>
        </w:rPr>
      </w:pPr>
      <w:r w:rsidRPr="00931402">
        <w:rPr>
          <w:lang w:val="sv-FI"/>
        </w:rPr>
        <w:t xml:space="preserve">Bilaga 3: I 42 § i naturvårdslagen sägs att om existensen av en vild växtart blir hotad, eller om fridlysning av någon annan anledning visar sig behövlig, kan en sådan art fridlysas genom förordning i hela landet eller i en del av landet. </w:t>
      </w:r>
      <w:r w:rsidRPr="000837B8">
        <w:rPr>
          <w:lang w:val="sv-FI"/>
        </w:rPr>
        <w:t xml:space="preserve">De växtarter som enligt 42 § 1 mom. i naturvårdslagen är fridlysta i hela landet räknas </w:t>
      </w:r>
      <w:r>
        <w:rPr>
          <w:lang w:val="sv-FI"/>
        </w:rPr>
        <w:t xml:space="preserve">i enlighet med 20 § i naturvårdsförordningen </w:t>
      </w:r>
      <w:r w:rsidRPr="000837B8">
        <w:rPr>
          <w:lang w:val="sv-FI"/>
        </w:rPr>
        <w:t>upp i förordningens bilaga 3. Då ska fridlysningsbestämmelserna enligt 42 § i naturvårdslagen iakttas beträffa</w:t>
      </w:r>
      <w:r>
        <w:rPr>
          <w:lang w:val="sv-FI"/>
        </w:rPr>
        <w:t>nde arten i fråga</w:t>
      </w:r>
      <w:r w:rsidRPr="000837B8">
        <w:rPr>
          <w:lang w:val="sv-FI"/>
        </w:rPr>
        <w:t>. På motsvarande sätt är det möjligt att avvika från fridlysningsbestämmelserna i d</w:t>
      </w:r>
      <w:r>
        <w:rPr>
          <w:lang w:val="sv-FI"/>
        </w:rPr>
        <w:t>en ordning som anges i lagens</w:t>
      </w:r>
      <w:r w:rsidRPr="000837B8">
        <w:rPr>
          <w:lang w:val="sv-FI"/>
        </w:rPr>
        <w:t xml:space="preserve"> 48 </w:t>
      </w:r>
      <w:r>
        <w:rPr>
          <w:lang w:val="sv-FI"/>
        </w:rPr>
        <w:t>och</w:t>
      </w:r>
      <w:r w:rsidRPr="000837B8">
        <w:rPr>
          <w:lang w:val="sv-FI"/>
        </w:rPr>
        <w:t xml:space="preserve"> 49 §.</w:t>
      </w:r>
    </w:p>
    <w:p w:rsidR="004138F7" w:rsidRPr="000837B8" w:rsidRDefault="004138F7" w:rsidP="004138F7">
      <w:pPr>
        <w:pStyle w:val="Leipteksti"/>
        <w:rPr>
          <w:lang w:val="sv-FI"/>
        </w:rPr>
      </w:pPr>
      <w:r w:rsidRPr="000837B8">
        <w:rPr>
          <w:lang w:val="sv-FI"/>
        </w:rPr>
        <w:t xml:space="preserve">Bilaga 4: Enligt 46 § i naturvårdslagen </w:t>
      </w:r>
      <w:r>
        <w:rPr>
          <w:lang w:val="sv-FI"/>
        </w:rPr>
        <w:t>kan g</w:t>
      </w:r>
      <w:r w:rsidRPr="000837B8">
        <w:rPr>
          <w:lang w:val="sv-FI"/>
        </w:rPr>
        <w:t xml:space="preserve">enom förordning </w:t>
      </w:r>
      <w:r>
        <w:rPr>
          <w:lang w:val="sv-FI"/>
        </w:rPr>
        <w:t>föreskrivas</w:t>
      </w:r>
      <w:r w:rsidRPr="000837B8">
        <w:rPr>
          <w:lang w:val="sv-FI"/>
        </w:rPr>
        <w:t xml:space="preserve"> att en sådan vild art vars naturliga fortlevnad i Finland är i fara förklaras hotad. Enligt 21 § i naturvårdsförordningen räknas </w:t>
      </w:r>
      <w:r>
        <w:rPr>
          <w:lang w:val="sv-FI"/>
        </w:rPr>
        <w:t>d</w:t>
      </w:r>
      <w:r w:rsidRPr="000837B8">
        <w:rPr>
          <w:lang w:val="sv-FI"/>
        </w:rPr>
        <w:t xml:space="preserve">e i </w:t>
      </w:r>
      <w:r>
        <w:rPr>
          <w:lang w:val="sv-FI"/>
        </w:rPr>
        <w:t xml:space="preserve">lagens </w:t>
      </w:r>
      <w:r w:rsidRPr="000837B8">
        <w:rPr>
          <w:lang w:val="sv-FI"/>
        </w:rPr>
        <w:t>46 §</w:t>
      </w:r>
      <w:r>
        <w:rPr>
          <w:lang w:val="sv-FI"/>
        </w:rPr>
        <w:t xml:space="preserve"> </w:t>
      </w:r>
      <w:r w:rsidRPr="000837B8">
        <w:rPr>
          <w:lang w:val="sv-FI"/>
        </w:rPr>
        <w:t>avsedda hotade arterna räknas upp i förordningens bilaga 4. Att en art definieras som en hotad art har inga direkta rättsverkningar med avse</w:t>
      </w:r>
      <w:r>
        <w:rPr>
          <w:lang w:val="sv-FI"/>
        </w:rPr>
        <w:t>ende på skyddet</w:t>
      </w:r>
      <w:r w:rsidRPr="000837B8">
        <w:rPr>
          <w:lang w:val="sv-FI"/>
        </w:rPr>
        <w:t xml:space="preserve">. I 2 § 2 mom. i naturvårdsförordningen sägs dock att </w:t>
      </w:r>
      <w:r>
        <w:rPr>
          <w:lang w:val="sv-FI"/>
        </w:rPr>
        <w:t>o</w:t>
      </w:r>
      <w:r w:rsidRPr="000837B8">
        <w:rPr>
          <w:lang w:val="sv-FI"/>
        </w:rPr>
        <w:t>m man kan räkna med att skyddsnivån för en art eller en naturtyp inte är gynnsam, ska miljöministeriet vidta åtgärder för att en gynnsam skyddsnivå ska uppnås.</w:t>
      </w:r>
    </w:p>
    <w:p w:rsidR="004138F7" w:rsidRPr="002F1B19" w:rsidRDefault="004138F7" w:rsidP="004138F7">
      <w:pPr>
        <w:pStyle w:val="Leipteksti"/>
        <w:rPr>
          <w:lang w:val="sv-FI"/>
        </w:rPr>
      </w:pPr>
      <w:r w:rsidRPr="000837B8">
        <w:rPr>
          <w:lang w:val="sv-FI"/>
        </w:rPr>
        <w:t xml:space="preserve">Enligt 47 § i naturvårdslagen </w:t>
      </w:r>
      <w:r>
        <w:rPr>
          <w:lang w:val="sv-FI"/>
        </w:rPr>
        <w:t>kan g</w:t>
      </w:r>
      <w:r w:rsidRPr="000837B8">
        <w:rPr>
          <w:lang w:val="sv-FI"/>
        </w:rPr>
        <w:t xml:space="preserve">enom förordning </w:t>
      </w:r>
      <w:r>
        <w:rPr>
          <w:lang w:val="sv-FI"/>
        </w:rPr>
        <w:t>föreskrivas</w:t>
      </w:r>
      <w:r w:rsidRPr="000837B8">
        <w:rPr>
          <w:lang w:val="sv-FI"/>
        </w:rPr>
        <w:t xml:space="preserve"> att en sådan hotad art som uppenbart hotas av utrotning åtnjuter särskilt skydd. Miljöministeriet ska vid behov utarbeta program för att återuppliva beståndet eller bestånden av arter som kräver särskilt skydd</w:t>
      </w:r>
      <w:r>
        <w:rPr>
          <w:lang w:val="sv-FI"/>
        </w:rPr>
        <w:t>.</w:t>
      </w:r>
      <w:r w:rsidRPr="000837B8">
        <w:rPr>
          <w:color w:val="444444"/>
          <w:shd w:val="clear" w:color="auto" w:fill="FFFFFF"/>
          <w:lang w:val="sv-FI"/>
        </w:rPr>
        <w:t xml:space="preserve"> </w:t>
      </w:r>
      <w:r w:rsidRPr="002F1B19">
        <w:rPr>
          <w:lang w:val="sv-FI"/>
        </w:rPr>
        <w:t xml:space="preserve">Enligt 22 § i naturvårdsförordningen har </w:t>
      </w:r>
      <w:r>
        <w:rPr>
          <w:lang w:val="sv-FI"/>
        </w:rPr>
        <w:t>d</w:t>
      </w:r>
      <w:r w:rsidRPr="002F1B19">
        <w:rPr>
          <w:lang w:val="sv-FI"/>
        </w:rPr>
        <w:t>e i 47 § 1 mom. naturvårdslagen avsedda särskilt skyddade arterna i förordningens bilaga 4 märkts ut med en stjärna (*).</w:t>
      </w:r>
    </w:p>
    <w:p w:rsidR="004138F7" w:rsidRPr="00436194" w:rsidRDefault="004138F7" w:rsidP="004138F7">
      <w:pPr>
        <w:pStyle w:val="Leipteksti"/>
        <w:rPr>
          <w:lang w:val="sv-FI"/>
        </w:rPr>
      </w:pPr>
      <w:r w:rsidRPr="00E976C7">
        <w:rPr>
          <w:lang w:val="sv-FI"/>
        </w:rPr>
        <w:t>Med stöd av 47 § 2 mom. i naturvårdslagen är</w:t>
      </w:r>
      <w:r>
        <w:rPr>
          <w:lang w:val="sv-FI"/>
        </w:rPr>
        <w:t xml:space="preserve"> det</w:t>
      </w:r>
      <w:r w:rsidRPr="00E976C7">
        <w:rPr>
          <w:lang w:val="sv-FI"/>
        </w:rPr>
        <w:t xml:space="preserve"> förbjudet att förstöra eller försämra förekomstplatser som är viktiga för att en art som kräver särskilt skydd ska kunna fortleva. </w:t>
      </w:r>
      <w:r>
        <w:rPr>
          <w:lang w:val="sv-FI"/>
        </w:rPr>
        <w:t>F</w:t>
      </w:r>
      <w:r w:rsidRPr="00E976C7">
        <w:rPr>
          <w:lang w:val="sv-FI"/>
        </w:rPr>
        <w:t>örbud</w:t>
      </w:r>
      <w:r>
        <w:rPr>
          <w:lang w:val="sv-FI"/>
        </w:rPr>
        <w:t>et</w:t>
      </w:r>
      <w:r w:rsidRPr="00E976C7">
        <w:rPr>
          <w:lang w:val="sv-FI"/>
        </w:rPr>
        <w:t xml:space="preserve"> träder i kraft när närings-, trafik- och miljöcentralen har fattat beslut om gränserna för den plats där en art som kräver särskilt skydd förekommer och delgivit områdets ägare och innehavare beslutet. </w:t>
      </w:r>
      <w:r w:rsidRPr="00436194">
        <w:rPr>
          <w:lang w:val="sv-FI"/>
        </w:rPr>
        <w:t>Genom ett beslut enligt lagens 47 § är det förbjudet att förstöra eller försämra förekomstplatser för arten i fråga, m</w:t>
      </w:r>
      <w:r>
        <w:rPr>
          <w:lang w:val="sv-FI"/>
        </w:rPr>
        <w:t>en detta hindrar inte att området används</w:t>
      </w:r>
      <w:r w:rsidRPr="00436194">
        <w:rPr>
          <w:lang w:val="sv-FI"/>
        </w:rPr>
        <w:t xml:space="preserve">, </w:t>
      </w:r>
      <w:r>
        <w:rPr>
          <w:lang w:val="sv-FI"/>
        </w:rPr>
        <w:t>om användningen inte skadar arten i fråga</w:t>
      </w:r>
      <w:r w:rsidRPr="00436194">
        <w:rPr>
          <w:lang w:val="sv-FI"/>
        </w:rPr>
        <w:t>. Det är möjligt att häva skyddet för en förekomstplats för en art som kräver särskilt sky</w:t>
      </w:r>
      <w:r>
        <w:rPr>
          <w:lang w:val="sv-FI"/>
        </w:rPr>
        <w:t>dd i den ordning som anges i lagens</w:t>
      </w:r>
      <w:r w:rsidRPr="00436194">
        <w:rPr>
          <w:lang w:val="sv-FI"/>
        </w:rPr>
        <w:t xml:space="preserve"> 47 § 4 mom.</w:t>
      </w:r>
    </w:p>
    <w:p w:rsidR="004138F7" w:rsidRPr="00237F40" w:rsidRDefault="004138F7" w:rsidP="004138F7">
      <w:pPr>
        <w:pStyle w:val="Leipteksti"/>
        <w:rPr>
          <w:lang w:val="sv-FI"/>
        </w:rPr>
      </w:pPr>
      <w:r w:rsidRPr="00A73254">
        <w:rPr>
          <w:lang w:val="sv-FI"/>
        </w:rPr>
        <w:lastRenderedPageBreak/>
        <w:t xml:space="preserve">Bilaga 5: Enligt artikel 12 i habitatdirektivet ska </w:t>
      </w:r>
      <w:r>
        <w:rPr>
          <w:lang w:val="sv-FI"/>
        </w:rPr>
        <w:t>m</w:t>
      </w:r>
      <w:r w:rsidRPr="00A73254">
        <w:rPr>
          <w:lang w:val="sv-FI"/>
        </w:rPr>
        <w:t xml:space="preserve">edlemsstaterna vidta nödvändiga åtgärder för införande av ett strikt skyddssystem i det naturliga utbredningsområdet för de djurarter som finns förtecknade i bilaga </w:t>
      </w:r>
      <w:r>
        <w:rPr>
          <w:lang w:val="sv-FI"/>
        </w:rPr>
        <w:t>IV</w:t>
      </w:r>
      <w:r w:rsidRPr="00A73254">
        <w:rPr>
          <w:lang w:val="sv-FI"/>
        </w:rPr>
        <w:t xml:space="preserve"> a, med förbud mot</w:t>
      </w:r>
      <w:r>
        <w:rPr>
          <w:lang w:val="sv-FI"/>
        </w:rPr>
        <w:t xml:space="preserve"> </w:t>
      </w:r>
      <w:r w:rsidRPr="00A73254">
        <w:rPr>
          <w:lang w:val="sv-FI"/>
        </w:rPr>
        <w:t>att avsiktligt fånga eller döda exemplar av dessa arter i naturen, oavsett hur detta görs,</w:t>
      </w:r>
      <w:r>
        <w:rPr>
          <w:lang w:val="sv-FI"/>
        </w:rPr>
        <w:t xml:space="preserve"> </w:t>
      </w:r>
      <w:r w:rsidRPr="00A73254">
        <w:rPr>
          <w:lang w:val="sv-FI"/>
        </w:rPr>
        <w:t>att avsiktligt störa dessa arter, särskilt under deras parnings-, uppfödnings-, övervintrings- och flyttningsperioder,</w:t>
      </w:r>
      <w:r>
        <w:rPr>
          <w:lang w:val="sv-FI"/>
        </w:rPr>
        <w:t xml:space="preserve"> </w:t>
      </w:r>
      <w:r w:rsidRPr="00A73254">
        <w:rPr>
          <w:lang w:val="sv-FI"/>
        </w:rPr>
        <w:t>att avsiktligt förstöra eller samla in ägg i naturen,</w:t>
      </w:r>
      <w:r>
        <w:rPr>
          <w:lang w:val="sv-FI"/>
        </w:rPr>
        <w:t xml:space="preserve"> och </w:t>
      </w:r>
      <w:r w:rsidRPr="00A73254">
        <w:rPr>
          <w:lang w:val="sv-FI"/>
        </w:rPr>
        <w:t xml:space="preserve">att skada eller förstöra parningsplatser eller rastplatser. </w:t>
      </w:r>
      <w:r w:rsidRPr="0005386B">
        <w:rPr>
          <w:lang w:val="sv-FI"/>
        </w:rPr>
        <w:t>Förbuden i artikeln har genomförts nationellt genom bestämmelserna i 38, 39 o</w:t>
      </w:r>
      <w:r>
        <w:rPr>
          <w:lang w:val="sv-FI"/>
        </w:rPr>
        <w:t>ch</w:t>
      </w:r>
      <w:r w:rsidRPr="0005386B">
        <w:rPr>
          <w:lang w:val="sv-FI"/>
        </w:rPr>
        <w:t xml:space="preserve"> 49 §</w:t>
      </w:r>
      <w:r>
        <w:rPr>
          <w:lang w:val="sv-FI"/>
        </w:rPr>
        <w:t xml:space="preserve"> i naturvårdslagen</w:t>
      </w:r>
      <w:r w:rsidRPr="0005386B">
        <w:rPr>
          <w:lang w:val="sv-FI"/>
        </w:rPr>
        <w:t xml:space="preserve">. </w:t>
      </w:r>
      <w:r w:rsidRPr="00237F40">
        <w:rPr>
          <w:lang w:val="sv-FI"/>
        </w:rPr>
        <w:t xml:space="preserve">Förbuden gäller på det sätt som direktivet avser arter enligt bilaga </w:t>
      </w:r>
      <w:r>
        <w:rPr>
          <w:lang w:val="sv-FI"/>
        </w:rPr>
        <w:t>IV</w:t>
      </w:r>
      <w:r w:rsidRPr="00237F40">
        <w:rPr>
          <w:lang w:val="sv-FI"/>
        </w:rPr>
        <w:t xml:space="preserve"> a som förekommer i Finland, oavsett </w:t>
      </w:r>
      <w:r>
        <w:rPr>
          <w:lang w:val="sv-FI"/>
        </w:rPr>
        <w:t>om den nationella förteckningen som gäller dem är fullständig</w:t>
      </w:r>
      <w:r w:rsidRPr="00237F40">
        <w:rPr>
          <w:lang w:val="sv-FI"/>
        </w:rPr>
        <w:t xml:space="preserve">. </w:t>
      </w:r>
      <w:r>
        <w:rPr>
          <w:lang w:val="sv-FI"/>
        </w:rPr>
        <w:t>Förteckningen i bilaga</w:t>
      </w:r>
      <w:r w:rsidRPr="00237F40">
        <w:rPr>
          <w:lang w:val="sv-FI"/>
        </w:rPr>
        <w:t xml:space="preserve"> 5 är således </w:t>
      </w:r>
      <w:r>
        <w:rPr>
          <w:lang w:val="sv-FI"/>
        </w:rPr>
        <w:t>av informativ natur</w:t>
      </w:r>
      <w:r w:rsidRPr="00237F40">
        <w:rPr>
          <w:lang w:val="sv-FI"/>
        </w:rPr>
        <w:t>. Det är dock av betydelse för rättssäkerheten att förteckningen är</w:t>
      </w:r>
      <w:r>
        <w:rPr>
          <w:lang w:val="sv-FI"/>
        </w:rPr>
        <w:t xml:space="preserve"> komplett</w:t>
      </w:r>
      <w:r w:rsidRPr="00237F40">
        <w:rPr>
          <w:lang w:val="sv-FI"/>
        </w:rPr>
        <w:t>.</w:t>
      </w:r>
    </w:p>
    <w:p w:rsidR="004138F7" w:rsidRDefault="004138F7" w:rsidP="004138F7">
      <w:pPr>
        <w:pStyle w:val="Leipteksti"/>
        <w:rPr>
          <w:lang w:val="sv-SE"/>
        </w:rPr>
      </w:pPr>
    </w:p>
    <w:p w:rsidR="004138F7" w:rsidRPr="004138F7" w:rsidRDefault="004138F7" w:rsidP="004138F7">
      <w:pPr>
        <w:pStyle w:val="Leipteksti"/>
        <w:rPr>
          <w:lang w:val="sv-SE"/>
        </w:rPr>
      </w:pPr>
      <w:r w:rsidRPr="004138F7">
        <w:rPr>
          <w:lang w:val="sv-SE"/>
        </w:rPr>
        <w:t>3.2 Förslagets övriga konsekvenser</w:t>
      </w:r>
    </w:p>
    <w:p w:rsidR="004138F7" w:rsidRPr="00DB6117" w:rsidRDefault="004138F7" w:rsidP="004138F7">
      <w:pPr>
        <w:pStyle w:val="Leipteksti"/>
        <w:rPr>
          <w:lang w:val="sv-FI"/>
        </w:rPr>
      </w:pPr>
      <w:r w:rsidRPr="00361E49">
        <w:rPr>
          <w:lang w:val="sv-FI"/>
        </w:rPr>
        <w:t>De ändringar som föreslås i förordningens bilagor har inga betydande konsekvenser för statsfinanserna eller myndigheternas verksamhe</w:t>
      </w:r>
      <w:r>
        <w:rPr>
          <w:lang w:val="sv-FI"/>
        </w:rPr>
        <w:t>t</w:t>
      </w:r>
      <w:r w:rsidRPr="00361E49">
        <w:rPr>
          <w:lang w:val="sv-FI"/>
        </w:rPr>
        <w:t xml:space="preserve">. </w:t>
      </w:r>
      <w:r w:rsidRPr="00DB6117">
        <w:rPr>
          <w:lang w:val="sv-FI"/>
        </w:rPr>
        <w:t xml:space="preserve">Att </w:t>
      </w:r>
      <w:r>
        <w:rPr>
          <w:lang w:val="sv-FI"/>
        </w:rPr>
        <w:t xml:space="preserve">det föreskrivs att </w:t>
      </w:r>
      <w:r w:rsidRPr="00DB6117">
        <w:rPr>
          <w:lang w:val="sv-FI"/>
        </w:rPr>
        <w:t xml:space="preserve">en art </w:t>
      </w:r>
      <w:r>
        <w:rPr>
          <w:lang w:val="sv-FI"/>
        </w:rPr>
        <w:t>är</w:t>
      </w:r>
      <w:r w:rsidRPr="00DB6117">
        <w:rPr>
          <w:lang w:val="sv-FI"/>
        </w:rPr>
        <w:t xml:space="preserve"> en art som kräver särskilt skydd har </w:t>
      </w:r>
      <w:r>
        <w:rPr>
          <w:lang w:val="sv-FI"/>
        </w:rPr>
        <w:t xml:space="preserve">vissa </w:t>
      </w:r>
      <w:r w:rsidRPr="00DB6117">
        <w:rPr>
          <w:lang w:val="sv-FI"/>
        </w:rPr>
        <w:t>indirekt</w:t>
      </w:r>
      <w:r>
        <w:rPr>
          <w:lang w:val="sv-FI"/>
        </w:rPr>
        <w:t>a</w:t>
      </w:r>
      <w:r w:rsidRPr="00DB6117">
        <w:rPr>
          <w:lang w:val="sv-FI"/>
        </w:rPr>
        <w:t xml:space="preserve"> konsekvenser, eftersom en förekomstplats so</w:t>
      </w:r>
      <w:r>
        <w:rPr>
          <w:lang w:val="sv-FI"/>
        </w:rPr>
        <w:t>m är viktig för att en art som kräver särskilt skydd ska fortleva kan</w:t>
      </w:r>
      <w:r w:rsidRPr="00DB6117">
        <w:rPr>
          <w:lang w:val="sv-FI"/>
        </w:rPr>
        <w:t xml:space="preserve"> </w:t>
      </w:r>
      <w:r>
        <w:rPr>
          <w:lang w:val="sv-FI"/>
        </w:rPr>
        <w:t xml:space="preserve">med stöd av </w:t>
      </w:r>
      <w:r w:rsidRPr="00DB6117">
        <w:rPr>
          <w:lang w:val="sv-FI"/>
        </w:rPr>
        <w:t>47 § 3 mom</w:t>
      </w:r>
      <w:r>
        <w:rPr>
          <w:lang w:val="sv-FI"/>
        </w:rPr>
        <w:t>. i naturvårdslagen avgränsas genom den regionala NTM-centralens beslut</w:t>
      </w:r>
      <w:r w:rsidRPr="00DB6117">
        <w:rPr>
          <w:lang w:val="sv-FI"/>
        </w:rPr>
        <w:t>. Genom beslutet träder ett förbud enligt 47 § 2 mom. i naturvårdslag</w:t>
      </w:r>
      <w:r>
        <w:rPr>
          <w:lang w:val="sv-FI"/>
        </w:rPr>
        <w:t>en mot att förstöra eller försämra förekomstplatsen för en art i kraft</w:t>
      </w:r>
      <w:r w:rsidRPr="00DB6117">
        <w:rPr>
          <w:lang w:val="sv-FI"/>
        </w:rPr>
        <w:t xml:space="preserve">. Till bestämmelsen hänför sig ersättningsbestämmelserna enligt 53 § i naturvårdslagen, enligt vilka fastighetsägaren eller innehavaren av en särskild rättighet </w:t>
      </w:r>
      <w:r>
        <w:rPr>
          <w:lang w:val="sv-FI"/>
        </w:rPr>
        <w:t xml:space="preserve">har rätt till ersättning, som skyddet åsamkar honom eller henne </w:t>
      </w:r>
      <w:r w:rsidRPr="00DB6117">
        <w:rPr>
          <w:lang w:val="sv-FI"/>
        </w:rPr>
        <w:t>betydelsefull olägenhet.</w:t>
      </w:r>
    </w:p>
    <w:p w:rsidR="004138F7" w:rsidRPr="00DB6117" w:rsidRDefault="004138F7" w:rsidP="004138F7">
      <w:pPr>
        <w:pStyle w:val="Leipteksti"/>
        <w:rPr>
          <w:lang w:val="sv-FI"/>
        </w:rPr>
      </w:pPr>
      <w:r w:rsidRPr="00DB6117">
        <w:rPr>
          <w:lang w:val="sv-FI"/>
        </w:rPr>
        <w:t>De förekomstplatser som avgränsas genom NTM-centralens beslut är i regel små. Under åren 2011–2020 har det fattats sammanlagt 107 beslut, som om</w:t>
      </w:r>
      <w:r>
        <w:rPr>
          <w:lang w:val="sv-FI"/>
        </w:rPr>
        <w:t>fattar en yta på sammanlagt cirka</w:t>
      </w:r>
      <w:r w:rsidRPr="00DB6117">
        <w:rPr>
          <w:lang w:val="sv-FI"/>
        </w:rPr>
        <w:t xml:space="preserve"> 416 he</w:t>
      </w:r>
      <w:r>
        <w:rPr>
          <w:lang w:val="sv-FI"/>
        </w:rPr>
        <w:t>ktar</w:t>
      </w:r>
      <w:r w:rsidRPr="00DB6117">
        <w:rPr>
          <w:lang w:val="sv-FI"/>
        </w:rPr>
        <w:t>. Under de tio åren har det betalats sammanlagt 386 475 euro i ersättningar, oc</w:t>
      </w:r>
      <w:r>
        <w:rPr>
          <w:lang w:val="sv-FI"/>
        </w:rPr>
        <w:t>h de ändringar som föreslås i bilaga 4 till förordningen bedöms inte förändra situationen kännbart</w:t>
      </w:r>
      <w:r w:rsidRPr="00DB6117">
        <w:rPr>
          <w:lang w:val="sv-FI"/>
        </w:rPr>
        <w:t xml:space="preserve">. Ersättningarna betalas av anslag som varje </w:t>
      </w:r>
      <w:r>
        <w:rPr>
          <w:lang w:val="sv-FI"/>
        </w:rPr>
        <w:t xml:space="preserve">år </w:t>
      </w:r>
      <w:r w:rsidRPr="00DB6117">
        <w:rPr>
          <w:lang w:val="sv-FI"/>
        </w:rPr>
        <w:t>anvisas särskilt för naturvård i statsbudgeten,</w:t>
      </w:r>
      <w:r>
        <w:rPr>
          <w:lang w:val="sv-FI"/>
        </w:rPr>
        <w:t xml:space="preserve"> och anslagsbehovet prövas varje år i samband med uppgörandet av statsbudgeten</w:t>
      </w:r>
      <w:r w:rsidRPr="00DB6117">
        <w:rPr>
          <w:lang w:val="sv-FI"/>
        </w:rPr>
        <w:t>.</w:t>
      </w:r>
    </w:p>
    <w:p w:rsidR="004138F7" w:rsidRDefault="004138F7" w:rsidP="004138F7">
      <w:pPr>
        <w:pStyle w:val="Leipteksti"/>
        <w:rPr>
          <w:lang w:val="sv-FI"/>
        </w:rPr>
      </w:pPr>
    </w:p>
    <w:p w:rsidR="004138F7" w:rsidRPr="00746F36" w:rsidRDefault="004138F7" w:rsidP="004138F7">
      <w:pPr>
        <w:pStyle w:val="Leipteksti"/>
        <w:rPr>
          <w:lang w:val="sv-FI"/>
        </w:rPr>
      </w:pPr>
      <w:r w:rsidRPr="00746F36">
        <w:rPr>
          <w:lang w:val="sv-FI"/>
        </w:rPr>
        <w:t>4 Beredning av ärendet och yttranden</w:t>
      </w:r>
    </w:p>
    <w:p w:rsidR="004138F7" w:rsidRPr="00DB6117" w:rsidRDefault="004138F7" w:rsidP="004138F7">
      <w:pPr>
        <w:pStyle w:val="Leipteksti"/>
        <w:rPr>
          <w:lang w:val="sv-FI"/>
        </w:rPr>
      </w:pPr>
      <w:r w:rsidRPr="00DB6117">
        <w:rPr>
          <w:lang w:val="sv-FI"/>
        </w:rPr>
        <w:t xml:space="preserve">Förslaget har i huvudsak beretts som tjänsteuppdrag vid </w:t>
      </w:r>
      <w:r>
        <w:rPr>
          <w:lang w:val="sv-FI"/>
        </w:rPr>
        <w:t>miljöministeriet</w:t>
      </w:r>
      <w:r w:rsidRPr="00DB6117">
        <w:rPr>
          <w:lang w:val="sv-FI"/>
        </w:rPr>
        <w:t>. Hotbedömningen av arterna, som har använts som central</w:t>
      </w:r>
      <w:r>
        <w:rPr>
          <w:lang w:val="sv-FI"/>
        </w:rPr>
        <w:t>t</w:t>
      </w:r>
      <w:r w:rsidRPr="00DB6117">
        <w:rPr>
          <w:lang w:val="sv-FI"/>
        </w:rPr>
        <w:t xml:space="preserve"> kunskapsunderlag vid beredningen av de ändringar som föreslås i bilaga 4, </w:t>
      </w:r>
      <w:r>
        <w:rPr>
          <w:lang w:val="sv-FI"/>
        </w:rPr>
        <w:t>är i enlighet med vad som förklaras i punkt</w:t>
      </w:r>
      <w:r w:rsidRPr="00DB6117">
        <w:rPr>
          <w:lang w:val="sv-FI"/>
        </w:rPr>
        <w:t xml:space="preserve"> 2.3 </w:t>
      </w:r>
      <w:r>
        <w:rPr>
          <w:lang w:val="sv-FI"/>
        </w:rPr>
        <w:t>ett omfattande arbete som gjorts av expertarbetsgrupper</w:t>
      </w:r>
      <w:r w:rsidRPr="00DB6117">
        <w:rPr>
          <w:lang w:val="sv-FI"/>
        </w:rPr>
        <w:t>.</w:t>
      </w:r>
    </w:p>
    <w:p w:rsidR="004138F7" w:rsidRDefault="004138F7" w:rsidP="004138F7">
      <w:pPr>
        <w:pStyle w:val="Leipteksti"/>
        <w:rPr>
          <w:lang w:val="sv-FI"/>
        </w:rPr>
      </w:pPr>
    </w:p>
    <w:p w:rsidR="004138F7" w:rsidRPr="00746F36" w:rsidRDefault="004138F7" w:rsidP="004138F7">
      <w:pPr>
        <w:pStyle w:val="Leipteksti"/>
        <w:rPr>
          <w:lang w:val="sv-FI"/>
        </w:rPr>
      </w:pPr>
      <w:bookmarkStart w:id="0" w:name="_GoBack"/>
      <w:bookmarkEnd w:id="0"/>
      <w:r w:rsidRPr="00746F36">
        <w:rPr>
          <w:lang w:val="sv-FI"/>
        </w:rPr>
        <w:t>5 Förordningens ikraftträdande</w:t>
      </w:r>
    </w:p>
    <w:p w:rsidR="004138F7" w:rsidRPr="0076098B" w:rsidRDefault="004138F7" w:rsidP="004138F7">
      <w:pPr>
        <w:pStyle w:val="Leipteksti"/>
        <w:rPr>
          <w:lang w:val="sv-FI"/>
        </w:rPr>
      </w:pPr>
      <w:r w:rsidRPr="0076098B">
        <w:rPr>
          <w:lang w:val="sv-FI"/>
        </w:rPr>
        <w:t xml:space="preserve">Förordningen föreslås träda i kraft så snart som möjligt efter det att den </w:t>
      </w:r>
      <w:r>
        <w:rPr>
          <w:lang w:val="sv-FI"/>
        </w:rPr>
        <w:t>har antagits</w:t>
      </w:r>
      <w:r w:rsidRPr="0076098B">
        <w:rPr>
          <w:lang w:val="sv-FI"/>
        </w:rPr>
        <w:t>.</w:t>
      </w:r>
    </w:p>
    <w:p w:rsidR="00125124" w:rsidRPr="008D1602" w:rsidRDefault="00125124" w:rsidP="008D1602">
      <w:pPr>
        <w:tabs>
          <w:tab w:val="clear" w:pos="2608"/>
          <w:tab w:val="clear" w:pos="5670"/>
        </w:tabs>
        <w:rPr>
          <w:rFonts w:eastAsia="Calibri" w:cs="Calibri"/>
        </w:rPr>
      </w:pPr>
    </w:p>
    <w:sectPr w:rsidR="00125124" w:rsidRPr="008D1602" w:rsidSect="00A40ED0">
      <w:headerReference w:type="default" r:id="rId8"/>
      <w:headerReference w:type="first" r:id="rId9"/>
      <w:footerReference w:type="first" r:id="rId10"/>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05A" w:rsidRDefault="00D9005A" w:rsidP="00AC7BC5">
      <w:r>
        <w:separator/>
      </w:r>
    </w:p>
    <w:p w:rsidR="00D9005A" w:rsidRDefault="00D9005A"/>
  </w:endnote>
  <w:endnote w:type="continuationSeparator" w:id="0">
    <w:p w:rsidR="00D9005A" w:rsidRDefault="00D9005A" w:rsidP="00AC7BC5">
      <w:r>
        <w:continuationSeparator/>
      </w:r>
    </w:p>
    <w:p w:rsidR="00D9005A" w:rsidRDefault="00D90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02" w:rsidRPr="00287385" w:rsidRDefault="008D1602" w:rsidP="008D1602">
    <w:pPr>
      <w:pStyle w:val="Alatunniste"/>
    </w:pPr>
  </w:p>
  <w:p w:rsidR="008D1602" w:rsidRPr="001C42A2" w:rsidRDefault="008D1602" w:rsidP="008D1602">
    <w:pPr>
      <w:pStyle w:val="Alatunniste"/>
    </w:pPr>
    <w:r w:rsidRPr="001C42A2">
      <w:rPr>
        <w:b/>
        <w:bCs/>
      </w:rPr>
      <w:t>Ympäristöministeriö</w:t>
    </w:r>
    <w:r w:rsidRPr="001C42A2">
      <w:tab/>
      <w:t>puh. 0295 16001</w:t>
    </w:r>
    <w:r w:rsidRPr="001C42A2">
      <w:tab/>
    </w:r>
    <w:r w:rsidRPr="001C42A2">
      <w:rPr>
        <w:b/>
        <w:bCs/>
      </w:rPr>
      <w:t>Miljöministeriet</w:t>
    </w:r>
    <w:r w:rsidRPr="001C42A2">
      <w:tab/>
      <w:t>tfn 0295 16001</w:t>
    </w:r>
    <w:r w:rsidRPr="001C42A2">
      <w:tab/>
    </w:r>
  </w:p>
  <w:p w:rsidR="008D1602" w:rsidRPr="001C42A2" w:rsidRDefault="008D1602" w:rsidP="008D1602">
    <w:pPr>
      <w:pStyle w:val="Alatunniste"/>
    </w:pPr>
    <w:r w:rsidRPr="001C42A2">
      <w:t>Aleksanterinkatu 7, Helsinki</w:t>
    </w:r>
    <w:r w:rsidRPr="001C42A2">
      <w:tab/>
      <w:t>www.ym.fi</w:t>
    </w:r>
    <w:r w:rsidRPr="001C42A2">
      <w:tab/>
      <w:t>Alexandersgatan 7</w:t>
    </w:r>
    <w:r w:rsidRPr="001C42A2">
      <w:tab/>
      <w:t>https://www.ym.f</w:t>
    </w:r>
    <w:r w:rsidR="00020D03">
      <w:t>i</w:t>
    </w:r>
  </w:p>
  <w:p w:rsidR="009939B4" w:rsidRPr="008D1602" w:rsidRDefault="008D1602" w:rsidP="008D1602">
    <w:pPr>
      <w:pStyle w:val="Alatunniste"/>
      <w:rPr>
        <w:lang w:val="sv-FI"/>
      </w:rPr>
    </w:pPr>
    <w:r w:rsidRPr="001C42A2">
      <w:rPr>
        <w:lang w:val="sv-FI"/>
      </w:rPr>
      <w:t xml:space="preserve">PL 35, 00023 </w:t>
    </w:r>
    <w:r w:rsidRPr="00043B13">
      <w:rPr>
        <w:lang w:val="sv-FI"/>
      </w:rPr>
      <w:t>Valtioneuvosto</w:t>
    </w:r>
    <w:r w:rsidRPr="00043B13">
      <w:rPr>
        <w:lang w:val="sv-FI"/>
      </w:rPr>
      <w:tab/>
    </w:r>
    <w:r w:rsidRPr="001C42A2">
      <w:rPr>
        <w:lang w:val="sv-FI"/>
      </w:rPr>
      <w:t xml:space="preserve">Y-tunnus </w:t>
    </w:r>
    <w:r w:rsidR="00E84281" w:rsidRPr="00847385">
      <w:rPr>
        <w:lang w:val="en-GB"/>
      </w:rPr>
      <w:t>0519456-1</w:t>
    </w:r>
    <w:r w:rsidRPr="00043B13">
      <w:rPr>
        <w:lang w:val="sv-FI"/>
      </w:rPr>
      <w:tab/>
    </w:r>
    <w:r w:rsidRPr="001C42A2">
      <w:rPr>
        <w:lang w:val="sv-FI"/>
      </w:rPr>
      <w:t>PB 35, 00023</w:t>
    </w:r>
    <w:r>
      <w:rPr>
        <w:lang w:val="sv-FI"/>
      </w:rPr>
      <w:t xml:space="preserve"> </w:t>
    </w:r>
    <w:r w:rsidRPr="00043B13">
      <w:rPr>
        <w:lang w:val="sv-FI"/>
      </w:rPr>
      <w:t>Statsrådet</w:t>
    </w:r>
    <w:r w:rsidRPr="00043B13">
      <w:rPr>
        <w:lang w:val="sv-FI"/>
      </w:rPr>
      <w:tab/>
    </w:r>
    <w:r w:rsidRPr="001C42A2">
      <w:rPr>
        <w:lang w:val="sv-FI"/>
      </w:rPr>
      <w:t xml:space="preserve">FO-nummer </w:t>
    </w:r>
    <w:r w:rsidR="00E84281" w:rsidRPr="00847385">
      <w:rPr>
        <w:lang w:val="en-GB"/>
      </w:rPr>
      <w:t>0519456-1</w:t>
    </w:r>
    <w:r w:rsidRPr="001C42A2">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05A" w:rsidRDefault="00D9005A" w:rsidP="00AC7BC5">
      <w:r>
        <w:separator/>
      </w:r>
    </w:p>
    <w:p w:rsidR="00D9005A" w:rsidRDefault="00D9005A"/>
  </w:footnote>
  <w:footnote w:type="continuationSeparator" w:id="0">
    <w:p w:rsidR="00D9005A" w:rsidRDefault="00D9005A" w:rsidP="00AC7BC5">
      <w:r>
        <w:continuationSeparator/>
      </w:r>
    </w:p>
    <w:p w:rsidR="00D9005A" w:rsidRDefault="00D900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Pr="00F1568B" w:rsidRDefault="00F1568B" w:rsidP="00F1568B">
    <w:pPr>
      <w:pStyle w:val="Yltunniste"/>
    </w:pPr>
    <w:r w:rsidRPr="005D4C87">
      <w:fldChar w:fldCharType="begin"/>
    </w:r>
    <w:r w:rsidRPr="005D4C87">
      <w:instrText>PAGE</w:instrText>
    </w:r>
    <w:r w:rsidRPr="005D4C87">
      <w:fldChar w:fldCharType="separate"/>
    </w:r>
    <w:r w:rsidR="000244AB">
      <w:rPr>
        <w:noProof/>
      </w:rPr>
      <w:t>2</w:t>
    </w:r>
    <w:r w:rsidRPr="005D4C87">
      <w:fldChar w:fldCharType="end"/>
    </w:r>
    <w:r w:rsidRPr="005D4C87">
      <w:t xml:space="preserve"> (</w:t>
    </w:r>
    <w:r w:rsidRPr="005D4C87">
      <w:fldChar w:fldCharType="begin"/>
    </w:r>
    <w:r w:rsidRPr="005D4C87">
      <w:instrText>NUMPAGES</w:instrText>
    </w:r>
    <w:r w:rsidRPr="005D4C87">
      <w:fldChar w:fldCharType="separate"/>
    </w:r>
    <w:r w:rsidR="000244AB">
      <w:rPr>
        <w:noProof/>
      </w:rPr>
      <w:t>4</w:t>
    </w:r>
    <w:r w:rsidRPr="005D4C87">
      <w:fldChar w:fldCharType="end"/>
    </w:r>
    <w:r w:rsidRPr="005D4C87">
      <w:t>)</w:t>
    </w:r>
  </w:p>
  <w:p w:rsidR="000070D0" w:rsidRDefault="008D1602">
    <w:r>
      <w:rPr>
        <w:noProof/>
        <w:lang w:eastAsia="fi-FI"/>
      </w:rPr>
      <w:drawing>
        <wp:anchor distT="0" distB="0" distL="114300" distR="114300" simplePos="0" relativeHeight="251660288" behindDoc="1" locked="0" layoutInCell="1" allowOverlap="1" wp14:anchorId="7D0F5E7D" wp14:editId="0BC32C9F">
          <wp:simplePos x="0" y="0"/>
          <wp:positionH relativeFrom="page">
            <wp:posOffset>648335</wp:posOffset>
          </wp:positionH>
          <wp:positionV relativeFrom="page">
            <wp:posOffset>407035</wp:posOffset>
          </wp:positionV>
          <wp:extent cx="2134800" cy="723600"/>
          <wp:effectExtent l="0" t="0" r="0" b="0"/>
          <wp:wrapNone/>
          <wp:docPr id="2" name="Kuva 2"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79" w:rsidRDefault="00893F7D" w:rsidP="008E71FB">
    <w:pPr>
      <w:pStyle w:val="Yltunniste"/>
    </w:pPr>
    <w:r>
      <w:rPr>
        <w:noProof/>
        <w:lang w:eastAsia="fi-FI"/>
      </w:rPr>
      <w:drawing>
        <wp:anchor distT="0" distB="0" distL="114300" distR="114300" simplePos="0" relativeHeight="251658240" behindDoc="1" locked="0" layoutInCell="1" allowOverlap="1" wp14:anchorId="20032092" wp14:editId="3C346693">
          <wp:simplePos x="0" y="0"/>
          <wp:positionH relativeFrom="page">
            <wp:posOffset>647700</wp:posOffset>
          </wp:positionH>
          <wp:positionV relativeFrom="page">
            <wp:posOffset>406400</wp:posOffset>
          </wp:positionV>
          <wp:extent cx="2134235" cy="72326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235" cy="723265"/>
                  </a:xfrm>
                  <a:prstGeom prst="rect">
                    <a:avLst/>
                  </a:prstGeom>
                </pic:spPr>
              </pic:pic>
            </a:graphicData>
          </a:graphic>
          <wp14:sizeRelH relativeFrom="margin">
            <wp14:pctWidth>0</wp14:pctWidth>
          </wp14:sizeRelH>
          <wp14:sizeRelV relativeFrom="margin">
            <wp14:pctHeight>0</wp14:pctHeight>
          </wp14:sizeRelV>
        </wp:anchor>
      </w:drawing>
    </w:r>
    <w:r w:rsidR="007A77BC" w:rsidRPr="008E71FB">
      <w:fldChar w:fldCharType="begin"/>
    </w:r>
    <w:r w:rsidR="007A77BC" w:rsidRPr="008E71FB">
      <w:instrText>PAGE</w:instrText>
    </w:r>
    <w:r w:rsidR="007A77BC" w:rsidRPr="008E71FB">
      <w:fldChar w:fldCharType="separate"/>
    </w:r>
    <w:r w:rsidR="004138F7">
      <w:rPr>
        <w:noProof/>
      </w:rPr>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4138F7">
      <w:rPr>
        <w:noProof/>
      </w:rPr>
      <w:t>4</w:t>
    </w:r>
    <w:r w:rsidR="007A77BC" w:rsidRPr="008E71FB">
      <w:fldChar w:fldCharType="end"/>
    </w:r>
    <w:r w:rsidR="007A77BC" w:rsidRPr="008E71FB">
      <w:t>)</w:t>
    </w:r>
  </w:p>
  <w:p w:rsidR="000070D0" w:rsidRDefault="000070D0" w:rsidP="00C2018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5"/>
  </w:num>
  <w:num w:numId="4">
    <w:abstractNumId w:val="19"/>
  </w:num>
  <w:num w:numId="5">
    <w:abstractNumId w:val="8"/>
  </w:num>
  <w:num w:numId="6">
    <w:abstractNumId w:val="6"/>
  </w:num>
  <w:num w:numId="7">
    <w:abstractNumId w:val="26"/>
  </w:num>
  <w:num w:numId="8">
    <w:abstractNumId w:val="13"/>
  </w:num>
  <w:num w:numId="9">
    <w:abstractNumId w:val="12"/>
  </w:num>
  <w:num w:numId="10">
    <w:abstractNumId w:val="14"/>
  </w:num>
  <w:num w:numId="11">
    <w:abstractNumId w:val="11"/>
  </w:num>
  <w:num w:numId="12">
    <w:abstractNumId w:val="5"/>
  </w:num>
  <w:num w:numId="13">
    <w:abstractNumId w:val="23"/>
  </w:num>
  <w:num w:numId="14">
    <w:abstractNumId w:val="24"/>
  </w:num>
  <w:num w:numId="15">
    <w:abstractNumId w:val="7"/>
  </w:num>
  <w:num w:numId="16">
    <w:abstractNumId w:val="27"/>
  </w:num>
  <w:num w:numId="17">
    <w:abstractNumId w:val="4"/>
  </w:num>
  <w:num w:numId="18">
    <w:abstractNumId w:val="20"/>
  </w:num>
  <w:num w:numId="19">
    <w:abstractNumId w:val="10"/>
  </w:num>
  <w:num w:numId="20">
    <w:abstractNumId w:val="22"/>
  </w:num>
  <w:num w:numId="21">
    <w:abstractNumId w:val="3"/>
  </w:num>
  <w:num w:numId="22">
    <w:abstractNumId w:val="21"/>
  </w:num>
  <w:num w:numId="23">
    <w:abstractNumId w:val="9"/>
  </w:num>
  <w:num w:numId="24">
    <w:abstractNumId w:val="1"/>
  </w:num>
  <w:num w:numId="25">
    <w:abstractNumId w:val="18"/>
  </w:num>
  <w:num w:numId="26">
    <w:abstractNumId w:val="17"/>
  </w:num>
  <w:num w:numId="27">
    <w:abstractNumId w:val="15"/>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23"/>
    <w:rsid w:val="00004A1C"/>
    <w:rsid w:val="000058ED"/>
    <w:rsid w:val="000070D0"/>
    <w:rsid w:val="00020D03"/>
    <w:rsid w:val="000244AB"/>
    <w:rsid w:val="00032ADC"/>
    <w:rsid w:val="00033395"/>
    <w:rsid w:val="00043B13"/>
    <w:rsid w:val="00047B49"/>
    <w:rsid w:val="000639CC"/>
    <w:rsid w:val="00064BA3"/>
    <w:rsid w:val="00071632"/>
    <w:rsid w:val="00074D1C"/>
    <w:rsid w:val="000C3BE9"/>
    <w:rsid w:val="000C7201"/>
    <w:rsid w:val="000C7E8C"/>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742FA"/>
    <w:rsid w:val="00287385"/>
    <w:rsid w:val="0030309C"/>
    <w:rsid w:val="00311193"/>
    <w:rsid w:val="0031154F"/>
    <w:rsid w:val="00313BCB"/>
    <w:rsid w:val="00317AA4"/>
    <w:rsid w:val="00345DE7"/>
    <w:rsid w:val="00350642"/>
    <w:rsid w:val="00351C7F"/>
    <w:rsid w:val="00356779"/>
    <w:rsid w:val="003606BB"/>
    <w:rsid w:val="00371133"/>
    <w:rsid w:val="003804DC"/>
    <w:rsid w:val="003A34B9"/>
    <w:rsid w:val="003B7DD9"/>
    <w:rsid w:val="003C19EE"/>
    <w:rsid w:val="003D4166"/>
    <w:rsid w:val="003D70A7"/>
    <w:rsid w:val="003E0879"/>
    <w:rsid w:val="003E10EB"/>
    <w:rsid w:val="003F4A60"/>
    <w:rsid w:val="004138F7"/>
    <w:rsid w:val="004145E6"/>
    <w:rsid w:val="00420D16"/>
    <w:rsid w:val="00434F82"/>
    <w:rsid w:val="00437D93"/>
    <w:rsid w:val="00456474"/>
    <w:rsid w:val="0045661C"/>
    <w:rsid w:val="00464F28"/>
    <w:rsid w:val="0047520D"/>
    <w:rsid w:val="00484774"/>
    <w:rsid w:val="004A0AEA"/>
    <w:rsid w:val="004E4251"/>
    <w:rsid w:val="004F4BAA"/>
    <w:rsid w:val="004F6B0C"/>
    <w:rsid w:val="00511BE5"/>
    <w:rsid w:val="00527C91"/>
    <w:rsid w:val="0054267A"/>
    <w:rsid w:val="00542CD9"/>
    <w:rsid w:val="005A266A"/>
    <w:rsid w:val="005B7196"/>
    <w:rsid w:val="005E48EA"/>
    <w:rsid w:val="005F5014"/>
    <w:rsid w:val="00601D7D"/>
    <w:rsid w:val="00605ACB"/>
    <w:rsid w:val="00606D23"/>
    <w:rsid w:val="0060724A"/>
    <w:rsid w:val="00612226"/>
    <w:rsid w:val="00653706"/>
    <w:rsid w:val="006739FF"/>
    <w:rsid w:val="00681A2C"/>
    <w:rsid w:val="006B2C10"/>
    <w:rsid w:val="006B426D"/>
    <w:rsid w:val="006D657D"/>
    <w:rsid w:val="006D6722"/>
    <w:rsid w:val="006E0F3C"/>
    <w:rsid w:val="006F36F8"/>
    <w:rsid w:val="00714450"/>
    <w:rsid w:val="0073191E"/>
    <w:rsid w:val="0073556F"/>
    <w:rsid w:val="0073713A"/>
    <w:rsid w:val="00760947"/>
    <w:rsid w:val="007632A7"/>
    <w:rsid w:val="007727E6"/>
    <w:rsid w:val="0079104E"/>
    <w:rsid w:val="007A77BC"/>
    <w:rsid w:val="007C7C4F"/>
    <w:rsid w:val="0080351B"/>
    <w:rsid w:val="008217E2"/>
    <w:rsid w:val="00830601"/>
    <w:rsid w:val="00843BF7"/>
    <w:rsid w:val="00860E8C"/>
    <w:rsid w:val="00865B97"/>
    <w:rsid w:val="00876CF1"/>
    <w:rsid w:val="00880A75"/>
    <w:rsid w:val="00893F7D"/>
    <w:rsid w:val="008B1667"/>
    <w:rsid w:val="008D1602"/>
    <w:rsid w:val="008E5DF6"/>
    <w:rsid w:val="008E71FB"/>
    <w:rsid w:val="008F0DD8"/>
    <w:rsid w:val="008F78F1"/>
    <w:rsid w:val="00920BDD"/>
    <w:rsid w:val="00920D1C"/>
    <w:rsid w:val="00967360"/>
    <w:rsid w:val="009845E6"/>
    <w:rsid w:val="009939B4"/>
    <w:rsid w:val="0099556F"/>
    <w:rsid w:val="009978C4"/>
    <w:rsid w:val="009B00F8"/>
    <w:rsid w:val="009D7BB0"/>
    <w:rsid w:val="009E3D1F"/>
    <w:rsid w:val="009E40DA"/>
    <w:rsid w:val="00A01F8D"/>
    <w:rsid w:val="00A0715C"/>
    <w:rsid w:val="00A139D0"/>
    <w:rsid w:val="00A3260C"/>
    <w:rsid w:val="00A32D4C"/>
    <w:rsid w:val="00A40ED0"/>
    <w:rsid w:val="00A50B0A"/>
    <w:rsid w:val="00A65357"/>
    <w:rsid w:val="00A71532"/>
    <w:rsid w:val="00A961CB"/>
    <w:rsid w:val="00AB124A"/>
    <w:rsid w:val="00AB3675"/>
    <w:rsid w:val="00AC7BC5"/>
    <w:rsid w:val="00AD043D"/>
    <w:rsid w:val="00AF69EA"/>
    <w:rsid w:val="00B06142"/>
    <w:rsid w:val="00B1395A"/>
    <w:rsid w:val="00B14070"/>
    <w:rsid w:val="00B361BA"/>
    <w:rsid w:val="00B36728"/>
    <w:rsid w:val="00B47A21"/>
    <w:rsid w:val="00BA7BA5"/>
    <w:rsid w:val="00BB1B52"/>
    <w:rsid w:val="00BC768D"/>
    <w:rsid w:val="00BF430D"/>
    <w:rsid w:val="00C10165"/>
    <w:rsid w:val="00C164B8"/>
    <w:rsid w:val="00C2018C"/>
    <w:rsid w:val="00C23806"/>
    <w:rsid w:val="00C257FC"/>
    <w:rsid w:val="00C44D9E"/>
    <w:rsid w:val="00C455E4"/>
    <w:rsid w:val="00C46D72"/>
    <w:rsid w:val="00C479A0"/>
    <w:rsid w:val="00C56D47"/>
    <w:rsid w:val="00C635DE"/>
    <w:rsid w:val="00C71063"/>
    <w:rsid w:val="00C72946"/>
    <w:rsid w:val="00C743E5"/>
    <w:rsid w:val="00C77D13"/>
    <w:rsid w:val="00C8584F"/>
    <w:rsid w:val="00C85D1C"/>
    <w:rsid w:val="00CA0EED"/>
    <w:rsid w:val="00CF347E"/>
    <w:rsid w:val="00D07AB2"/>
    <w:rsid w:val="00D32DA0"/>
    <w:rsid w:val="00D41A7E"/>
    <w:rsid w:val="00D43B00"/>
    <w:rsid w:val="00D51F5E"/>
    <w:rsid w:val="00D565A3"/>
    <w:rsid w:val="00D67C9F"/>
    <w:rsid w:val="00D724D2"/>
    <w:rsid w:val="00D72A44"/>
    <w:rsid w:val="00D74B23"/>
    <w:rsid w:val="00D9005A"/>
    <w:rsid w:val="00DA3383"/>
    <w:rsid w:val="00DD1C72"/>
    <w:rsid w:val="00DD3BA1"/>
    <w:rsid w:val="00DF5FF8"/>
    <w:rsid w:val="00E05681"/>
    <w:rsid w:val="00E178BA"/>
    <w:rsid w:val="00E20CFE"/>
    <w:rsid w:val="00E7785A"/>
    <w:rsid w:val="00E80176"/>
    <w:rsid w:val="00E81F28"/>
    <w:rsid w:val="00E83753"/>
    <w:rsid w:val="00E84281"/>
    <w:rsid w:val="00E8526A"/>
    <w:rsid w:val="00EB2C37"/>
    <w:rsid w:val="00EB3F49"/>
    <w:rsid w:val="00EE009F"/>
    <w:rsid w:val="00EE326A"/>
    <w:rsid w:val="00EF7807"/>
    <w:rsid w:val="00F1568B"/>
    <w:rsid w:val="00F21D78"/>
    <w:rsid w:val="00F40EEB"/>
    <w:rsid w:val="00F445A3"/>
    <w:rsid w:val="00F54179"/>
    <w:rsid w:val="00F90888"/>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ACFEB"/>
  <w15:docId w15:val="{4B8A5DD5-B312-4591-BF5D-12BCAC9F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8D1602"/>
    <w:pPr>
      <w:tabs>
        <w:tab w:val="left" w:pos="2608"/>
        <w:tab w:val="left" w:pos="5670"/>
      </w:tabs>
    </w:pPr>
    <w:rPr>
      <w:sz w:val="21"/>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484774"/>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9845E6"/>
    <w:pPr>
      <w:spacing w:after="160" w:line="300" w:lineRule="atLeast"/>
    </w:pPr>
  </w:style>
  <w:style w:type="character" w:customStyle="1" w:styleId="LeiptekstiChar">
    <w:name w:val="Leipäteksti Char"/>
    <w:basedOn w:val="Kappaleenoletusfontti"/>
    <w:link w:val="Leipteksti"/>
    <w:rsid w:val="009845E6"/>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rsid w:val="008D1602"/>
    <w:pPr>
      <w:tabs>
        <w:tab w:val="left" w:pos="2608"/>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8D1602"/>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484774"/>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9845E6"/>
    <w:pPr>
      <w:numPr>
        <w:ilvl w:val="1"/>
      </w:numPr>
      <w:spacing w:before="300" w:after="300" w:line="300" w:lineRule="atLeast"/>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845E6"/>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rsid w:val="00CA0EED"/>
    <w:pPr>
      <w:spacing w:before="240"/>
      <w:ind w:hanging="2608"/>
    </w:pPr>
  </w:style>
  <w:style w:type="paragraph" w:customStyle="1" w:styleId="Luettelonumeroitu">
    <w:name w:val="Luettelo numeroitu"/>
    <w:basedOn w:val="Normaali"/>
    <w:qFormat/>
    <w:rsid w:val="009845E6"/>
    <w:pPr>
      <w:numPr>
        <w:numId w:val="28"/>
      </w:numPr>
      <w:tabs>
        <w:tab w:val="clear" w:pos="2608"/>
        <w:tab w:val="clear" w:pos="5670"/>
        <w:tab w:val="left" w:pos="397"/>
      </w:tabs>
      <w:spacing w:line="300" w:lineRule="atLeast"/>
      <w:ind w:left="357" w:hanging="357"/>
    </w:pPr>
    <w:rPr>
      <w:rFonts w:eastAsia="Calibri" w:cs="Calibri"/>
    </w:rPr>
  </w:style>
  <w:style w:type="paragraph" w:customStyle="1" w:styleId="Tyttkentt">
    <w:name w:val="Täyttökentät"/>
    <w:basedOn w:val="Riippuva"/>
    <w:uiPriority w:val="32"/>
    <w:rsid w:val="00893F7D"/>
    <w:pPr>
      <w:tabs>
        <w:tab w:val="clear" w:pos="5670"/>
        <w:tab w:val="left" w:pos="6521"/>
      </w:tabs>
      <w:spacing w:before="0" w:after="420"/>
    </w:pPr>
  </w:style>
  <w:style w:type="paragraph" w:customStyle="1" w:styleId="Vastaanottaja">
    <w:name w:val="Vastaanottaja"/>
    <w:basedOn w:val="Normaali"/>
    <w:uiPriority w:val="30"/>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9845E6"/>
    <w:pPr>
      <w:numPr>
        <w:numId w:val="29"/>
      </w:numPr>
      <w:tabs>
        <w:tab w:val="clear" w:pos="2608"/>
        <w:tab w:val="clear" w:pos="5670"/>
      </w:tabs>
      <w:spacing w:line="300" w:lineRule="atLeast"/>
      <w:ind w:left="357" w:hanging="357"/>
      <w:contextualSpacing/>
    </w:pPr>
    <w:rPr>
      <w:rFonts w:eastAsia="Calibri" w:cs="Calibri"/>
    </w:rPr>
  </w:style>
  <w:style w:type="paragraph" w:styleId="Allekirjoitus">
    <w:name w:val="Signature"/>
    <w:basedOn w:val="Leipteksti"/>
    <w:link w:val="AllekirjoitusChar"/>
    <w:uiPriority w:val="99"/>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 w:type="paragraph" w:customStyle="1" w:styleId="MKappalejako">
    <w:name w:val="MKappalejako"/>
    <w:rsid w:val="00606D23"/>
    <w:pPr>
      <w:spacing w:after="240"/>
      <w:ind w:left="1418"/>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489\Work%20Folders\Documents\YM\Lomakkeet\2020\YM_muistio_FI-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2E389251484B1E8CE0C32FBD044DE6"/>
        <w:category>
          <w:name w:val="Yleiset"/>
          <w:gallery w:val="placeholder"/>
        </w:category>
        <w:types>
          <w:type w:val="bbPlcHdr"/>
        </w:types>
        <w:behaviors>
          <w:behavior w:val="content"/>
        </w:behaviors>
        <w:guid w:val="{ADE7EFEC-9EA8-47BE-80D9-87C110A26F49}"/>
      </w:docPartPr>
      <w:docPartBody>
        <w:p w:rsidR="00B10AF0" w:rsidRDefault="00F66E48">
          <w:pPr>
            <w:pStyle w:val="D22E389251484B1E8CE0C32FBD044DE6"/>
          </w:pPr>
          <w:r w:rsidRPr="00DE2E59">
            <w:rPr>
              <w:rStyle w:val="Voimakas"/>
              <w:rFonts w:eastAsiaTheme="majorEastAsia" w:cstheme="minorHAnsi"/>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48"/>
    <w:rsid w:val="00B10AF0"/>
    <w:rsid w:val="00D55E77"/>
    <w:rsid w:val="00F66E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Pr>
      <w:b/>
      <w:bCs/>
    </w:rPr>
  </w:style>
  <w:style w:type="paragraph" w:customStyle="1" w:styleId="D22E389251484B1E8CE0C32FBD044DE6">
    <w:name w:val="D22E389251484B1E8CE0C32FBD04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YM_muistio_FI-SV.dotx</Template>
  <TotalTime>11</TotalTime>
  <Pages>4</Pages>
  <Words>1384</Words>
  <Characters>11219</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Hyvärinen Esko (YM)</dc:creator>
  <cp:lastModifiedBy>Hyvärinen Esko (YM)</cp:lastModifiedBy>
  <cp:revision>3</cp:revision>
  <dcterms:created xsi:type="dcterms:W3CDTF">2021-03-23T09:33:00Z</dcterms:created>
  <dcterms:modified xsi:type="dcterms:W3CDTF">2021-03-23T09:44:00Z</dcterms:modified>
</cp:coreProperties>
</file>