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FA8" w:rsidRPr="00744FA8" w:rsidRDefault="00744FA8" w:rsidP="00744FA8">
      <w:pPr>
        <w:spacing w:before="100" w:beforeAutospacing="1" w:after="100" w:afterAutospacing="1" w:line="240" w:lineRule="auto"/>
        <w:outlineLvl w:val="2"/>
        <w:rPr>
          <w:rFonts w:ascii="Times New Roman" w:eastAsia="Times New Roman" w:hAnsi="Times New Roman" w:cs="Times New Roman"/>
          <w:bCs/>
          <w:sz w:val="24"/>
          <w:szCs w:val="24"/>
        </w:rPr>
      </w:pPr>
      <w:bookmarkStart w:id="0" w:name="_GoBack"/>
      <w:bookmarkEnd w:id="0"/>
      <w:r>
        <w:rPr>
          <w:rFonts w:ascii="Times New Roman" w:hAnsi="Times New Roman"/>
          <w:bCs/>
          <w:sz w:val="24"/>
          <w:szCs w:val="24"/>
        </w:rPr>
        <w:t xml:space="preserve">Statsrådets förordning om ändring av statsrådets förordning om förundersökning, tvångsmedel och hemligt inhämtande av information </w:t>
      </w:r>
    </w:p>
    <w:p w:rsidR="00744FA8" w:rsidRPr="00744FA8" w:rsidRDefault="00744FA8" w:rsidP="00744FA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I enlighet med statsrådets beslut</w:t>
      </w:r>
    </w:p>
    <w:p w:rsidR="00E1382E" w:rsidRPr="002F7368" w:rsidRDefault="002F7368" w:rsidP="00E1382E">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i/>
          <w:iCs/>
          <w:sz w:val="24"/>
          <w:szCs w:val="24"/>
        </w:rPr>
        <w:t>fogas</w:t>
      </w:r>
      <w:r>
        <w:rPr>
          <w:rFonts w:ascii="Times New Roman" w:hAnsi="Times New Roman"/>
          <w:sz w:val="24"/>
          <w:szCs w:val="24"/>
        </w:rPr>
        <w:t xml:space="preserve"> till 2 kap. i statsrådets förordning om förundersökning, tvångsmedel och hemligt inhämtande av information (122/2014) nya 2 a – 2 b, till 3 § ett nytt 2 mom. samt nya 5 – 6 § som följer:</w:t>
      </w:r>
    </w:p>
    <w:p w:rsidR="00445929" w:rsidRDefault="00445929" w:rsidP="00E1382E">
      <w:pPr>
        <w:spacing w:before="100" w:beforeAutospacing="1" w:after="100" w:afterAutospacing="1" w:line="240" w:lineRule="auto"/>
        <w:rPr>
          <w:rFonts w:ascii="Times New Roman" w:hAnsi="Times New Roman" w:cs="Times New Roman"/>
          <w:sz w:val="24"/>
          <w:szCs w:val="24"/>
        </w:rPr>
      </w:pPr>
    </w:p>
    <w:p w:rsidR="00E1382E" w:rsidRPr="002F7368" w:rsidRDefault="002F7368" w:rsidP="00E1382E">
      <w:pPr>
        <w:spacing w:before="100" w:beforeAutospacing="1" w:after="100" w:afterAutospacing="1" w:line="240" w:lineRule="auto"/>
        <w:rPr>
          <w:rFonts w:ascii="Times New Roman" w:hAnsi="Times New Roman" w:cs="Times New Roman"/>
          <w:sz w:val="24"/>
          <w:szCs w:val="24"/>
        </w:rPr>
      </w:pPr>
      <w:r>
        <w:rPr>
          <w:rFonts w:ascii="Times New Roman" w:hAnsi="Times New Roman"/>
          <w:sz w:val="24"/>
          <w:szCs w:val="24"/>
        </w:rPr>
        <w:t xml:space="preserve">2 a §. </w:t>
      </w:r>
      <w:r>
        <w:rPr>
          <w:rFonts w:ascii="Times New Roman" w:hAnsi="Times New Roman"/>
          <w:i/>
          <w:sz w:val="24"/>
          <w:szCs w:val="24"/>
        </w:rPr>
        <w:t>Underrättelse om gripande av person som häktats som frånvarande</w:t>
      </w:r>
    </w:p>
    <w:p w:rsidR="00E1382E" w:rsidRPr="007B43F2" w:rsidRDefault="00D41A52" w:rsidP="00E1382E">
      <w:pPr>
        <w:rPr>
          <w:rFonts w:ascii="Times New Roman" w:hAnsi="Times New Roman" w:cs="Times New Roman"/>
          <w:sz w:val="24"/>
          <w:szCs w:val="24"/>
        </w:rPr>
      </w:pPr>
      <w:r>
        <w:rPr>
          <w:rFonts w:ascii="Times New Roman" w:hAnsi="Times New Roman"/>
          <w:sz w:val="24"/>
          <w:szCs w:val="24"/>
        </w:rPr>
        <w:t>Underrättelse till behörig domstol om verkställighet av ett sådant häktningsbeslut som avses i 3 kap. 12 § i tvångsmedelslagen görs av den polis som fattat beslut om gripande.</w:t>
      </w:r>
    </w:p>
    <w:p w:rsidR="00E1382E" w:rsidRPr="002F7368" w:rsidRDefault="00E1382E">
      <w:pPr>
        <w:rPr>
          <w:rFonts w:ascii="Times New Roman" w:hAnsi="Times New Roman" w:cs="Times New Roman"/>
          <w:i/>
          <w:sz w:val="24"/>
          <w:szCs w:val="24"/>
          <w:u w:val="single"/>
        </w:rPr>
      </w:pPr>
      <w:r>
        <w:rPr>
          <w:rFonts w:ascii="Times New Roman" w:hAnsi="Times New Roman"/>
          <w:sz w:val="24"/>
          <w:szCs w:val="24"/>
        </w:rPr>
        <w:t>2 b §.</w:t>
      </w:r>
      <w:r>
        <w:rPr>
          <w:rFonts w:ascii="Times New Roman" w:hAnsi="Times New Roman"/>
          <w:i/>
          <w:sz w:val="24"/>
          <w:szCs w:val="24"/>
        </w:rPr>
        <w:t xml:space="preserve"> Registrering av användning av reseförbud, förstärkt reseförbud och häktningsarrest</w:t>
      </w:r>
    </w:p>
    <w:p w:rsidR="00E1382E" w:rsidRDefault="00E1382E">
      <w:pPr>
        <w:rPr>
          <w:rFonts w:ascii="Times New Roman" w:hAnsi="Times New Roman" w:cs="Times New Roman"/>
          <w:sz w:val="24"/>
          <w:szCs w:val="24"/>
        </w:rPr>
      </w:pPr>
      <w:r>
        <w:rPr>
          <w:rFonts w:ascii="Times New Roman" w:hAnsi="Times New Roman"/>
          <w:sz w:val="24"/>
          <w:szCs w:val="24"/>
        </w:rPr>
        <w:t>Utöver vad som föreskrivs i tvångsmedelslagen och i 2 kap. 3 § i denna förordning registrerar polisen i polisens datasystem att pass och som resedokument giltigt identitetskort för den som meddelats reseförbud eller förstärkt reseförbud har överlåtits till polisen samt att ovannämnda handlingar återlämnats efter det att reseförbudet och det förstärkta reseförbudet upphört.</w:t>
      </w:r>
    </w:p>
    <w:p w:rsidR="00E1382E" w:rsidRDefault="00E1382E" w:rsidP="00E1382E">
      <w:pPr>
        <w:rPr>
          <w:rFonts w:ascii="Times New Roman" w:hAnsi="Times New Roman" w:cs="Times New Roman"/>
          <w:sz w:val="24"/>
          <w:szCs w:val="24"/>
        </w:rPr>
      </w:pPr>
      <w:r>
        <w:rPr>
          <w:rFonts w:ascii="Times New Roman" w:hAnsi="Times New Roman"/>
          <w:sz w:val="24"/>
          <w:szCs w:val="24"/>
        </w:rPr>
        <w:t>Utöver vad som föreskrivs i tvångsmedelslagen och i 2 kap. 3 § i denna förordning registrerar Brottspåföljdsmyndigheten i Brottspåföljdsmyndighetens datasystem följande uppgifter som behövs vid verkställighet av förstärkt reseförbud och häktningsarrest:</w:t>
      </w:r>
    </w:p>
    <w:p w:rsidR="00CD60A0" w:rsidRDefault="00CD60A0" w:rsidP="00CD60A0">
      <w:pPr>
        <w:rPr>
          <w:rFonts w:ascii="Times New Roman" w:eastAsia="Times New Roman" w:hAnsi="Times New Roman" w:cs="Times New Roman"/>
          <w:sz w:val="24"/>
          <w:szCs w:val="24"/>
        </w:rPr>
      </w:pPr>
      <w:r>
        <w:rPr>
          <w:rFonts w:ascii="Times New Roman" w:hAnsi="Times New Roman"/>
          <w:sz w:val="24"/>
          <w:szCs w:val="24"/>
        </w:rPr>
        <w:t>1) dagen då förstärkt reseförbud eller häktningsarrest inleds och avslutas, 2) tillstånd till undantag som gäller ett förstärkt reseförbud, 3) att pass och som resedokument giltigt identitetskort för den som ålagts häktningsarrest överlåtits till Brottspåföljdsmyndigheten samt att nämnda handlingar återlämnats efter det att häktningsarresten upphört.</w:t>
      </w:r>
    </w:p>
    <w:p w:rsidR="00F171A3" w:rsidRDefault="00CD60A0" w:rsidP="00CD60A0">
      <w:pPr>
        <w:rPr>
          <w:rFonts w:ascii="Times New Roman" w:hAnsi="Times New Roman" w:cs="Times New Roman"/>
          <w:sz w:val="24"/>
          <w:szCs w:val="24"/>
        </w:rPr>
      </w:pPr>
      <w:r>
        <w:rPr>
          <w:rFonts w:ascii="Times New Roman" w:hAnsi="Times New Roman"/>
          <w:sz w:val="24"/>
          <w:szCs w:val="24"/>
        </w:rPr>
        <w:t>En i arbetsordningen förordnad tjänsteman vid Brottspåföljdsmyndigheten ska i Brottspåföljdsmyndighetens datasystem registrera uppgift om att tekniska övervakningsanordningar har getts till eller fästs på personen i fråga.</w:t>
      </w:r>
    </w:p>
    <w:p w:rsidR="00F171A3" w:rsidRDefault="00A7576C" w:rsidP="00F171A3">
      <w:pPr>
        <w:pStyle w:val="py"/>
        <w:rPr>
          <w:i/>
        </w:rPr>
      </w:pPr>
      <w:r>
        <w:t xml:space="preserve">3 § 2 mom. </w:t>
      </w:r>
      <w:r>
        <w:rPr>
          <w:i/>
        </w:rPr>
        <w:t>Meddelande av reseförbud</w:t>
      </w:r>
    </w:p>
    <w:p w:rsidR="0097385D" w:rsidRPr="0097385D" w:rsidRDefault="0097385D" w:rsidP="00F171A3">
      <w:pPr>
        <w:pStyle w:val="py"/>
        <w:rPr>
          <w:color w:val="0070C0"/>
        </w:rPr>
      </w:pPr>
      <w:r>
        <w:t>-----------------------------------------------------------</w:t>
      </w:r>
    </w:p>
    <w:p w:rsidR="00F171A3" w:rsidRPr="00A7576C" w:rsidRDefault="00F171A3" w:rsidP="00F171A3">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Utöver vad som föreskrivs i tvångsmedelslagen ska den domstol som beslutat om åtgärden utan dröjsmål underrätta polisen om meddelande av förstärkt reseförbud samt om ändring av ett beslut om förstärkt reseförbud eller av ett beslut som inverkar på dess giltighetstid, så att detta kan registreras i polisens datasystem. Den domstol som beslutat om åtgärden ska utan dröjsmål underrätta Brottspåföljdsmyndigheten om ändring av ett beslut om förstärkt reseförbud eller av ett beslut som inverkar på dess giltighetstid, så att detta kan registreras i Brottspåföljdsmyndighetens datasystem. En anhållningsberättigad tjänsteman ska utan dröjsmål underrätta Brottspåföljdsmyndigheten om hävning av förstärkt reseförbud, så att detta kan registreras i Brottspåföljdsmyndighetens datasystem. En anhållningsberättigad tjänsteman ska utan dröjsmål underrätta också den domstol som beslutat om förstärkt reseförbud om hävning av detta förbud. </w:t>
      </w:r>
    </w:p>
    <w:p w:rsidR="00474C9A" w:rsidRDefault="00474C9A" w:rsidP="00F171A3">
      <w:pPr>
        <w:spacing w:before="100" w:beforeAutospacing="1" w:after="100" w:afterAutospacing="1" w:line="240" w:lineRule="auto"/>
        <w:rPr>
          <w:rFonts w:ascii="Times New Roman" w:eastAsia="Times New Roman" w:hAnsi="Times New Roman" w:cs="Times New Roman"/>
          <w:i/>
          <w:sz w:val="24"/>
          <w:szCs w:val="24"/>
          <w:u w:val="single"/>
          <w:lang w:eastAsia="fi-FI"/>
        </w:rPr>
      </w:pPr>
    </w:p>
    <w:p w:rsidR="00A7576C" w:rsidRPr="006E62EB" w:rsidRDefault="00A7576C" w:rsidP="00F171A3">
      <w:pPr>
        <w:spacing w:before="100" w:beforeAutospacing="1" w:after="100" w:afterAutospacing="1" w:line="240" w:lineRule="auto"/>
        <w:rPr>
          <w:rFonts w:ascii="Times New Roman" w:eastAsia="Times New Roman" w:hAnsi="Times New Roman" w:cs="Times New Roman"/>
          <w:i/>
          <w:sz w:val="24"/>
          <w:szCs w:val="24"/>
          <w:u w:val="single"/>
          <w:lang w:eastAsia="fi-FI"/>
        </w:rPr>
      </w:pPr>
    </w:p>
    <w:p w:rsidR="00341778" w:rsidRPr="00A7576C" w:rsidRDefault="00A7576C" w:rsidP="006E62EB">
      <w:pPr>
        <w:pStyle w:val="py"/>
      </w:pPr>
      <w:r>
        <w:t xml:space="preserve">5 §. </w:t>
      </w:r>
      <w:r>
        <w:rPr>
          <w:i/>
        </w:rPr>
        <w:t>Utredning och registrering av överträdelse av de skyldigheter som gäller den som ålagts häktningsarrest</w:t>
      </w:r>
    </w:p>
    <w:p w:rsidR="00341778" w:rsidRPr="007B43F2" w:rsidRDefault="00341778" w:rsidP="0034177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Utöver vad som föreskrivs i tvångsmedelslagen ska direktören för en byrå för samhällspåföljder underrättas om en misstänkt överträdelse av skyldigheter.</w:t>
      </w:r>
    </w:p>
    <w:p w:rsidR="00341778" w:rsidRPr="007B43F2" w:rsidRDefault="00341778" w:rsidP="0034177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Underrättelsen ska innehålla uppgifter om den person som misstänks ha brutit mot skyldigheter, en redogörelse för det skedda, plats och tidpunkt för händelsen samt uppgifter om den som gjort underrättelsen och vilka åtgärder som har vidtagits på grund av händelsen.</w:t>
      </w:r>
    </w:p>
    <w:p w:rsidR="006E62EB" w:rsidRPr="007B43F2" w:rsidRDefault="00341778" w:rsidP="0034177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Över utredningen av överträdelse av skyldigheter ska det i Brottspåföljdsmyndighetens datasystem registreras personuppgifter för den som misstänks för överträdelse och personuppgifter för någon annan som ska höras, tidpunkt och plats för händelsen samt vilken överträdelse den som ålagts häktningsarrest misstänks för, tidpunkt och plats för hörandet, vem som verkställer hörandet samt berättelse och någon annan utredning som lämnas av den som ålagts häktningsarrest och misstänks för överträdelse och av någon annan som ska höras. </w:t>
      </w:r>
      <w:bookmarkStart w:id="1" w:name="P52"/>
      <w:r>
        <w:rPr>
          <w:rFonts w:ascii="Times New Roman" w:hAnsi="Times New Roman"/>
          <w:sz w:val="24"/>
          <w:szCs w:val="24"/>
        </w:rPr>
        <w:t xml:space="preserve">Om den som ålagts häktningsarrest inte har kunnat höras trots att han eller hon beretts tillfälle till detta, ska det i handlingen antecknas hur denne beretts tillfälle att bli hörd. </w:t>
      </w:r>
      <w:bookmarkEnd w:id="1"/>
    </w:p>
    <w:p w:rsidR="005222BE" w:rsidRPr="00A7576C" w:rsidRDefault="00A7576C" w:rsidP="005222BE">
      <w:pPr>
        <w:autoSpaceDE w:val="0"/>
        <w:autoSpaceDN w:val="0"/>
        <w:adjustRightInd w:val="0"/>
        <w:spacing w:after="0" w:line="240" w:lineRule="auto"/>
        <w:rPr>
          <w:rFonts w:ascii="TimesNewRomanPSMT" w:hAnsi="TimesNewRomanPSMT" w:cs="TimesNewRomanPSMT"/>
          <w:i/>
          <w:sz w:val="24"/>
          <w:szCs w:val="24"/>
        </w:rPr>
      </w:pPr>
      <w:r>
        <w:rPr>
          <w:rFonts w:ascii="TimesNewRomanPSMT" w:hAnsi="TimesNewRomanPSMT"/>
          <w:sz w:val="24"/>
          <w:szCs w:val="24"/>
        </w:rPr>
        <w:t xml:space="preserve">6 §. </w:t>
      </w:r>
      <w:r>
        <w:rPr>
          <w:rFonts w:ascii="TimesNewRomanPSMT" w:hAnsi="TimesNewRomanPSMT"/>
          <w:i/>
          <w:sz w:val="24"/>
          <w:szCs w:val="24"/>
        </w:rPr>
        <w:t xml:space="preserve">Innehållet i en underrättelse till åklagaren </w:t>
      </w:r>
    </w:p>
    <w:p w:rsidR="00A7576C" w:rsidRDefault="00A7576C" w:rsidP="005222BE">
      <w:pPr>
        <w:rPr>
          <w:rFonts w:ascii="TimesNewRomanPSMT" w:hAnsi="TimesNewRomanPSMT" w:cs="TimesNewRomanPSMT"/>
          <w:sz w:val="24"/>
          <w:szCs w:val="24"/>
        </w:rPr>
      </w:pPr>
    </w:p>
    <w:p w:rsidR="00F171A3" w:rsidRDefault="005222BE" w:rsidP="005222BE">
      <w:pPr>
        <w:rPr>
          <w:rFonts w:ascii="Times New Roman" w:eastAsia="Times New Roman" w:hAnsi="Times New Roman" w:cs="Times New Roman"/>
          <w:sz w:val="24"/>
          <w:szCs w:val="24"/>
        </w:rPr>
      </w:pPr>
      <w:r>
        <w:rPr>
          <w:rFonts w:ascii="TimesNewRomanPSMT" w:hAnsi="TimesNewRomanPSMT"/>
          <w:sz w:val="24"/>
          <w:szCs w:val="24"/>
        </w:rPr>
        <w:t xml:space="preserve">En utredning av överträdelse av de skyldigheter som gäller den som ålagts häktningsarrest görs på det sätt som föreskrivs i 2 kap. 12 i § i tvångsmedelslagen. </w:t>
      </w:r>
      <w:r>
        <w:rPr>
          <w:rFonts w:ascii="Times New Roman" w:hAnsi="Times New Roman"/>
          <w:sz w:val="24"/>
          <w:szCs w:val="24"/>
        </w:rPr>
        <w:t>Utredningen lämnas till åklagaren i samband med en underrättelse om misstänkt grov överträdelse av skyldigheter. I underrättelsen ska det anges huruvida den som ålagts häktningsarrest tidigare fått en skriftlig varning samt specificeras vilken skyldighet den som ålagts häktningsarrest brutit mot och på vilket sätt.</w:t>
      </w:r>
    </w:p>
    <w:p w:rsidR="006E62EB" w:rsidRDefault="006E62EB" w:rsidP="005222BE">
      <w:pPr>
        <w:rPr>
          <w:rFonts w:ascii="Times New Roman" w:hAnsi="Times New Roman" w:cs="Times New Roman"/>
          <w:sz w:val="24"/>
          <w:szCs w:val="24"/>
        </w:rPr>
      </w:pPr>
    </w:p>
    <w:p w:rsidR="00744FA8" w:rsidRPr="00744FA8" w:rsidRDefault="00744FA8" w:rsidP="00744FA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Denna förordning träder i kraft den 1 januari 2019.</w:t>
      </w:r>
    </w:p>
    <w:p w:rsidR="00744FA8" w:rsidRPr="00744FA8" w:rsidRDefault="00744FA8" w:rsidP="00744FA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Helsingfors den     2018</w:t>
      </w:r>
    </w:p>
    <w:p w:rsidR="00744FA8" w:rsidRPr="00744FA8" w:rsidRDefault="00744FA8" w:rsidP="00744FA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 xml:space="preserve">Justitieminister </w:t>
      </w:r>
      <w:r>
        <w:rPr>
          <w:rFonts w:ascii="Times New Roman" w:hAnsi="Times New Roman"/>
          <w:i/>
          <w:iCs/>
          <w:sz w:val="24"/>
          <w:szCs w:val="24"/>
        </w:rPr>
        <w:t>Antti Häkkänen</w:t>
      </w:r>
    </w:p>
    <w:p w:rsidR="006E62EB" w:rsidRPr="00744FA8" w:rsidRDefault="006E62EB" w:rsidP="00744FA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xx</w:t>
      </w:r>
    </w:p>
    <w:p w:rsidR="005222BE" w:rsidRPr="00E1382E" w:rsidRDefault="005222BE" w:rsidP="00CD60A0">
      <w:pPr>
        <w:rPr>
          <w:rFonts w:ascii="Times New Roman" w:hAnsi="Times New Roman" w:cs="Times New Roman"/>
          <w:sz w:val="24"/>
          <w:szCs w:val="24"/>
        </w:rPr>
      </w:pPr>
    </w:p>
    <w:sectPr w:rsidR="005222BE" w:rsidRPr="00E1382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2E"/>
    <w:rsid w:val="0028616C"/>
    <w:rsid w:val="002F7368"/>
    <w:rsid w:val="003010FA"/>
    <w:rsid w:val="00341778"/>
    <w:rsid w:val="00445929"/>
    <w:rsid w:val="00462282"/>
    <w:rsid w:val="00474C9A"/>
    <w:rsid w:val="005222BE"/>
    <w:rsid w:val="005D399D"/>
    <w:rsid w:val="005E29B8"/>
    <w:rsid w:val="005E3CD7"/>
    <w:rsid w:val="006E62EB"/>
    <w:rsid w:val="00744FA8"/>
    <w:rsid w:val="0097385D"/>
    <w:rsid w:val="00A46F37"/>
    <w:rsid w:val="00A7576C"/>
    <w:rsid w:val="00A87CFA"/>
    <w:rsid w:val="00AF0B19"/>
    <w:rsid w:val="00B91427"/>
    <w:rsid w:val="00C60C04"/>
    <w:rsid w:val="00C93D04"/>
    <w:rsid w:val="00CD60A0"/>
    <w:rsid w:val="00D41A52"/>
    <w:rsid w:val="00E1382E"/>
    <w:rsid w:val="00E8410E"/>
    <w:rsid w:val="00EF3D49"/>
    <w:rsid w:val="00F171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F9132-BE49-43DF-B894-D742243B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link w:val="Otsikko3Char"/>
    <w:uiPriority w:val="9"/>
    <w:qFormat/>
    <w:rsid w:val="00744FA8"/>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D60A0"/>
    <w:pPr>
      <w:ind w:left="720"/>
      <w:contextualSpacing/>
    </w:pPr>
  </w:style>
  <w:style w:type="paragraph" w:customStyle="1" w:styleId="py">
    <w:name w:val="py"/>
    <w:basedOn w:val="Normaali"/>
    <w:rsid w:val="00F171A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3Char">
    <w:name w:val="Otsikko 3 Char"/>
    <w:basedOn w:val="Kappaleenoletusfontti"/>
    <w:link w:val="Otsikko3"/>
    <w:uiPriority w:val="9"/>
    <w:rsid w:val="00744FA8"/>
    <w:rPr>
      <w:rFonts w:ascii="Times New Roman" w:eastAsia="Times New Roman" w:hAnsi="Times New Roman" w:cs="Times New Roman"/>
      <w:b/>
      <w:bCs/>
      <w:sz w:val="27"/>
      <w:szCs w:val="27"/>
      <w:lang w:eastAsia="fi-FI"/>
    </w:rPr>
  </w:style>
  <w:style w:type="character" w:styleId="Voimakas">
    <w:name w:val="Strong"/>
    <w:basedOn w:val="Kappaleenoletusfontti"/>
    <w:uiPriority w:val="22"/>
    <w:qFormat/>
    <w:rsid w:val="00744FA8"/>
    <w:rPr>
      <w:b/>
      <w:bCs/>
    </w:rPr>
  </w:style>
  <w:style w:type="paragraph" w:styleId="NormaaliWWW">
    <w:name w:val="Normal (Web)"/>
    <w:basedOn w:val="Normaali"/>
    <w:uiPriority w:val="99"/>
    <w:semiHidden/>
    <w:unhideWhenUsed/>
    <w:rsid w:val="00744FA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744F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42720">
      <w:bodyDiv w:val="1"/>
      <w:marLeft w:val="0"/>
      <w:marRight w:val="0"/>
      <w:marTop w:val="0"/>
      <w:marBottom w:val="0"/>
      <w:divBdr>
        <w:top w:val="none" w:sz="0" w:space="0" w:color="auto"/>
        <w:left w:val="none" w:sz="0" w:space="0" w:color="auto"/>
        <w:bottom w:val="none" w:sz="0" w:space="0" w:color="auto"/>
        <w:right w:val="none" w:sz="0" w:space="0" w:color="auto"/>
      </w:divBdr>
      <w:divsChild>
        <w:div w:id="910846620">
          <w:marLeft w:val="0"/>
          <w:marRight w:val="0"/>
          <w:marTop w:val="0"/>
          <w:marBottom w:val="0"/>
          <w:divBdr>
            <w:top w:val="none" w:sz="0" w:space="0" w:color="auto"/>
            <w:left w:val="none" w:sz="0" w:space="0" w:color="auto"/>
            <w:bottom w:val="none" w:sz="0" w:space="0" w:color="auto"/>
            <w:right w:val="none" w:sz="0" w:space="0" w:color="auto"/>
          </w:divBdr>
          <w:divsChild>
            <w:div w:id="1839883920">
              <w:marLeft w:val="0"/>
              <w:marRight w:val="0"/>
              <w:marTop w:val="0"/>
              <w:marBottom w:val="0"/>
              <w:divBdr>
                <w:top w:val="none" w:sz="0" w:space="0" w:color="auto"/>
                <w:left w:val="none" w:sz="0" w:space="0" w:color="auto"/>
                <w:bottom w:val="none" w:sz="0" w:space="0" w:color="auto"/>
                <w:right w:val="none" w:sz="0" w:space="0" w:color="auto"/>
              </w:divBdr>
              <w:divsChild>
                <w:div w:id="835153610">
                  <w:marLeft w:val="0"/>
                  <w:marRight w:val="0"/>
                  <w:marTop w:val="0"/>
                  <w:marBottom w:val="0"/>
                  <w:divBdr>
                    <w:top w:val="none" w:sz="0" w:space="0" w:color="auto"/>
                    <w:left w:val="none" w:sz="0" w:space="0" w:color="auto"/>
                    <w:bottom w:val="none" w:sz="0" w:space="0" w:color="auto"/>
                    <w:right w:val="none" w:sz="0" w:space="0" w:color="auto"/>
                  </w:divBdr>
                  <w:divsChild>
                    <w:div w:id="3970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917420">
      <w:bodyDiv w:val="1"/>
      <w:marLeft w:val="0"/>
      <w:marRight w:val="0"/>
      <w:marTop w:val="0"/>
      <w:marBottom w:val="0"/>
      <w:divBdr>
        <w:top w:val="none" w:sz="0" w:space="0" w:color="auto"/>
        <w:left w:val="none" w:sz="0" w:space="0" w:color="auto"/>
        <w:bottom w:val="none" w:sz="0" w:space="0" w:color="auto"/>
        <w:right w:val="none" w:sz="0" w:space="0" w:color="auto"/>
      </w:divBdr>
      <w:divsChild>
        <w:div w:id="443691371">
          <w:marLeft w:val="0"/>
          <w:marRight w:val="0"/>
          <w:marTop w:val="0"/>
          <w:marBottom w:val="0"/>
          <w:divBdr>
            <w:top w:val="none" w:sz="0" w:space="0" w:color="auto"/>
            <w:left w:val="none" w:sz="0" w:space="0" w:color="auto"/>
            <w:bottom w:val="none" w:sz="0" w:space="0" w:color="auto"/>
            <w:right w:val="none" w:sz="0" w:space="0" w:color="auto"/>
          </w:divBdr>
          <w:divsChild>
            <w:div w:id="1291743370">
              <w:marLeft w:val="0"/>
              <w:marRight w:val="0"/>
              <w:marTop w:val="0"/>
              <w:marBottom w:val="0"/>
              <w:divBdr>
                <w:top w:val="none" w:sz="0" w:space="0" w:color="auto"/>
                <w:left w:val="none" w:sz="0" w:space="0" w:color="auto"/>
                <w:bottom w:val="none" w:sz="0" w:space="0" w:color="auto"/>
                <w:right w:val="none" w:sz="0" w:space="0" w:color="auto"/>
              </w:divBdr>
              <w:divsChild>
                <w:div w:id="1388145216">
                  <w:marLeft w:val="0"/>
                  <w:marRight w:val="0"/>
                  <w:marTop w:val="0"/>
                  <w:marBottom w:val="0"/>
                  <w:divBdr>
                    <w:top w:val="none" w:sz="0" w:space="0" w:color="auto"/>
                    <w:left w:val="none" w:sz="0" w:space="0" w:color="auto"/>
                    <w:bottom w:val="none" w:sz="0" w:space="0" w:color="auto"/>
                    <w:right w:val="none" w:sz="0" w:space="0" w:color="auto"/>
                  </w:divBdr>
                  <w:divsChild>
                    <w:div w:id="147760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BDD2B-8FF3-4E98-BFE8-8567A7A2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4291</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Kohvakka Anne</dc:creator>
  <cp:keywords/>
  <dc:description/>
  <cp:lastModifiedBy>Kohvakka Anne</cp:lastModifiedBy>
  <cp:revision>2</cp:revision>
  <dcterms:created xsi:type="dcterms:W3CDTF">2018-06-27T09:38:00Z</dcterms:created>
  <dcterms:modified xsi:type="dcterms:W3CDTF">2018-06-27T09:38:00Z</dcterms:modified>
</cp:coreProperties>
</file>