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210B" w14:textId="531AE0FF" w:rsidR="0069158A" w:rsidRPr="00F522EB" w:rsidRDefault="00035BB1" w:rsidP="00F522EB">
      <w:pPr>
        <w:pStyle w:val="Otsikko1"/>
      </w:pPr>
      <w:r>
        <w:t xml:space="preserve">Förfaranden för tillsyn över överensstämmelse med kraven vid produktion av fordon, system, komponenter, separata tekniska enheter, delar och utrustning </w:t>
      </w:r>
    </w:p>
    <w:p w14:paraId="3DD9E60E" w14:textId="697665E4" w:rsidR="003564A3" w:rsidRDefault="003564A3" w:rsidP="00514864">
      <w:pPr>
        <w:spacing w:line="360" w:lineRule="auto"/>
      </w:pPr>
    </w:p>
    <w:p w14:paraId="3ECF1085" w14:textId="77777777" w:rsidR="0069158A" w:rsidRPr="0069158A" w:rsidRDefault="0069158A" w:rsidP="00514864">
      <w:pPr>
        <w:spacing w:line="360" w:lineRule="auto"/>
      </w:pPr>
    </w:p>
    <w:p w14:paraId="01D327E8" w14:textId="62220FBB" w:rsidR="000E7EE4" w:rsidRDefault="003564A3" w:rsidP="00180DD1">
      <w:pPr>
        <w:pStyle w:val="Otsikko2"/>
      </w:pPr>
      <w:r>
        <w:t>Föreskriftens bakgrund och rättsgrund</w:t>
      </w:r>
    </w:p>
    <w:p w14:paraId="183FEE79" w14:textId="4E873225" w:rsidR="00035BB1" w:rsidRDefault="00035BB1" w:rsidP="00C87E42">
      <w:pPr>
        <w:pStyle w:val="Leipteksti"/>
      </w:pPr>
      <w:r>
        <w:t xml:space="preserve">Den nya </w:t>
      </w:r>
      <w:proofErr w:type="spellStart"/>
      <w:r>
        <w:t>fordonslagen</w:t>
      </w:r>
      <w:proofErr w:type="spellEnd"/>
      <w:r>
        <w:t xml:space="preserve"> (82/2021) trädde i kraft den 1 mars 2021. I 66 § i lagen föreskrivs om tillsyn över överensstämmelse med kraven vid produktion. I 66 § 1 mom. anges att tillverkaren och tillverkarens representant ska vid överlåtelse av fordon, system, komponenter, separata tekniska enheter, delar eller utrustning se till att fordonet, systemet, komponenten, den separata tekniska enheten, delen eller utrustningen till sin konstruktion och utrustning samt sitt skick stämmer överens med den godkända typen eller förutsättningarna för CE-märkningen. I 66 § 2 mom. föreskrivs om tillverkarens och tillverkarens representants skyldighet att underrätta godkännandemyndigheten om bristande överensstämmelse. Enligt 66 § 3 mom. i </w:t>
      </w:r>
      <w:proofErr w:type="spellStart"/>
      <w:r>
        <w:t>fordonslagen</w:t>
      </w:r>
      <w:proofErr w:type="spellEnd"/>
      <w:r>
        <w:t xml:space="preserve"> ska godkännandemyndigheten innan typgodkännande beviljas försäkra sig om ett tillräckligt förfarande som garanterar effektiv tillsyn över produktionens överensstämmelse med kraven. I 66 § 4 mom. föreskrivs om inledande bedömningar. I 66 § 5 mom. föreskrivs om de förfaranden som ska tillämpas vid olika </w:t>
      </w:r>
      <w:proofErr w:type="spellStart"/>
      <w:r>
        <w:t>typgodkännanden</w:t>
      </w:r>
      <w:proofErr w:type="spellEnd"/>
      <w:r>
        <w:t xml:space="preserve">. I 66 § 6 mom. föreskrivs om förfaranden som ska iakttas vid EU-typgodkännande i fråga om dokumenterade kontrollplaner och rutiner för produktöverensstämmelse. I 66 § 7 mom. föreskrivs om de förfaranden som iakttas i fråga om nationellt typgodkännande och nationellt typgodkännande av små serier. </w:t>
      </w:r>
    </w:p>
    <w:p w14:paraId="66A4A23A" w14:textId="06FE09E7" w:rsidR="00976479" w:rsidRDefault="00035BB1" w:rsidP="00976479">
      <w:pPr>
        <w:pStyle w:val="Leipteksti"/>
      </w:pPr>
      <w:r>
        <w:t>Genom denna föreskrift upphävs Transport- och kommunikationsverket föreskrift om förfaranden för tillsyn över överensstämmelse med kraven vid produktion av fordon, system, komponenter, separata tekniska enheter, delar och utrustning (TRAFICOM/</w:t>
      </w:r>
      <w:proofErr w:type="gramStart"/>
      <w:r>
        <w:t>46660</w:t>
      </w:r>
      <w:proofErr w:type="gramEnd"/>
      <w:r>
        <w:t>/03.04.03.00/2020).</w:t>
      </w:r>
    </w:p>
    <w:p w14:paraId="4FC27201" w14:textId="48860FE2" w:rsidR="00035BB1" w:rsidRPr="00035BB1" w:rsidRDefault="00035BB1" w:rsidP="00C87E42">
      <w:pPr>
        <w:pStyle w:val="Leipteksti"/>
      </w:pPr>
      <w:r>
        <w:t xml:space="preserve">Genom denna föreskrift meddelar Transport- och kommunikationsverket föreskrifter om dokumenterade kontrollplaner och lämpliga rutiner för produktöverensstämmelse när det gäller tillsyn över produktionens överensstämmelse med kraven för nationellt typgodkännande, E-, EG- och EU-typgodkännande samt nationellt typgodkännande av små serier. Bemyndigandet att meddela föreskrifter grundar sig på 66 § 8 mom. i </w:t>
      </w:r>
      <w:proofErr w:type="spellStart"/>
      <w:r>
        <w:t>fordonslagen</w:t>
      </w:r>
      <w:proofErr w:type="spellEnd"/>
      <w:r>
        <w:t xml:space="preserve"> (82/2021). I enlighet med nämnda momentet får Transport- och kommunikationsverket meddela närmare föreskrifter om dokumenterade kontrollplaner och lämpliga rutiner för produktöverensstämmelse när det gäller tillsyn över produktionens överensstämmelse med kraven för nationellt typgodkännande, E-, EG- och EU-typgodkännande samt nationellt typgodkännande av små serier.</w:t>
      </w:r>
    </w:p>
    <w:p w14:paraId="18982A4F" w14:textId="344EDF59" w:rsidR="005A2950" w:rsidRDefault="00295456" w:rsidP="005A2950">
      <w:pPr>
        <w:pStyle w:val="Otsikko2"/>
      </w:pPr>
      <w:r>
        <w:t>Andra föreskrifter och författningar som hänför sig till ärendet</w:t>
      </w:r>
    </w:p>
    <w:p w14:paraId="746B060D" w14:textId="47FEEC3E" w:rsidR="003D14A5" w:rsidRPr="003D14A5" w:rsidRDefault="005A2950" w:rsidP="00C87E42">
      <w:pPr>
        <w:pStyle w:val="Leipteksti"/>
      </w:pPr>
      <w:r>
        <w:t xml:space="preserve">Tillämpningsområdet för denna föreskrift ändras så att också tillsyn över överensstämmelse med kraven vid produktion av dubbar och dubbdäck beaktas. I fråga om dubbar och kombinationer av däck och dubbar meddelas </w:t>
      </w:r>
      <w:r w:rsidR="00F677CF">
        <w:t xml:space="preserve">vissa undantag och ytterligare förutsättningar som iakttas primärt </w:t>
      </w:r>
      <w:r>
        <w:t>genom föreskriften om tekniska krav på och typgodkännande av fordons dubbdäck (TRAFICOM/</w:t>
      </w:r>
      <w:proofErr w:type="gramStart"/>
      <w:r>
        <w:t>383441</w:t>
      </w:r>
      <w:proofErr w:type="gramEnd"/>
      <w:r>
        <w:t>/03.04.03.00/2022, nedan också föreskriften om dubbdäck)</w:t>
      </w:r>
      <w:r w:rsidR="00F677CF">
        <w:t>.</w:t>
      </w:r>
      <w:r>
        <w:t xml:space="preserve"> </w:t>
      </w:r>
    </w:p>
    <w:p w14:paraId="649A4B93" w14:textId="02A1E395" w:rsidR="00577AD3" w:rsidRDefault="00577AD3" w:rsidP="00F522EB">
      <w:pPr>
        <w:pStyle w:val="Otsikko2"/>
      </w:pPr>
      <w:r>
        <w:lastRenderedPageBreak/>
        <w:t>Föreskriftens målsättning</w:t>
      </w:r>
    </w:p>
    <w:p w14:paraId="17472E6C" w14:textId="26F417FF" w:rsidR="00D8216E" w:rsidRDefault="00D8216E" w:rsidP="00D8216E">
      <w:pPr>
        <w:pStyle w:val="Leipteksti"/>
      </w:pPr>
      <w:r>
        <w:t xml:space="preserve">Propositionen om ändring av </w:t>
      </w:r>
      <w:proofErr w:type="spellStart"/>
      <w:r>
        <w:t>fordonslagen</w:t>
      </w:r>
      <w:proofErr w:type="spellEnd"/>
      <w:r>
        <w:t xml:space="preserve"> (RP 291/2022 </w:t>
      </w:r>
      <w:proofErr w:type="spellStart"/>
      <w:r>
        <w:t>rd</w:t>
      </w:r>
      <w:proofErr w:type="spellEnd"/>
      <w:r>
        <w:t xml:space="preserve">) är avsedd att träda i kraft i början av 2023 (VN/6348/2020). I </w:t>
      </w:r>
      <w:r w:rsidR="00DA5290">
        <w:t>propositionen</w:t>
      </w:r>
      <w:r>
        <w:t xml:space="preserve"> föreslås att 66 § 8 mom. ändras så att även EG-typgodkända fordon beaktas i bemyndigandet att meddela föreskrifter. Målet för detta föreskriftsprojekt är att göra de ändringar i Transport- och kommunikationsverkets föreskrift som ändringarna av lagstiftningen medför. Ändringarna är beroende av lagprojektets framskridande.</w:t>
      </w:r>
    </w:p>
    <w:p w14:paraId="58C3B412" w14:textId="2E6C8AEF" w:rsidR="00577AD3" w:rsidRDefault="00865D55" w:rsidP="00865D55">
      <w:pPr>
        <w:pStyle w:val="Leipteksti"/>
      </w:pPr>
      <w:r>
        <w:t xml:space="preserve">Ett annat mål för föreskriftsprojektet är att uppdatera Transport- och kommunikationsverkets föreskrifter så att de allmänna föreskrifterna om </w:t>
      </w:r>
      <w:r w:rsidR="00F71B6A">
        <w:t xml:space="preserve">tillsyn över </w:t>
      </w:r>
      <w:r>
        <w:t xml:space="preserve">produktionens överensstämmelse med kraven i fortsättningen finns i denna föreskrift. Syftet är att överföra de allmänna föreskrifterna om </w:t>
      </w:r>
      <w:r w:rsidR="009629A1">
        <w:t xml:space="preserve">tillsyn över </w:t>
      </w:r>
      <w:r>
        <w:t xml:space="preserve">produktionens överensstämmelse med kraven från Transport- och kommunikationsverkets föreskrift om dubbdäck till den här föreskriften. Utöver att garantera regleringens aktualitet syftar föreskriften till att </w:t>
      </w:r>
      <w:r w:rsidR="00BD58FD" w:rsidRPr="00BD58FD">
        <w:t xml:space="preserve">förtydliga </w:t>
      </w:r>
      <w:r>
        <w:t xml:space="preserve">rättsläget och likställa de allmänna krav som gäller tillsyn över produktionens överensstämmelse med kraven i fråga om de olika produkter som ska </w:t>
      </w:r>
      <w:proofErr w:type="spellStart"/>
      <w:r>
        <w:t>typgodkännas</w:t>
      </w:r>
      <w:proofErr w:type="spellEnd"/>
      <w:r>
        <w:t xml:space="preserve"> och deras tillverkare. </w:t>
      </w:r>
    </w:p>
    <w:p w14:paraId="5A743889" w14:textId="420C9A80" w:rsidR="003D69D8" w:rsidRDefault="00577AD3" w:rsidP="00C97E5D">
      <w:pPr>
        <w:pStyle w:val="Otsikko2"/>
      </w:pPr>
      <w:r>
        <w:t>Alternativa handlingsvägar</w:t>
      </w:r>
    </w:p>
    <w:p w14:paraId="13C2780F" w14:textId="21C0F3A4" w:rsidR="00C23F0B" w:rsidRDefault="003D69D8" w:rsidP="00D15D13">
      <w:pPr>
        <w:pStyle w:val="Leipteksti"/>
      </w:pPr>
      <w:r>
        <w:t>Det är skäl att i föreskriften göra de kompletteringar avseende utökningar av EG-</w:t>
      </w:r>
      <w:proofErr w:type="spellStart"/>
      <w:r>
        <w:t>typgodkännanden</w:t>
      </w:r>
      <w:proofErr w:type="spellEnd"/>
      <w:r>
        <w:t xml:space="preserve"> som ändringarna av lagstiftningen medför. I enlighet med artikel 89.1 i ramförordningen om bilar och släpfordon till dem ska förordningen inte ogiltiggöra något helfordonstypgodkännande eller EU-typgodkännande av fordon, system, komponenter eller separata tekniska enheter som beviljats senast den 31 augusti 2020. Enligt artikel 89.2 ska godkännandemyndigheterna bevilja utökningar och revideringar av helfordonstypgodkännanden och EU-typgodkännanden av de fordon, system, komponenter eller separata tekniska enheter som avses i punkt 1 i den här artikeln i enlighet med artiklarna 33 och 34. När det gäller tillsyn över produktionens överensstämmelse med kraven är tolkningen att också utökning av EG-typgodkännande i princip handlar om EU-typgodkännande i ramförordningens kontext.</w:t>
      </w:r>
    </w:p>
    <w:p w14:paraId="176F2B28" w14:textId="0C25CB7D" w:rsidR="00865D55" w:rsidRDefault="00865D55" w:rsidP="00865D55">
      <w:pPr>
        <w:pStyle w:val="Leipteksti"/>
      </w:pPr>
      <w:r>
        <w:t xml:space="preserve">De allmänna föreskrifterna om tillsyn över produktionens överensstämmelse med kraven överförs på ett tydligare sätt från föreskriften om tekniska krav på och typgodkännande av fordons dubbdäck till tillämpningsområdet för denna föreskrift. Ett alternativ till utvidgning av tillämpningsområdet är att i egenskap av godkännandemyndighet införa motsvarande förutsättningar för produkterna i fråga på det sätt som anges ovan med stöd av 66 § i </w:t>
      </w:r>
      <w:proofErr w:type="spellStart"/>
      <w:r>
        <w:t>fordonslagen</w:t>
      </w:r>
      <w:proofErr w:type="spellEnd"/>
      <w:r>
        <w:t>. Genom föreskriften kan man dock skapa reglering som är tydligare, mer öppen och som stöder jämlikhet.</w:t>
      </w:r>
    </w:p>
    <w:p w14:paraId="0099F649" w14:textId="28662F72" w:rsidR="0069158A" w:rsidRDefault="0069158A" w:rsidP="00F522EB">
      <w:pPr>
        <w:pStyle w:val="Otsikko2"/>
      </w:pPr>
      <w:r>
        <w:t>Beredning av föreskriften</w:t>
      </w:r>
    </w:p>
    <w:p w14:paraId="10E6F32D" w14:textId="41EB5E73" w:rsidR="00933CAF" w:rsidRDefault="00D03E95" w:rsidP="0054317F">
      <w:pPr>
        <w:pStyle w:val="Leipteksti"/>
      </w:pPr>
      <w:r>
        <w:t>U</w:t>
      </w:r>
      <w:r w:rsidR="00933CAF">
        <w:t>tkast</w:t>
      </w:r>
      <w:r>
        <w:t>et</w:t>
      </w:r>
      <w:r w:rsidR="00933CAF">
        <w:t xml:space="preserve"> till föreskriften har beretts vid Transport- och kommunikationsverket. Transport- och kommunikationsverket har presenterat föreskriften till intressentgrupperna i samband med föreskriftsprojektet. </w:t>
      </w:r>
    </w:p>
    <w:p w14:paraId="7E609C8E" w14:textId="77777777" w:rsidR="00C87E42" w:rsidRDefault="00443A0C" w:rsidP="0054317F">
      <w:pPr>
        <w:pStyle w:val="Leipteksti"/>
      </w:pPr>
      <w:r>
        <w:t xml:space="preserve">Information om inledandet av föreskriftsprojektet har delats på Transport- och kommunikationsverkets webbplats samt per e-post till de personer som finns på sändlistan för föreskriftsberedningen inom vägtrafiken. </w:t>
      </w:r>
    </w:p>
    <w:p w14:paraId="2C30BD85" w14:textId="694104C3" w:rsidR="00933CAF" w:rsidRDefault="00933CAF" w:rsidP="0054317F">
      <w:pPr>
        <w:pStyle w:val="Leipteksti"/>
      </w:pPr>
      <w:r>
        <w:t>Skriftliga utlåtanden om föreskriftsutkastet har begärts under tiden xx.</w:t>
      </w:r>
    </w:p>
    <w:p w14:paraId="590E5D2C" w14:textId="343AECA1" w:rsidR="00443A0C" w:rsidRDefault="00443A0C" w:rsidP="0054317F">
      <w:pPr>
        <w:pStyle w:val="Leipteksti"/>
      </w:pPr>
      <w:r>
        <w:lastRenderedPageBreak/>
        <w:t xml:space="preserve">Begäran om utlåtande har publicerats på Transport- och kommunikationsverkets webbplats. Begäran om utlåtande har dessutom skickats per e-post till de personer som finns på sändlistan för föreskriftsberedningen inom vägtrafiken. Den slutliga föreskriften publiceras på Transport- och kommunikationsverkets webbplats och i </w:t>
      </w:r>
      <w:proofErr w:type="spellStart"/>
      <w:r>
        <w:t>Finlex</w:t>
      </w:r>
      <w:proofErr w:type="spellEnd"/>
      <w:r>
        <w:t>. Information om utfärdandet av föreskriften ges på Transport- och kommunikationsverkets webbplats och separat till intressentgrupperna.</w:t>
      </w:r>
    </w:p>
    <w:p w14:paraId="7336E2DB" w14:textId="2310213B" w:rsidR="00933CAF" w:rsidRPr="00933CAF" w:rsidRDefault="00420CFF" w:rsidP="0054317F">
      <w:pPr>
        <w:pStyle w:val="Leipteksti"/>
      </w:pPr>
      <w:r w:rsidRPr="00420CFF">
        <w:t>Utkastet till föreskriften har meddelats i enlighet med anmälningsförfarandet för tekniska föreskrifter (Europaparlamentets och rådets direktiv (EU) 2015/1535)</w:t>
      </w:r>
      <w:r w:rsidR="00933CAF">
        <w:t>.</w:t>
      </w:r>
    </w:p>
    <w:p w14:paraId="05C82B0E" w14:textId="77777777" w:rsidR="00577AD3" w:rsidRDefault="00577AD3" w:rsidP="00F522EB">
      <w:pPr>
        <w:pStyle w:val="Otsikko2"/>
      </w:pPr>
      <w:r>
        <w:t xml:space="preserve">Utlåtanden </w:t>
      </w:r>
    </w:p>
    <w:p w14:paraId="735788FB" w14:textId="40244FAA" w:rsidR="00577AD3" w:rsidRPr="00577AD3" w:rsidRDefault="00577AD3" w:rsidP="000E7EE4">
      <w:pPr>
        <w:pStyle w:val="Luettelo"/>
      </w:pPr>
      <w:r>
        <w:t xml:space="preserve"> </w:t>
      </w:r>
    </w:p>
    <w:p w14:paraId="087AAF3F" w14:textId="55A1EA90" w:rsidR="0069158A" w:rsidRDefault="00D22A7B" w:rsidP="00F522EB">
      <w:pPr>
        <w:pStyle w:val="Otsikko2"/>
      </w:pPr>
      <w:r>
        <w:t>Ändringar och bedömning av föreskriftens konsekvenser</w:t>
      </w:r>
    </w:p>
    <w:p w14:paraId="3FB085F5" w14:textId="2250E1E9" w:rsidR="00933CAF" w:rsidRDefault="00933CAF" w:rsidP="00DA513B">
      <w:pPr>
        <w:pStyle w:val="Leipteksti"/>
      </w:pPr>
      <w:r>
        <w:t xml:space="preserve">Föreskriften har inga betydande ekonomiska konsekvenser och inga konsekvenser för tillgänglighet. Föreskriften kompletterar bestämmelserna som utfärdats på </w:t>
      </w:r>
      <w:proofErr w:type="spellStart"/>
      <w:r>
        <w:t>lagnivå</w:t>
      </w:r>
      <w:proofErr w:type="spellEnd"/>
      <w:r>
        <w:t xml:space="preserve"> och stöder tillämpningen av lagen i praktiken.</w:t>
      </w:r>
    </w:p>
    <w:p w14:paraId="13F76C35" w14:textId="675A44FA" w:rsidR="00933CAF" w:rsidRPr="00933CAF" w:rsidRDefault="00933CAF" w:rsidP="00DA513B">
      <w:pPr>
        <w:pStyle w:val="Leipteksti"/>
      </w:pPr>
      <w:r>
        <w:t xml:space="preserve">I princip påverkar föreskriften inte nuläget och förutsättningarna för verksamheten bevaras på nuvarande nivå. </w:t>
      </w:r>
      <w:r w:rsidR="006B39AB">
        <w:t>Ändringen av f</w:t>
      </w:r>
      <w:r>
        <w:t xml:space="preserve">öreskriften påverkar inte de godkännanden som varit i kraft vid den här föreskriftens ikraftträdande, om de inte är föremål för t.ex. skyldigheter som beror på annan förpliktande reglering på basis av vilka godkännandet ska utökas eller av annat skäl inte längre är i kraft som sådant. Föreskriften syftar till att </w:t>
      </w:r>
      <w:r w:rsidR="005C3F24" w:rsidRPr="005C3F24">
        <w:t xml:space="preserve">förtydliga </w:t>
      </w:r>
      <w:r>
        <w:t>verksamhetsmiljön genom att de allmänna krav som gäller tillsyn över produktionens överensstämmelse med kraven överförs från föreskriften om tekniska krav på och typgodkännande av fordons dubbdäck till denna föreskrift. Innehållsmässigt motsvarar föreskriften den etablerade verksamhetsmodellen och erbjuder i fortsättningen tydligare och starkare grunder som stöd för affärsverksamhet. Föreskriften stöder för sin del jämlikhet och jämställdhet genom gemensamma förpliktande regler.</w:t>
      </w:r>
    </w:p>
    <w:p w14:paraId="5064D134" w14:textId="31211403" w:rsidR="0069158A" w:rsidRDefault="00DA513B" w:rsidP="00F522EB">
      <w:pPr>
        <w:pStyle w:val="Otsikko2"/>
      </w:pPr>
      <w:r>
        <w:t xml:space="preserve"> Detaljmotivering</w:t>
      </w:r>
    </w:p>
    <w:p w14:paraId="246DC640" w14:textId="65B6621B" w:rsidR="00F659B8" w:rsidRPr="005A2950" w:rsidRDefault="00512F2D" w:rsidP="00C87E42">
      <w:pPr>
        <w:pStyle w:val="Leipteksti"/>
      </w:pPr>
      <w:r>
        <w:rPr>
          <w:b/>
        </w:rPr>
        <w:t xml:space="preserve">1 Tillämpningsområde </w:t>
      </w:r>
    </w:p>
    <w:p w14:paraId="705B2624" w14:textId="7A833713" w:rsidR="002A4F16" w:rsidRDefault="00F659B8" w:rsidP="002A4F16">
      <w:pPr>
        <w:pStyle w:val="Leipteksti"/>
      </w:pPr>
      <w:r>
        <w:t xml:space="preserve">Genom föreskriften meddelar Transport- och kommunikationsverket närmare föreskrifter om dokumenterade kontrollplaner och lämpliga rutiner för produktöverensstämmelse när det gäller tillsyn över produktionens överensstämmelse med kraven för nationellt typgodkännande, E-, EG- och EU-typgodkännande samt nationellt typgodkännande av små serier. Föreskriften tillämpas på bedömning av </w:t>
      </w:r>
      <w:r w:rsidR="00B23F29">
        <w:t xml:space="preserve">tillsynen över </w:t>
      </w:r>
      <w:r>
        <w:t>produktionens överensstämmelse med kraven hos den som ansöker om typgodkännande och hos innehavaren av ett typgodkännande. Med produktionens överensstämmelse med kraven (</w:t>
      </w:r>
      <w:proofErr w:type="spellStart"/>
      <w:r>
        <w:t>CoP</w:t>
      </w:r>
      <w:proofErr w:type="spellEnd"/>
      <w:r>
        <w:t>, Conformity of Production) avses att produkterna</w:t>
      </w:r>
      <w:r w:rsidR="00D514EC">
        <w:t xml:space="preserve"> som produceras av tillverkaren överensstämmer</w:t>
      </w:r>
      <w:r>
        <w:t xml:space="preserve"> med den ursprungliga godkända typen. </w:t>
      </w:r>
    </w:p>
    <w:p w14:paraId="1CFD5D4F" w14:textId="1847D9C7" w:rsidR="002A4F16" w:rsidRDefault="002A4F16" w:rsidP="000279DB">
      <w:pPr>
        <w:pStyle w:val="Leipteksti"/>
      </w:pPr>
      <w:r>
        <w:t xml:space="preserve">Tillämpningsområdet utvidgas till att i fortsättningen i princip </w:t>
      </w:r>
      <w:r w:rsidR="00460E58">
        <w:t>omfatta</w:t>
      </w:r>
      <w:r>
        <w:t xml:space="preserve"> tillsynen över överensstämmelse med kraven vid produktion av alla de </w:t>
      </w:r>
      <w:proofErr w:type="gramStart"/>
      <w:r>
        <w:t>fordon system</w:t>
      </w:r>
      <w:proofErr w:type="gramEnd"/>
      <w:r>
        <w:t xml:space="preserve">, komponenter, separata tekniska enheter, delar och all den utrustning som omfattas av tillämpningsområdet för </w:t>
      </w:r>
      <w:proofErr w:type="spellStart"/>
      <w:r>
        <w:t>fordonslagen</w:t>
      </w:r>
      <w:proofErr w:type="spellEnd"/>
      <w:r>
        <w:t xml:space="preserve"> (82/2021). I regeringens proposition till riksdagen med förslag till lag om ändring av </w:t>
      </w:r>
      <w:proofErr w:type="spellStart"/>
      <w:r>
        <w:t>fordonslagen</w:t>
      </w:r>
      <w:proofErr w:type="spellEnd"/>
      <w:r>
        <w:t xml:space="preserve"> och till lagar som har samband med den (RP 291/2022 </w:t>
      </w:r>
      <w:proofErr w:type="spellStart"/>
      <w:r>
        <w:t>rd</w:t>
      </w:r>
      <w:proofErr w:type="spellEnd"/>
      <w:r>
        <w:t xml:space="preserve">) föreslås att 66 § 8 mom. i </w:t>
      </w:r>
      <w:proofErr w:type="spellStart"/>
      <w:r>
        <w:t>fordonslagen</w:t>
      </w:r>
      <w:proofErr w:type="spellEnd"/>
      <w:r>
        <w:t xml:space="preserve"> ändras så att även EG-typgodkända fordon beaktas i bemyndigandet för Transport- och kommunikationsverket att meddela föreskrifter. I enlighet med lagförslaget inkluderas EG-</w:t>
      </w:r>
      <w:proofErr w:type="spellStart"/>
      <w:r>
        <w:t>typgodkännanden</w:t>
      </w:r>
      <w:proofErr w:type="spellEnd"/>
      <w:r>
        <w:t xml:space="preserve"> i tillämpningsområdet. I tillämpningsområdet </w:t>
      </w:r>
      <w:r>
        <w:lastRenderedPageBreak/>
        <w:t xml:space="preserve">inkluderas också förfaranden för tillsyn över överensstämmelse avseende kombinationer av däck och dubbar som är föremål för nationellt typgodkännande. Genom föreskriften om tekniska krav på och typgodkännande av fordons dubbdäck meddelas dock i fråga om kombinationer av däck och dubbar även i fortsättningen närmare föreskrifter i enlighet med nuvarande rättsläge vilka iakttas utöver denna föreskrift. När det gäller eventuella avvikande föreskrifter iakttas i första hand föreskriften om dubbdäck. </w:t>
      </w:r>
    </w:p>
    <w:p w14:paraId="216EEA36" w14:textId="2DCC9859" w:rsidR="009A4A67" w:rsidRPr="00BB2671" w:rsidRDefault="009A4A67" w:rsidP="00C87E42">
      <w:pPr>
        <w:pStyle w:val="Leipteksti"/>
      </w:pPr>
      <w:r>
        <w:t xml:space="preserve">I enlighet med 66 § 4 mom. i </w:t>
      </w:r>
      <w:proofErr w:type="spellStart"/>
      <w:r>
        <w:t>fordonslagen</w:t>
      </w:r>
      <w:proofErr w:type="spellEnd"/>
      <w:r>
        <w:t xml:space="preserve"> kan bedömningen av hur de inledande bedömningarna och rutinerna för produktöverensstämmelse fungerar och hur omfattande produkternas dokumenterade kontrollplaner är av särskilda skäl göras mer sällan än med 12 månaders mellanrum, men minst var 24:e månad. Det primära intervallet anses vara 12 månader, men av särskilda skäl kan bedömningen göras mer flexibelt med 12–24 månaders mellanrum. Ett särskilt skäl som avses i föreskriften kan vara t.ex. att ett kortare bedömningsintervall anses vara onödigt på basis av riskbedömningsmetoder.</w:t>
      </w:r>
    </w:p>
    <w:p w14:paraId="612AA3C8" w14:textId="6FA5EFD1" w:rsidR="00FB6026" w:rsidRPr="00BB2671" w:rsidRDefault="009A4A67" w:rsidP="00FB6026">
      <w:pPr>
        <w:pStyle w:val="Leipteksti"/>
      </w:pPr>
      <w:r>
        <w:t xml:space="preserve">I föreskriften avses med kontrollplan en dokumenterad beskrivning av de förfaranden och kontroller genom vilka man kan försäkra sig om att produkten uppfyller kraven för </w:t>
      </w:r>
      <w:proofErr w:type="spellStart"/>
      <w:r>
        <w:t>typgodkännandet</w:t>
      </w:r>
      <w:proofErr w:type="spellEnd"/>
      <w:r>
        <w:t xml:space="preserve"> under hela giltighetstiden för </w:t>
      </w:r>
      <w:proofErr w:type="spellStart"/>
      <w:r>
        <w:t>typgodkännandet</w:t>
      </w:r>
      <w:proofErr w:type="spellEnd"/>
      <w:r>
        <w:t>.</w:t>
      </w:r>
    </w:p>
    <w:p w14:paraId="4BEE11CC" w14:textId="5681CC32" w:rsidR="00FB6026" w:rsidRPr="00BB2671" w:rsidRDefault="00FB6026" w:rsidP="00FB6026">
      <w:pPr>
        <w:pStyle w:val="Leipteksti"/>
        <w:rPr>
          <w:b/>
        </w:rPr>
      </w:pPr>
      <w:r>
        <w:rPr>
          <w:b/>
        </w:rPr>
        <w:t>2 Definitioner</w:t>
      </w:r>
    </w:p>
    <w:p w14:paraId="4C8371E8" w14:textId="43F0EFE3" w:rsidR="00FB6026" w:rsidRPr="00BB2671" w:rsidRDefault="00FB6026" w:rsidP="00FB6026">
      <w:pPr>
        <w:pStyle w:val="Leipteksti"/>
        <w:rPr>
          <w:b/>
        </w:rPr>
      </w:pPr>
      <w:r>
        <w:t>Definitionerna flyttas från punkt 1.1 till en ny punkt 2. Därtill preciseras definitionen av termen kontrollplan så att den avser en dokumenterad kontrollplan.</w:t>
      </w:r>
    </w:p>
    <w:p w14:paraId="070DB9DD" w14:textId="37E94D87" w:rsidR="002D7015" w:rsidRPr="00BB2671" w:rsidRDefault="00FB6026" w:rsidP="00C87E42">
      <w:pPr>
        <w:pStyle w:val="Leipteksti"/>
      </w:pPr>
      <w:r>
        <w:rPr>
          <w:b/>
        </w:rPr>
        <w:t>3 Rutiner för produktöverensstämmelse och bedömning av dem</w:t>
      </w:r>
    </w:p>
    <w:p w14:paraId="6A7C101C" w14:textId="0109336A" w:rsidR="0092105C" w:rsidRPr="00BB2671" w:rsidRDefault="0092105C" w:rsidP="000279DB">
      <w:pPr>
        <w:pStyle w:val="Leipteksti"/>
      </w:pPr>
      <w:r>
        <w:t>Punkt 2 i föreskriften blir en ny punkt 3, och</w:t>
      </w:r>
      <w:r w:rsidR="00C95C7E">
        <w:t xml:space="preserve"> därtill görs det </w:t>
      </w:r>
      <w:r>
        <w:t>vissa ändringar av teknisk karaktär i stycken i denna punkt. I fortsättningen specificeras föreskrifterna på ett mer exakt sätt genom numrering. I punktens rubrik hänvisas till EG-</w:t>
      </w:r>
      <w:proofErr w:type="spellStart"/>
      <w:r>
        <w:t>typgodkännanden</w:t>
      </w:r>
      <w:proofErr w:type="spellEnd"/>
      <w:r>
        <w:t>.</w:t>
      </w:r>
    </w:p>
    <w:p w14:paraId="3482E9A6" w14:textId="7ED42713" w:rsidR="0092105C" w:rsidRPr="00BB2671" w:rsidRDefault="0092105C" w:rsidP="0092105C">
      <w:pPr>
        <w:pStyle w:val="Leipteksti"/>
      </w:pPr>
      <w:r>
        <w:t xml:space="preserve">Genom föreskriften meddelas närmare föreskrifter om de förfaranden för tillsyn över produktionens överensstämmelse som myndigheten kräver på basis av vilka myndigheten kan försäkra sig om att tillsynen över produktionens överensstämmelse är tillräcklig. I enlighet med 2 § 1 mom. 48 punkten i </w:t>
      </w:r>
      <w:proofErr w:type="spellStart"/>
      <w:r>
        <w:t>fordonslagen</w:t>
      </w:r>
      <w:proofErr w:type="spellEnd"/>
      <w:r>
        <w:t xml:space="preserve"> (82/2021) avses med tillverkarens representant den som tillverkaren av fordon, system, komponenter, separata tekniska enheter, delar eller utrustning befullmäktigat att företräda tillverkaren inför godkännandemyndigheten eller marknadskontrollmyndigheten och handla för tillverkarens räkning i frågor som gäller typgodkännande eller enskilt godkännande. </w:t>
      </w:r>
    </w:p>
    <w:p w14:paraId="6DB1154D" w14:textId="37202E6F" w:rsidR="00CA4223" w:rsidRPr="00BB2671" w:rsidRDefault="0092105C" w:rsidP="00CA4223">
      <w:pPr>
        <w:pStyle w:val="Leipteksti"/>
      </w:pPr>
      <w:r>
        <w:t xml:space="preserve">I punkt 3.1 i föreskriften görs språkliga ändringar. I punkten görs inga innehållsmässiga ändringar. </w:t>
      </w:r>
      <w:r w:rsidR="007412DF">
        <w:t xml:space="preserve">Enligt punkten ska </w:t>
      </w:r>
      <w:r w:rsidR="00187FE9">
        <w:t>t</w:t>
      </w:r>
      <w:r>
        <w:t xml:space="preserve">illverkaren ha ett dokumenterat kvalitetsledningssystem som ska omfatta tillverkningen av den typgodkända produkten. Sådant dokumenterat kvalitetsledningssystem anses vara ett kvalitetsledningssystem enligt ISO 9001:2015 eller motsvarande standard. Föreskrifter som utfärdats i enlighet med punkt 3.1 tillämpas på tillverkarens representant i den omfattning som tillverkarens representant som är innehavare av </w:t>
      </w:r>
      <w:proofErr w:type="spellStart"/>
      <w:r>
        <w:t>typgodkännandet</w:t>
      </w:r>
      <w:proofErr w:type="spellEnd"/>
      <w:r>
        <w:t xml:space="preserve"> deltar i säkerställandet av kraven som gäller överensstämmelse för det nationella </w:t>
      </w:r>
      <w:proofErr w:type="spellStart"/>
      <w:r>
        <w:t>typgodkännandet</w:t>
      </w:r>
      <w:proofErr w:type="spellEnd"/>
      <w:r>
        <w:t xml:space="preserve"> som ska beviljas och i tillverkningen av produkten.</w:t>
      </w:r>
    </w:p>
    <w:p w14:paraId="484DCA54" w14:textId="270B84AA" w:rsidR="0092105C" w:rsidRPr="00BB2671" w:rsidRDefault="00CA4223" w:rsidP="0092105C">
      <w:pPr>
        <w:pStyle w:val="Leipteksti"/>
      </w:pPr>
      <w:r>
        <w:t xml:space="preserve">I enlighet med punkt 3.2 ska produktens tillverkningsprocess styras och ledas med hjälp av kvalitetsledningssystemet. I punkten görs inga innehållsmässiga ändringar. </w:t>
      </w:r>
    </w:p>
    <w:p w14:paraId="6B57E48F" w14:textId="7783B1EA" w:rsidR="0092105C" w:rsidRPr="00BB2671" w:rsidRDefault="0092105C" w:rsidP="0092105C">
      <w:pPr>
        <w:pStyle w:val="Leipteksti"/>
      </w:pPr>
      <w:r>
        <w:lastRenderedPageBreak/>
        <w:t xml:space="preserve">I </w:t>
      </w:r>
      <w:r w:rsidR="007F325F">
        <w:t>under</w:t>
      </w:r>
      <w:r>
        <w:t>punkt 3.2.1 fastställs minimiförutsättningarna för kvalitetsledningssystemet.</w:t>
      </w:r>
    </w:p>
    <w:p w14:paraId="25E83F4E" w14:textId="68CD2090" w:rsidR="0092105C" w:rsidRDefault="00CA4223" w:rsidP="0092105C">
      <w:pPr>
        <w:pStyle w:val="Leipteksti"/>
      </w:pPr>
      <w:r>
        <w:t xml:space="preserve">Underpunkt h i punkt 6 i förteckningen ändras så att den bättre motsvarar de dokument som krävs i punkten i fråga. Kravet gäller tidigare bedömningsrapporter som gäller produktionens överensstämmelse med kraven. </w:t>
      </w:r>
    </w:p>
    <w:p w14:paraId="206710DA" w14:textId="701F41A9" w:rsidR="008348A6" w:rsidRPr="00BB2671" w:rsidRDefault="008348A6" w:rsidP="0092105C">
      <w:pPr>
        <w:pStyle w:val="Leipteksti"/>
      </w:pPr>
      <w:r w:rsidRPr="008348A6">
        <w:t xml:space="preserve">Punkt 7 skulle ändras till att omfatta alla möjliga godkända produkter utöver fordon genom att lägga till de möjliga produkter som omfattas av hela </w:t>
      </w:r>
      <w:proofErr w:type="spellStart"/>
      <w:r w:rsidRPr="008348A6">
        <w:t>CoP</w:t>
      </w:r>
      <w:proofErr w:type="spellEnd"/>
      <w:r w:rsidRPr="008348A6">
        <w:t>-förordningen. Det finns ingen anledning att begränsa kravet till enbart fordon.</w:t>
      </w:r>
    </w:p>
    <w:p w14:paraId="59D168D4" w14:textId="7E236036" w:rsidR="0092105C" w:rsidRPr="00BB2671" w:rsidRDefault="00CA4223" w:rsidP="0092105C">
      <w:pPr>
        <w:pStyle w:val="Leipteksti"/>
      </w:pPr>
      <w:r>
        <w:t xml:space="preserve">Som en ny punkt 8 i förteckningen i </w:t>
      </w:r>
      <w:r w:rsidR="00E563C1">
        <w:t>under</w:t>
      </w:r>
      <w:r>
        <w:t>punkt 3.2.1 läggs till behandlingsprocessen för intyg över överensstämmelse (</w:t>
      </w:r>
      <w:proofErr w:type="spellStart"/>
      <w:r>
        <w:t>CoC</w:t>
      </w:r>
      <w:proofErr w:type="spellEnd"/>
      <w:r>
        <w:t>-intyg) och intygets uppgifter. Målet är att tillverkarna utöver behandlingen av intyg över överensstämmelse också skulle definiera ursprunget till intygets uppgifter på ett mer exakt sätt. För närvarande gäller kravet fordons EU- och EG-</w:t>
      </w:r>
      <w:proofErr w:type="spellStart"/>
      <w:r>
        <w:t>typgodkännanden</w:t>
      </w:r>
      <w:proofErr w:type="spellEnd"/>
      <w:r>
        <w:t xml:space="preserve"> och nationellt typgodkännande av små serier. Vad gäller intyg över överensstämmelse ska man beakta att de även omfattas av bl.a. föreskrifterna gällande externa handlingar i underpunkt c i punkt 6 i förteckningen. </w:t>
      </w:r>
    </w:p>
    <w:p w14:paraId="51AF7085" w14:textId="2F3C7C75" w:rsidR="0092105C" w:rsidRPr="00BB2671" w:rsidRDefault="00CA4223" w:rsidP="0092105C">
      <w:pPr>
        <w:pStyle w:val="Leipteksti"/>
      </w:pPr>
      <w:r>
        <w:t>I punkt 11 i förteckningen görs språkliga ändringar i formuleringarna.</w:t>
      </w:r>
    </w:p>
    <w:p w14:paraId="527C808C" w14:textId="28763E65" w:rsidR="0092105C" w:rsidRPr="00BB2671" w:rsidRDefault="0092105C" w:rsidP="0092105C">
      <w:pPr>
        <w:pStyle w:val="Leipteksti"/>
      </w:pPr>
      <w:r>
        <w:t>Föreskrifterna om kraven som gäller kvalitetsledningssystemet avseende uppgifter, ansvar och befogenheter som de personer har som deltar i den typgodkända produktens tillverkningsprocess flyttas till en ny punkt 13 i förteckningen på grund av saklig anknytning. Syftet är att göra det tydligare att föreskriften är förpliktande på samma sätt som de övriga sakerna i förteckningen. Samtidigt tar man bort kravet på att man ska fastställa personalresurserna i anslutning till tillverkningen av den typgodkända produkten, eftersom denna föreskrift ingår sakligt i fastställande av uppgifter, ansvar och befogenheter som de personer har som deltar i den typgodkända produktens tillverkningsprocess så som avses i punkt 13 i förteckningen.</w:t>
      </w:r>
    </w:p>
    <w:p w14:paraId="0D5C59B9" w14:textId="251563D1" w:rsidR="0092105C" w:rsidRPr="00BB2671" w:rsidRDefault="00CA4223" w:rsidP="0092105C">
      <w:pPr>
        <w:pStyle w:val="Leipteksti"/>
      </w:pPr>
      <w:r>
        <w:t>I underpunkt 3.2.2 görs en språklig ändring avseende hänvisningen. I enlighet med punkten ska kvalitetsledningssystemet innehålla dokumenterade kontrollplaner. I föreskriften hänvisas till dokumenterade kontrollplaner för de produkter som ska godkännas enligt punkt 4.</w:t>
      </w:r>
    </w:p>
    <w:p w14:paraId="2AEAC009" w14:textId="63DFBA5C" w:rsidR="0092105C" w:rsidRPr="00BB2671" w:rsidRDefault="00CA4223" w:rsidP="0092105C">
      <w:pPr>
        <w:pStyle w:val="Leipteksti"/>
      </w:pPr>
      <w:r>
        <w:t>I enlighet med underpunkt 3.2.3 ska man med hjälp av kvalitetsledningssystemet försäkra sig om att komponenter som upptäckts vara avvikande inte används vid tillverkning av typgodkända produkter och att produkter som upptäckts vara avvikande inte släpps ut på marknaden. I punkten görs inga innehållsmässiga ändringar.</w:t>
      </w:r>
    </w:p>
    <w:p w14:paraId="0AD5EB18" w14:textId="04357EA6" w:rsidR="0092105C" w:rsidRPr="00BB2671" w:rsidRDefault="00CA4223" w:rsidP="0092105C">
      <w:pPr>
        <w:pStyle w:val="Leipteksti"/>
      </w:pPr>
      <w:r>
        <w:t>I enlighet med underpunkt 3.2.4 ska man i kvalitetsledningssystemet på ett dokumenterat sätt också fastställa på vilket sätt man försäkrar sig om att produkterna som släpps ut på marknaden överensstämmer med kraven. Förfarandet tillämpas även på förhandsanmälningar om fordon. Förfarandet ska omfatta jämförelse av kraven och uppgifterna som fastställts vid typgodkännande med godkännandedokumentationen. Om förfarandet grundar sig på urval, ska det även fastställas. I punkten görs inga innehållsmässiga ändringar.</w:t>
      </w:r>
    </w:p>
    <w:p w14:paraId="22C1D78F" w14:textId="0404A5EE" w:rsidR="0092105C" w:rsidRPr="00BB2671" w:rsidRDefault="0092105C" w:rsidP="0092105C">
      <w:pPr>
        <w:pStyle w:val="Leipteksti"/>
      </w:pPr>
      <w:r>
        <w:t xml:space="preserve">I enlighet med underpunkt </w:t>
      </w:r>
      <w:r w:rsidR="00F66D20">
        <w:t xml:space="preserve">3.2.5 </w:t>
      </w:r>
      <w:r>
        <w:t>ska kvalitetsledningssystemet dessutom innehålla ett revisionsprogram enligt vilket man utför de interna revisionerna. I punkten görs inga innehållsmässiga ändringar.</w:t>
      </w:r>
    </w:p>
    <w:p w14:paraId="01775575" w14:textId="589E1943" w:rsidR="0092105C" w:rsidRPr="00BB2671" w:rsidRDefault="0092105C" w:rsidP="0092105C">
      <w:pPr>
        <w:pStyle w:val="Leipteksti"/>
      </w:pPr>
      <w:r>
        <w:lastRenderedPageBreak/>
        <w:t xml:space="preserve">Om det görs ändringar i kvalitetsledningssystemet ska ändringarna genomföras på ett planmässigt sätt i enlighet med punkt 3.2.6 för att man ska kunna säkerställa </w:t>
      </w:r>
      <w:r w:rsidR="00E00692" w:rsidRPr="00531818">
        <w:t xml:space="preserve">fortlöpande </w:t>
      </w:r>
      <w:r>
        <w:t xml:space="preserve">överensstämmelse för de produkter som omfattas av </w:t>
      </w:r>
      <w:proofErr w:type="spellStart"/>
      <w:r>
        <w:t>typgodkännandet</w:t>
      </w:r>
      <w:proofErr w:type="spellEnd"/>
      <w:r>
        <w:t xml:space="preserve">. Med planmässighet avses en plan som görs på förhand, och man ska inte genomföra </w:t>
      </w:r>
      <w:r w:rsidR="00F545D0">
        <w:t xml:space="preserve">några </w:t>
      </w:r>
      <w:r>
        <w:t>ändringar innan man har gjort upp en påvisbar plan för ändringarna.</w:t>
      </w:r>
    </w:p>
    <w:p w14:paraId="2B430E34" w14:textId="62781AA6" w:rsidR="00452838" w:rsidRPr="00BB2671" w:rsidRDefault="00AA168E" w:rsidP="009453FA">
      <w:pPr>
        <w:pStyle w:val="Leipteksti"/>
      </w:pPr>
      <w:r>
        <w:t xml:space="preserve">Sista avsnittet i punkt 2.1 i den gällande föreskriften </w:t>
      </w:r>
      <w:r w:rsidR="00606F20">
        <w:t>blir</w:t>
      </w:r>
      <w:r>
        <w:t xml:space="preserve"> en ny underpunkt 2.3.7. I punkten beaktas utöver bestämmelserna också de rättsnormer som i fortsättni</w:t>
      </w:r>
      <w:r w:rsidR="000078DE">
        <w:t>ngen utfärdas genom föreskrift</w:t>
      </w:r>
      <w:r>
        <w:t>.</w:t>
      </w:r>
    </w:p>
    <w:p w14:paraId="55270CF9" w14:textId="5D2DD673" w:rsidR="009A4A67" w:rsidRPr="00BB2671" w:rsidRDefault="001E0C00" w:rsidP="00C87E42">
      <w:pPr>
        <w:pStyle w:val="Leipteksti"/>
        <w:rPr>
          <w:b/>
        </w:rPr>
      </w:pPr>
      <w:r>
        <w:rPr>
          <w:b/>
        </w:rPr>
        <w:t>4 Dokumenterad kontrollplan</w:t>
      </w:r>
    </w:p>
    <w:p w14:paraId="4AB13E90" w14:textId="6A7F6BF0" w:rsidR="009A4A67" w:rsidRPr="00BB2671" w:rsidRDefault="001E0C00" w:rsidP="00C87E42">
      <w:pPr>
        <w:pStyle w:val="Leipteksti"/>
      </w:pPr>
      <w:r>
        <w:t xml:space="preserve">Punkt 3 i föreskriften blir en ny </w:t>
      </w:r>
      <w:r w:rsidR="005656DD">
        <w:t xml:space="preserve">punkt 4, och därtill görs det </w:t>
      </w:r>
      <w:r>
        <w:t xml:space="preserve">vissa ändringar av teknisk karaktär i stycken i denna punkt. I fortsättningen specificeras föreskrifterna på ett mer exakt sätt genom numrering. Varje typgodkänd produkt ska ha en dokumenterad kontrollplan genom vilken tillverkaren övervakar produktens överensstämmelse med kraven under den tid produkten tillverkas och släpps ut på marknaden. Genom denna handling kan tillverkaren eller tillverkarens representant som en del av kvalitetsledningssystemet påvisa tillräckliga förfaranden avseende den godkända produkten för att säkerställa överensstämmelsen vid produktion. I punkten läggs till en hänvisning till EG-typgodkännande. </w:t>
      </w:r>
    </w:p>
    <w:p w14:paraId="6F6318CC" w14:textId="6760CFA3" w:rsidR="00585B2E" w:rsidRPr="00BB2671" w:rsidRDefault="004D2992" w:rsidP="007C319E">
      <w:pPr>
        <w:pStyle w:val="Leipteksti"/>
      </w:pPr>
      <w:r>
        <w:t>I enlighet med punkt 4.1 ska den dokumenterade kontrollplanen bland annat innehålla en beskrivning av det objekt som kontrolleras. I beskrivningen ska man ange förpliktande lagstiftning som gäller produkten och de tester som kommer i fråga med anledning av lagstiftningen. Därtill ska man vid behov ange delarna av produktens konstruktion</w:t>
      </w:r>
      <w:r w:rsidR="006656AF">
        <w:t xml:space="preserve"> i beskrivningen</w:t>
      </w:r>
      <w:r>
        <w:t>. Med metoden för kontroll av objektet avses sättet att utföra kontrollen, t.ex. visuell, skriftlig eller fysisk kontrollmetod. Med objektets kontrollfrekvens avses både de krav som lagstiftningen medför och den genomförda frekvensen. Uppgifterna om ansvarspersonen för kontrollen och åtgärden kan anges t.ex. genom titlar för organisationens ansvariga aktörer.</w:t>
      </w:r>
    </w:p>
    <w:p w14:paraId="6EF96A1F" w14:textId="4B268006" w:rsidR="00585B2E" w:rsidRPr="00BB2671" w:rsidRDefault="00BA76C4" w:rsidP="00C87E42">
      <w:pPr>
        <w:pStyle w:val="Leipteksti"/>
      </w:pPr>
      <w:r>
        <w:t xml:space="preserve">Till föreskriften fogas en ny punkt 4.2 där man fastställer närmare krav på innehållet av dokumentationen för dokumenterade kontrollplaner. Samtidigt tar man bort kravet avseende uppgift om kontrollens resultat inklusive motivering från punkt 5 i andra stycket i punkt 3 i den gällande föreskriften eftersom det anknyter till dokumentationen som avses i den nya punkten 4.2. Föreskriften ingår i fortsättningen i vad som anges i underpunkt 4.2.2. Den nya underpunkten 4.2.2 omfattar situationer där den dokumenterade kontrollplanen också fungerar som dokumentation. </w:t>
      </w:r>
    </w:p>
    <w:p w14:paraId="1C22D7B0" w14:textId="524B2300" w:rsidR="00B00FC4" w:rsidRPr="00BB2671" w:rsidRDefault="006A5069" w:rsidP="00C87E42">
      <w:pPr>
        <w:pStyle w:val="Leipteksti"/>
      </w:pPr>
      <w:r>
        <w:t>Bilaga 1 till föreskriften tas bort för att undvika oklarheter. Transport- och kommunikationsverket publicerar i fortsättningen exempel på dokumenterade kontrollplaner i form av separat stödmaterial. Exemplen tas bort från föreskriften för att undvika oklarheter kring tolkningen. I praktiken omfattar förutsättningarna bedömning från fall till fall, vilket innebär att allmänna exempel på kontrollplanernas stomme inte kan tillämpas direkt på ett sådant sätt att man skulle kunna hänvisa till det såsom till en bestämmelse. Tillverkare ska göra upp dokumenterade kontrollplaner utifrån sin produktion och produkten i fråga.</w:t>
      </w:r>
    </w:p>
    <w:p w14:paraId="1F964F7C" w14:textId="2A27A6C3" w:rsidR="0028600E" w:rsidRPr="00BB2671" w:rsidRDefault="0028600E" w:rsidP="00C87E42">
      <w:pPr>
        <w:pStyle w:val="Leipteksti"/>
      </w:pPr>
      <w:r>
        <w:t xml:space="preserve">Punkt 4 som gäller ikraftträdande och övergångsbestämmelser flyttas till en ny punkt 5. Från föreskriften tas bort de övergångsbestämmelser vars övergångstid har gått ut vid tidpunkten för föreskriftens ikraftträdande. </w:t>
      </w:r>
    </w:p>
    <w:p w14:paraId="191C6957" w14:textId="79EC985F" w:rsidR="0069158A" w:rsidRPr="00BB2671" w:rsidRDefault="0069158A" w:rsidP="00F522EB">
      <w:pPr>
        <w:pStyle w:val="Otsikko2"/>
      </w:pPr>
      <w:r>
        <w:t>Föreskriftens ikraftträdande</w:t>
      </w:r>
    </w:p>
    <w:p w14:paraId="4CBE37A3" w14:textId="29514CCA" w:rsidR="0069158A" w:rsidRPr="00BB2671" w:rsidRDefault="00DA513B" w:rsidP="00C87E42">
      <w:pPr>
        <w:pStyle w:val="Leipteksti"/>
      </w:pPr>
      <w:r>
        <w:t xml:space="preserve">Föreskriften avses träda i kraft under </w:t>
      </w:r>
      <w:r w:rsidR="00931EBF">
        <w:t>sensommar/tidig höst</w:t>
      </w:r>
      <w:r>
        <w:t xml:space="preserve"> 2023.</w:t>
      </w:r>
    </w:p>
    <w:p w14:paraId="2D984FA4" w14:textId="4E47A763" w:rsidR="0069158A" w:rsidRPr="00BB2671" w:rsidRDefault="00DA513B" w:rsidP="00F522EB">
      <w:pPr>
        <w:pStyle w:val="Otsikko3"/>
      </w:pPr>
      <w:r>
        <w:lastRenderedPageBreak/>
        <w:t xml:space="preserve"> Bilagor</w:t>
      </w:r>
    </w:p>
    <w:p w14:paraId="47340452" w14:textId="2AAAF789" w:rsidR="0069158A" w:rsidRPr="00BB2671" w:rsidRDefault="00577AD3" w:rsidP="000E7EE4">
      <w:pPr>
        <w:pStyle w:val="Leipteksti"/>
        <w:rPr>
          <w:b/>
        </w:rPr>
      </w:pPr>
      <w:r>
        <w:rPr>
          <w:rStyle w:val="LeiptekstiChar"/>
        </w:rPr>
        <w:t xml:space="preserve">Sammandrag av utlåtanden </w:t>
      </w:r>
      <w:r>
        <w:rPr>
          <w:rStyle w:val="LeiptekstiChar"/>
        </w:rPr>
        <w:br/>
        <w:t xml:space="preserve">Sammanställning över kommentarer </w:t>
      </w:r>
      <w:r>
        <w:rPr>
          <w:rStyle w:val="LeiptekstiChar"/>
        </w:rPr>
        <w:br/>
      </w:r>
    </w:p>
    <w:sectPr w:rsidR="0069158A" w:rsidRPr="00BB2671" w:rsidSect="00180DD1">
      <w:headerReference w:type="default" r:id="rId12"/>
      <w:footerReference w:type="default" r:id="rId13"/>
      <w:headerReference w:type="first" r:id="rId14"/>
      <w:footerReference w:type="first" r:id="rId15"/>
      <w:type w:val="continuous"/>
      <w:pgSz w:w="11906" w:h="16838" w:code="9"/>
      <w:pgMar w:top="567" w:right="991" w:bottom="1021"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A5BD" w14:textId="77777777" w:rsidR="00DF56FF" w:rsidRDefault="00DF56FF" w:rsidP="00E578A9">
      <w:pPr>
        <w:spacing w:after="0" w:line="240" w:lineRule="auto"/>
      </w:pPr>
      <w:r>
        <w:separator/>
      </w:r>
    </w:p>
  </w:endnote>
  <w:endnote w:type="continuationSeparator" w:id="0">
    <w:p w14:paraId="3C7EC425" w14:textId="77777777" w:rsidR="00DF56FF" w:rsidRDefault="00DF56FF" w:rsidP="00E5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utiger 55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16EB" w14:textId="09032DA7" w:rsidR="00D20384" w:rsidRPr="00180DD1" w:rsidRDefault="00180DD1" w:rsidP="00180DD1">
    <w:pPr>
      <w:pStyle w:val="Alatunniste"/>
    </w:pPr>
    <w:r>
      <w:t xml:space="preserve">Transport- och kommunikationsverket Traficom • PB 320, 00059 TRAFICOM • tfn 029 534 5000 ▪ FO-nummer </w:t>
    </w:r>
    <w:proofErr w:type="gramStart"/>
    <w:r>
      <w:t>2924753-3</w:t>
    </w:r>
    <w:proofErr w:type="gramEnd"/>
    <w:r>
      <w:t xml:space="preserve"> • traficom.fi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5015" w14:textId="77777777" w:rsidR="009C54D8" w:rsidRDefault="009342B5" w:rsidP="009342B5">
    <w:pPr>
      <w:pStyle w:val="Alatunniste"/>
      <w:spacing w:line="276" w:lineRule="auto"/>
    </w:pPr>
    <w:r>
      <w:t>Transport- och kommunikationsverket Traficom ▪ PB 320, 00059 TRAFICOM</w:t>
    </w:r>
  </w:p>
  <w:p w14:paraId="7166257F" w14:textId="77777777" w:rsidR="00E578A9" w:rsidRPr="009C54D8" w:rsidRDefault="009342B5" w:rsidP="00700414">
    <w:pPr>
      <w:pStyle w:val="Alatunniste"/>
      <w:spacing w:line="276" w:lineRule="auto"/>
      <w:rPr>
        <w:b/>
      </w:rPr>
    </w:pPr>
    <w:r>
      <w:t xml:space="preserve">tfn 029 534 5000 ▪ FO-nummer </w:t>
    </w:r>
    <w:proofErr w:type="gramStart"/>
    <w:r>
      <w:t>2924753-3</w:t>
    </w:r>
    <w:proofErr w:type="gramEnd"/>
    <w:r>
      <w:tab/>
    </w:r>
    <w:r>
      <w:tab/>
    </w:r>
    <w:r>
      <w:rPr>
        <w:b/>
      </w:rPr>
      <w:t>www.traficom.fi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307B" w14:textId="77777777" w:rsidR="00DF56FF" w:rsidRDefault="00DF56FF" w:rsidP="00E578A9">
      <w:pPr>
        <w:spacing w:after="0" w:line="240" w:lineRule="auto"/>
      </w:pPr>
      <w:r>
        <w:separator/>
      </w:r>
    </w:p>
  </w:footnote>
  <w:footnote w:type="continuationSeparator" w:id="0">
    <w:p w14:paraId="1FA4DE8A" w14:textId="77777777" w:rsidR="00DF56FF" w:rsidRDefault="00DF56FF" w:rsidP="00E57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100F" w14:textId="782686CF" w:rsidR="00F522EB" w:rsidRPr="00F522EB" w:rsidRDefault="00893253" w:rsidP="00893253">
    <w:pPr>
      <w:tabs>
        <w:tab w:val="center" w:pos="4819"/>
        <w:tab w:val="left" w:pos="5670"/>
        <w:tab w:val="right" w:pos="9638"/>
      </w:tabs>
      <w:spacing w:after="0" w:line="240" w:lineRule="auto"/>
      <w:ind w:firstLine="2608"/>
      <w:rPr>
        <w:rFonts w:eastAsia="Calibri" w:cs="Calibri"/>
      </w:rPr>
    </w:pPr>
    <w:r>
      <w:rPr>
        <w:b/>
        <w:noProof/>
        <w:sz w:val="22"/>
        <w:lang w:val="fi-FI" w:eastAsia="fi-FI"/>
      </w:rPr>
      <w:drawing>
        <wp:anchor distT="0" distB="0" distL="114300" distR="114300" simplePos="0" relativeHeight="251659264" behindDoc="1" locked="0" layoutInCell="1" allowOverlap="1" wp14:anchorId="773CEA0C" wp14:editId="6B846862">
          <wp:simplePos x="0" y="0"/>
          <wp:positionH relativeFrom="column">
            <wp:posOffset>-83870</wp:posOffset>
          </wp:positionH>
          <wp:positionV relativeFrom="paragraph">
            <wp:posOffset>13360</wp:posOffset>
          </wp:positionV>
          <wp:extent cx="2133600" cy="463550"/>
          <wp:effectExtent l="0" t="0" r="0" b="0"/>
          <wp:wrapTight wrapText="bothSides">
            <wp:wrapPolygon edited="0">
              <wp:start x="0" y="0"/>
              <wp:lineTo x="0" y="20416"/>
              <wp:lineTo x="21407" y="20416"/>
              <wp:lineTo x="21407" y="0"/>
              <wp:lineTo x="0" y="0"/>
            </wp:wrapPolygon>
          </wp:wrapTight>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63550"/>
                  </a:xfrm>
                  <a:prstGeom prst="rect">
                    <a:avLst/>
                  </a:prstGeom>
                  <a:noFill/>
                </pic:spPr>
              </pic:pic>
            </a:graphicData>
          </a:graphic>
        </wp:anchor>
      </w:drawing>
    </w:r>
    <w:r>
      <w:rPr>
        <w:b/>
        <w:sz w:val="22"/>
      </w:rPr>
      <w:t>Promemoria</w:t>
    </w:r>
    <w:r w:rsidR="00F522EB">
      <w:rPr>
        <w:b/>
        <w:sz w:val="22"/>
      </w:rPr>
      <w:tab/>
    </w:r>
    <w:r w:rsidR="00F522EB" w:rsidRPr="00F522EB">
      <w:rPr>
        <w:rFonts w:eastAsia="Calibri" w:cs="Calibri"/>
        <w:sz w:val="18"/>
      </w:rPr>
      <w:fldChar w:fldCharType="begin"/>
    </w:r>
    <w:r w:rsidR="00F522EB" w:rsidRPr="00F522EB">
      <w:rPr>
        <w:rFonts w:eastAsia="Calibri" w:cs="Calibri"/>
        <w:sz w:val="18"/>
      </w:rPr>
      <w:instrText xml:space="preserve"> PAGE </w:instrText>
    </w:r>
    <w:r w:rsidR="00F522EB" w:rsidRPr="00F522EB">
      <w:rPr>
        <w:rFonts w:eastAsia="Calibri" w:cs="Calibri"/>
        <w:sz w:val="18"/>
      </w:rPr>
      <w:fldChar w:fldCharType="separate"/>
    </w:r>
    <w:r w:rsidR="00F15069">
      <w:rPr>
        <w:rFonts w:eastAsia="Calibri" w:cs="Calibri"/>
        <w:noProof/>
        <w:sz w:val="18"/>
      </w:rPr>
      <w:t>1</w:t>
    </w:r>
    <w:r w:rsidR="00F522EB" w:rsidRPr="00F522EB">
      <w:rPr>
        <w:rFonts w:eastAsia="Calibri" w:cs="Calibri"/>
        <w:sz w:val="18"/>
      </w:rPr>
      <w:fldChar w:fldCharType="end"/>
    </w:r>
    <w:r w:rsidR="00F522EB">
      <w:t xml:space="preserve"> (</w:t>
    </w:r>
    <w:r w:rsidR="00F522EB" w:rsidRPr="00F522EB">
      <w:rPr>
        <w:rFonts w:eastAsia="Calibri" w:cs="Calibri"/>
        <w:sz w:val="18"/>
      </w:rPr>
      <w:fldChar w:fldCharType="begin"/>
    </w:r>
    <w:r w:rsidR="00F522EB" w:rsidRPr="00F522EB">
      <w:rPr>
        <w:rFonts w:eastAsia="Calibri" w:cs="Calibri"/>
        <w:sz w:val="18"/>
      </w:rPr>
      <w:instrText xml:space="preserve"> NUMPAGES </w:instrText>
    </w:r>
    <w:r w:rsidR="00F522EB" w:rsidRPr="00F522EB">
      <w:rPr>
        <w:rFonts w:eastAsia="Calibri" w:cs="Calibri"/>
        <w:sz w:val="18"/>
      </w:rPr>
      <w:fldChar w:fldCharType="separate"/>
    </w:r>
    <w:r w:rsidR="00F15069">
      <w:rPr>
        <w:rFonts w:eastAsia="Calibri" w:cs="Calibri"/>
        <w:noProof/>
        <w:sz w:val="18"/>
      </w:rPr>
      <w:t>6</w:t>
    </w:r>
    <w:r w:rsidR="00F522EB" w:rsidRPr="00F522EB">
      <w:rPr>
        <w:rFonts w:eastAsia="Calibri" w:cs="Calibri"/>
        <w:sz w:val="18"/>
      </w:rPr>
      <w:fldChar w:fldCharType="end"/>
    </w:r>
    <w:r w:rsidR="00F522EB">
      <w:t>)</w:t>
    </w:r>
  </w:p>
  <w:p w14:paraId="65DFD55B" w14:textId="77777777" w:rsidR="00F522EB" w:rsidRPr="00F522EB" w:rsidRDefault="00F522EB" w:rsidP="00F522EB">
    <w:pPr>
      <w:tabs>
        <w:tab w:val="center" w:pos="4819"/>
        <w:tab w:val="left" w:pos="5670"/>
        <w:tab w:val="right" w:pos="9638"/>
      </w:tabs>
      <w:spacing w:after="0" w:line="240" w:lineRule="auto"/>
      <w:ind w:left="851" w:firstLine="4819"/>
      <w:rPr>
        <w:rFonts w:eastAsia="Calibri" w:cs="Calibri"/>
      </w:rPr>
    </w:pPr>
  </w:p>
  <w:p w14:paraId="5708EFF4" w14:textId="4F20C7B3" w:rsidR="00F522EB" w:rsidRDefault="00035BB1" w:rsidP="00F522EB">
    <w:pPr>
      <w:tabs>
        <w:tab w:val="center" w:pos="4819"/>
        <w:tab w:val="right" w:pos="9638"/>
      </w:tabs>
      <w:spacing w:after="0" w:line="240" w:lineRule="auto"/>
      <w:ind w:left="851" w:firstLine="4819"/>
      <w:rPr>
        <w:rFonts w:eastAsia="Calibri" w:cs="Calibri"/>
        <w:szCs w:val="20"/>
      </w:rPr>
    </w:pPr>
    <w:r>
      <w:rPr>
        <w:rFonts w:eastAsia="Calibri" w:cs="Calibri"/>
        <w:szCs w:val="20"/>
      </w:rPr>
      <w:fldChar w:fldCharType="begin"/>
    </w:r>
    <w:r>
      <w:rPr>
        <w:rFonts w:eastAsia="Calibri" w:cs="Calibri"/>
        <w:szCs w:val="20"/>
      </w:rPr>
      <w:instrText xml:space="preserve"> MACROBUTTON  AdditionalActions TRAFICOM/425095/03.04.03.00/2022 </w:instrText>
    </w:r>
    <w:r>
      <w:rPr>
        <w:rFonts w:eastAsia="Calibri" w:cs="Calibri"/>
        <w:szCs w:val="20"/>
      </w:rPr>
      <w:fldChar w:fldCharType="end"/>
    </w:r>
  </w:p>
  <w:p w14:paraId="2EF96185" w14:textId="77777777" w:rsidR="00F522EB" w:rsidRPr="00F522EB" w:rsidRDefault="00F522EB" w:rsidP="00F522EB">
    <w:pPr>
      <w:tabs>
        <w:tab w:val="center" w:pos="4819"/>
        <w:tab w:val="right" w:pos="9638"/>
      </w:tabs>
      <w:spacing w:after="0" w:line="240" w:lineRule="auto"/>
      <w:ind w:left="851" w:firstLine="4819"/>
      <w:rPr>
        <w:rFonts w:eastAsia="Calibri" w:cs="Calibri"/>
        <w:szCs w:val="20"/>
      </w:rPr>
    </w:pPr>
  </w:p>
  <w:p w14:paraId="6EA58E40" w14:textId="77777777" w:rsidR="00DF26C4" w:rsidRDefault="00DF26C4" w:rsidP="00DF26C4">
    <w:pPr>
      <w:pStyle w:val="Yltunnis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Layout w:type="fixed"/>
      <w:tblLook w:val="00E0" w:firstRow="1" w:lastRow="1" w:firstColumn="1" w:lastColumn="0" w:noHBand="0" w:noVBand="0"/>
    </w:tblPr>
    <w:tblGrid>
      <w:gridCol w:w="4819"/>
      <w:gridCol w:w="2407"/>
      <w:gridCol w:w="2555"/>
    </w:tblGrid>
    <w:tr w:rsidR="00E578A9" w14:paraId="4DD8EDEC" w14:textId="77777777" w:rsidTr="00D20384">
      <w:trPr>
        <w:trHeight w:hRule="exact" w:val="480"/>
      </w:trPr>
      <w:tc>
        <w:tcPr>
          <w:tcW w:w="4819" w:type="dxa"/>
          <w:vMerge w:val="restart"/>
          <w:tcMar>
            <w:right w:w="0" w:type="dxa"/>
          </w:tcMar>
        </w:tcPr>
        <w:p w14:paraId="4DFBD487" w14:textId="77777777" w:rsidR="00E578A9" w:rsidRDefault="009342B5" w:rsidP="00E578A9">
          <w:pPr>
            <w:pStyle w:val="Yltunniste"/>
            <w:tabs>
              <w:tab w:val="clear" w:pos="4819"/>
              <w:tab w:val="clear" w:pos="9638"/>
            </w:tabs>
          </w:pPr>
          <w:r>
            <w:rPr>
              <w:noProof/>
              <w:lang w:val="fi-FI" w:eastAsia="fi-FI"/>
            </w:rPr>
            <w:drawing>
              <wp:anchor distT="0" distB="0" distL="114300" distR="114300" simplePos="0" relativeHeight="251658240" behindDoc="0" locked="0" layoutInCell="1" allowOverlap="1" wp14:anchorId="6823A743" wp14:editId="3AD4AE20">
                <wp:simplePos x="0" y="0"/>
                <wp:positionH relativeFrom="page">
                  <wp:posOffset>0</wp:posOffset>
                </wp:positionH>
                <wp:positionV relativeFrom="page">
                  <wp:posOffset>0</wp:posOffset>
                </wp:positionV>
                <wp:extent cx="2160000" cy="468000"/>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4962" w:type="dxa"/>
          <w:gridSpan w:val="2"/>
          <w:shd w:val="clear" w:color="auto" w:fill="auto"/>
          <w:tcMar>
            <w:right w:w="0" w:type="dxa"/>
          </w:tcMar>
        </w:tcPr>
        <w:p w14:paraId="51152DB6" w14:textId="216A649F" w:rsidR="00E578A9" w:rsidRDefault="00577AD3" w:rsidP="00E578A9">
          <w:pPr>
            <w:pStyle w:val="Yltunniste"/>
            <w:tabs>
              <w:tab w:val="clear" w:pos="4819"/>
              <w:tab w:val="clear" w:pos="9638"/>
            </w:tabs>
            <w:spacing w:line="240" w:lineRule="exact"/>
            <w:jc w:val="right"/>
          </w:pPr>
          <w:r>
            <w:rPr>
              <w:b/>
            </w:rPr>
            <w:t>Promemoria</w:t>
          </w:r>
        </w:p>
        <w:p w14:paraId="348783D2" w14:textId="10E9A334" w:rsidR="00E578A9" w:rsidRDefault="00E578A9" w:rsidP="00E578A9">
          <w:pPr>
            <w:pStyle w:val="Yltunniste"/>
            <w:jc w:val="right"/>
          </w:pPr>
          <w:r>
            <w:rPr>
              <w:rStyle w:val="Sivunumero"/>
            </w:rPr>
            <w:fldChar w:fldCharType="begin"/>
          </w:r>
          <w:r>
            <w:rPr>
              <w:rStyle w:val="Sivunumero"/>
            </w:rPr>
            <w:instrText xml:space="preserve"> PAGE </w:instrText>
          </w:r>
          <w:r>
            <w:rPr>
              <w:rStyle w:val="Sivunumero"/>
            </w:rPr>
            <w:fldChar w:fldCharType="separate"/>
          </w:r>
          <w:r w:rsidR="00F522EB">
            <w:rPr>
              <w:rStyle w:val="Sivunumero"/>
              <w:noProof/>
            </w:rPr>
            <w:t>1</w:t>
          </w:r>
          <w:r>
            <w:rPr>
              <w:rStyle w:val="Sivunumero"/>
            </w:rPr>
            <w:fldChar w:fldCharType="end"/>
          </w:r>
          <w:r>
            <w:t xml:space="preserve"> (</w:t>
          </w:r>
          <w:r>
            <w:rPr>
              <w:rStyle w:val="Sivunumero"/>
            </w:rPr>
            <w:fldChar w:fldCharType="begin"/>
          </w:r>
          <w:r>
            <w:rPr>
              <w:rStyle w:val="Sivunumero"/>
            </w:rPr>
            <w:instrText xml:space="preserve"> NUMPAGES </w:instrText>
          </w:r>
          <w:r>
            <w:rPr>
              <w:rStyle w:val="Sivunumero"/>
            </w:rPr>
            <w:fldChar w:fldCharType="separate"/>
          </w:r>
          <w:r w:rsidR="00454C24">
            <w:rPr>
              <w:rStyle w:val="Sivunumero"/>
              <w:noProof/>
            </w:rPr>
            <w:t>1</w:t>
          </w:r>
          <w:r>
            <w:rPr>
              <w:rStyle w:val="Sivunumero"/>
            </w:rPr>
            <w:fldChar w:fldCharType="end"/>
          </w:r>
          <w:r>
            <w:t>)</w:t>
          </w:r>
        </w:p>
      </w:tc>
    </w:tr>
    <w:tr w:rsidR="00E578A9" w14:paraId="56D29E38" w14:textId="77777777" w:rsidTr="00D20384">
      <w:trPr>
        <w:trHeight w:hRule="exact" w:val="240"/>
      </w:trPr>
      <w:tc>
        <w:tcPr>
          <w:tcW w:w="4819" w:type="dxa"/>
          <w:vMerge/>
          <w:tcMar>
            <w:right w:w="0" w:type="dxa"/>
          </w:tcMar>
        </w:tcPr>
        <w:p w14:paraId="162C6063" w14:textId="77777777" w:rsidR="00E578A9" w:rsidRDefault="00E578A9" w:rsidP="00E578A9">
          <w:pPr>
            <w:pStyle w:val="Yltunniste"/>
            <w:tabs>
              <w:tab w:val="clear" w:pos="4819"/>
              <w:tab w:val="clear" w:pos="9638"/>
            </w:tabs>
          </w:pPr>
        </w:p>
      </w:tc>
      <w:tc>
        <w:tcPr>
          <w:tcW w:w="4962" w:type="dxa"/>
          <w:gridSpan w:val="2"/>
          <w:shd w:val="clear" w:color="auto" w:fill="auto"/>
          <w:tcMar>
            <w:right w:w="0" w:type="dxa"/>
          </w:tcMar>
        </w:tcPr>
        <w:p w14:paraId="3F7A6DC9" w14:textId="4F58D01F" w:rsidR="00E578A9" w:rsidRDefault="000D6B04" w:rsidP="009C5068">
          <w:pPr>
            <w:pStyle w:val="Yltunniste"/>
            <w:jc w:val="right"/>
          </w:pPr>
          <w:r>
            <w:fldChar w:fldCharType="begin"/>
          </w:r>
          <w:r>
            <w:instrText xml:space="preserve"> MACROBUTTON  AdditionalActions [datum] </w:instrText>
          </w:r>
          <w:r>
            <w:fldChar w:fldCharType="end"/>
          </w:r>
        </w:p>
      </w:tc>
    </w:tr>
    <w:tr w:rsidR="00E578A9" w14:paraId="32C1A65B" w14:textId="77777777" w:rsidTr="00D20384">
      <w:trPr>
        <w:trHeight w:hRule="exact" w:val="360"/>
      </w:trPr>
      <w:tc>
        <w:tcPr>
          <w:tcW w:w="4819" w:type="dxa"/>
          <w:vMerge w:val="restart"/>
          <w:tcMar>
            <w:right w:w="0" w:type="dxa"/>
          </w:tcMar>
        </w:tcPr>
        <w:p w14:paraId="690CC141" w14:textId="77777777" w:rsidR="00E578A9" w:rsidRDefault="00E578A9" w:rsidP="00E578A9">
          <w:pPr>
            <w:pStyle w:val="Yltunniste"/>
            <w:tabs>
              <w:tab w:val="clear" w:pos="4819"/>
              <w:tab w:val="clear" w:pos="9638"/>
            </w:tabs>
          </w:pPr>
        </w:p>
      </w:tc>
      <w:tc>
        <w:tcPr>
          <w:tcW w:w="4962" w:type="dxa"/>
          <w:gridSpan w:val="2"/>
          <w:shd w:val="clear" w:color="auto" w:fill="auto"/>
          <w:tcMar>
            <w:right w:w="0" w:type="dxa"/>
          </w:tcMar>
        </w:tcPr>
        <w:p w14:paraId="295EBE92" w14:textId="77777777" w:rsidR="00E578A9" w:rsidRDefault="00E578A9" w:rsidP="00B93472">
          <w:pPr>
            <w:pStyle w:val="Yltunniste"/>
          </w:pPr>
        </w:p>
      </w:tc>
    </w:tr>
    <w:tr w:rsidR="00E578A9" w14:paraId="7F537CC3" w14:textId="77777777" w:rsidTr="00D20384">
      <w:trPr>
        <w:trHeight w:hRule="exact" w:val="240"/>
      </w:trPr>
      <w:tc>
        <w:tcPr>
          <w:tcW w:w="4819" w:type="dxa"/>
          <w:vMerge/>
          <w:tcMar>
            <w:right w:w="0" w:type="dxa"/>
          </w:tcMar>
        </w:tcPr>
        <w:p w14:paraId="4A17B731" w14:textId="77777777" w:rsidR="00E578A9" w:rsidRDefault="00E578A9" w:rsidP="00E578A9">
          <w:pPr>
            <w:pStyle w:val="Yltunniste"/>
          </w:pPr>
        </w:p>
      </w:tc>
      <w:tc>
        <w:tcPr>
          <w:tcW w:w="2407" w:type="dxa"/>
          <w:shd w:val="clear" w:color="auto" w:fill="auto"/>
          <w:tcMar>
            <w:right w:w="0" w:type="dxa"/>
          </w:tcMar>
        </w:tcPr>
        <w:p w14:paraId="0ADBAD3E" w14:textId="77777777" w:rsidR="00E578A9" w:rsidRDefault="00E578A9" w:rsidP="00E578A9">
          <w:pPr>
            <w:pStyle w:val="Yltunniste"/>
            <w:tabs>
              <w:tab w:val="clear" w:pos="4819"/>
              <w:tab w:val="clear" w:pos="9638"/>
            </w:tabs>
          </w:pPr>
        </w:p>
      </w:tc>
      <w:tc>
        <w:tcPr>
          <w:tcW w:w="2555" w:type="dxa"/>
          <w:shd w:val="clear" w:color="auto" w:fill="auto"/>
        </w:tcPr>
        <w:p w14:paraId="2891E038" w14:textId="77777777" w:rsidR="00E578A9" w:rsidRDefault="00E578A9" w:rsidP="00E578A9">
          <w:pPr>
            <w:pStyle w:val="Yltunniste"/>
            <w:tabs>
              <w:tab w:val="clear" w:pos="4819"/>
              <w:tab w:val="clear" w:pos="9638"/>
            </w:tabs>
          </w:pPr>
        </w:p>
      </w:tc>
    </w:tr>
  </w:tbl>
  <w:p w14:paraId="40E63C6D" w14:textId="77777777" w:rsidR="00E578A9" w:rsidRDefault="00E578A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7E0A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962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E4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81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066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A3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180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E6A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4349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3449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156DC"/>
    <w:multiLevelType w:val="hybridMultilevel"/>
    <w:tmpl w:val="03B8E2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CC97591"/>
    <w:multiLevelType w:val="hybridMultilevel"/>
    <w:tmpl w:val="9E64143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660595B"/>
    <w:multiLevelType w:val="hybridMultilevel"/>
    <w:tmpl w:val="601EFBA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AF36875"/>
    <w:multiLevelType w:val="hybridMultilevel"/>
    <w:tmpl w:val="063C9DF6"/>
    <w:lvl w:ilvl="0" w:tplc="807EC0F8">
      <w:start w:val="1"/>
      <w:numFmt w:val="bullet"/>
      <w:lvlText w:val="•"/>
      <w:lvlJc w:val="left"/>
      <w:pPr>
        <w:tabs>
          <w:tab w:val="num" w:pos="720"/>
        </w:tabs>
        <w:ind w:left="720" w:hanging="360"/>
      </w:pPr>
      <w:rPr>
        <w:rFonts w:ascii="Verdana" w:hAnsi="Verdana" w:hint="default"/>
        <w:strike w:val="0"/>
      </w:rPr>
    </w:lvl>
    <w:lvl w:ilvl="1" w:tplc="016A9720">
      <w:start w:val="1574"/>
      <w:numFmt w:val="bullet"/>
      <w:lvlText w:val="•"/>
      <w:lvlJc w:val="left"/>
      <w:pPr>
        <w:tabs>
          <w:tab w:val="num" w:pos="1440"/>
        </w:tabs>
        <w:ind w:left="1440" w:hanging="360"/>
      </w:pPr>
      <w:rPr>
        <w:rFonts w:ascii="Times New Roman" w:hAnsi="Times New Roman" w:hint="default"/>
      </w:rPr>
    </w:lvl>
    <w:lvl w:ilvl="2" w:tplc="E26E5B88">
      <w:start w:val="1"/>
      <w:numFmt w:val="bullet"/>
      <w:lvlText w:val="•"/>
      <w:lvlJc w:val="left"/>
      <w:pPr>
        <w:tabs>
          <w:tab w:val="num" w:pos="2160"/>
        </w:tabs>
        <w:ind w:left="2160" w:hanging="360"/>
      </w:pPr>
      <w:rPr>
        <w:rFonts w:ascii="Arial" w:hAnsi="Arial" w:hint="default"/>
        <w:color w:val="auto"/>
      </w:rPr>
    </w:lvl>
    <w:lvl w:ilvl="3" w:tplc="2D764CC0" w:tentative="1">
      <w:start w:val="1"/>
      <w:numFmt w:val="bullet"/>
      <w:lvlText w:val="•"/>
      <w:lvlJc w:val="left"/>
      <w:pPr>
        <w:tabs>
          <w:tab w:val="num" w:pos="2880"/>
        </w:tabs>
        <w:ind w:left="2880" w:hanging="360"/>
      </w:pPr>
      <w:rPr>
        <w:rFonts w:ascii="Verdana" w:hAnsi="Verdana" w:hint="default"/>
      </w:rPr>
    </w:lvl>
    <w:lvl w:ilvl="4" w:tplc="F4A05FAA" w:tentative="1">
      <w:start w:val="1"/>
      <w:numFmt w:val="bullet"/>
      <w:lvlText w:val="•"/>
      <w:lvlJc w:val="left"/>
      <w:pPr>
        <w:tabs>
          <w:tab w:val="num" w:pos="3600"/>
        </w:tabs>
        <w:ind w:left="3600" w:hanging="360"/>
      </w:pPr>
      <w:rPr>
        <w:rFonts w:ascii="Verdana" w:hAnsi="Verdana" w:hint="default"/>
      </w:rPr>
    </w:lvl>
    <w:lvl w:ilvl="5" w:tplc="952EABF0" w:tentative="1">
      <w:start w:val="1"/>
      <w:numFmt w:val="bullet"/>
      <w:lvlText w:val="•"/>
      <w:lvlJc w:val="left"/>
      <w:pPr>
        <w:tabs>
          <w:tab w:val="num" w:pos="4320"/>
        </w:tabs>
        <w:ind w:left="4320" w:hanging="360"/>
      </w:pPr>
      <w:rPr>
        <w:rFonts w:ascii="Verdana" w:hAnsi="Verdana" w:hint="default"/>
      </w:rPr>
    </w:lvl>
    <w:lvl w:ilvl="6" w:tplc="A788B1C8" w:tentative="1">
      <w:start w:val="1"/>
      <w:numFmt w:val="bullet"/>
      <w:lvlText w:val="•"/>
      <w:lvlJc w:val="left"/>
      <w:pPr>
        <w:tabs>
          <w:tab w:val="num" w:pos="5040"/>
        </w:tabs>
        <w:ind w:left="5040" w:hanging="360"/>
      </w:pPr>
      <w:rPr>
        <w:rFonts w:ascii="Verdana" w:hAnsi="Verdana" w:hint="default"/>
      </w:rPr>
    </w:lvl>
    <w:lvl w:ilvl="7" w:tplc="B240D064" w:tentative="1">
      <w:start w:val="1"/>
      <w:numFmt w:val="bullet"/>
      <w:lvlText w:val="•"/>
      <w:lvlJc w:val="left"/>
      <w:pPr>
        <w:tabs>
          <w:tab w:val="num" w:pos="5760"/>
        </w:tabs>
        <w:ind w:left="5760" w:hanging="360"/>
      </w:pPr>
      <w:rPr>
        <w:rFonts w:ascii="Verdana" w:hAnsi="Verdana" w:hint="default"/>
      </w:rPr>
    </w:lvl>
    <w:lvl w:ilvl="8" w:tplc="12687DC8" w:tentative="1">
      <w:start w:val="1"/>
      <w:numFmt w:val="bullet"/>
      <w:lvlText w:val="•"/>
      <w:lvlJc w:val="left"/>
      <w:pPr>
        <w:tabs>
          <w:tab w:val="num" w:pos="6480"/>
        </w:tabs>
        <w:ind w:left="6480" w:hanging="360"/>
      </w:pPr>
      <w:rPr>
        <w:rFonts w:ascii="Verdana" w:hAnsi="Verdana" w:hint="default"/>
      </w:rPr>
    </w:lvl>
  </w:abstractNum>
  <w:abstractNum w:abstractNumId="14" w15:restartNumberingAfterBreak="0">
    <w:nsid w:val="2D63674A"/>
    <w:multiLevelType w:val="multilevel"/>
    <w:tmpl w:val="16A63272"/>
    <w:lvl w:ilvl="0">
      <w:start w:val="1"/>
      <w:numFmt w:val="decimal"/>
      <w:lvlText w:val="%1)"/>
      <w:lvlJc w:val="left"/>
      <w:pPr>
        <w:tabs>
          <w:tab w:val="num" w:pos="2345"/>
        </w:tabs>
        <w:ind w:left="2342" w:hanging="357"/>
      </w:pPr>
      <w:rPr>
        <w:rFonts w:ascii="Frutiger 55 Roman" w:hAnsi="Frutiger 55 Roman" w:hint="default"/>
        <w:b w:val="0"/>
        <w:i w:val="0"/>
        <w:sz w:val="22"/>
      </w:rPr>
    </w:lvl>
    <w:lvl w:ilvl="1">
      <w:start w:val="1"/>
      <w:numFmt w:val="bullet"/>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3"/>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3"/>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15" w15:restartNumberingAfterBreak="0">
    <w:nsid w:val="4A3D4D62"/>
    <w:multiLevelType w:val="multilevel"/>
    <w:tmpl w:val="BBBEEA40"/>
    <w:lvl w:ilvl="0">
      <w:start w:val="1"/>
      <w:numFmt w:val="decimal"/>
      <w:lvlText w:val="%1"/>
      <w:lvlJc w:val="left"/>
      <w:pPr>
        <w:tabs>
          <w:tab w:val="num" w:pos="600"/>
        </w:tabs>
        <w:ind w:left="600" w:hanging="600"/>
      </w:pPr>
      <w:rPr>
        <w:rFonts w:hint="default"/>
        <w:sz w:val="22"/>
      </w:rPr>
    </w:lvl>
    <w:lvl w:ilvl="1">
      <w:start w:val="1"/>
      <w:numFmt w:val="decimal"/>
      <w:lvlText w:val="%1.%2"/>
      <w:lvlJc w:val="left"/>
      <w:pPr>
        <w:tabs>
          <w:tab w:val="num" w:pos="800"/>
        </w:tabs>
        <w:ind w:left="800" w:hanging="800"/>
      </w:pPr>
      <w:rPr>
        <w:rFonts w:hint="default"/>
      </w:rPr>
    </w:lvl>
    <w:lvl w:ilvl="2">
      <w:start w:val="1"/>
      <w:numFmt w:val="decimal"/>
      <w:lvlText w:val="%1.%2.%3"/>
      <w:lvlJc w:val="left"/>
      <w:pPr>
        <w:tabs>
          <w:tab w:val="num" w:pos="1000"/>
        </w:tabs>
        <w:ind w:left="1000" w:hanging="1000"/>
      </w:pPr>
      <w:rPr>
        <w:rFonts w:hint="default"/>
      </w:rPr>
    </w:lvl>
    <w:lvl w:ilvl="3">
      <w:start w:val="1"/>
      <w:numFmt w:val="decimal"/>
      <w:pStyle w:val="Otsikko4"/>
      <w:lvlText w:val="%1.%2.%3.%4"/>
      <w:lvlJc w:val="left"/>
      <w:pPr>
        <w:tabs>
          <w:tab w:val="num" w:pos="1200"/>
        </w:tabs>
        <w:ind w:left="1200" w:hanging="1200"/>
      </w:pPr>
      <w:rPr>
        <w:rFonts w:hint="default"/>
      </w:rPr>
    </w:lvl>
    <w:lvl w:ilvl="4">
      <w:start w:val="1"/>
      <w:numFmt w:val="decimal"/>
      <w:pStyle w:val="Otsikko5"/>
      <w:lvlText w:val="%1.%2.%3.%4.%5"/>
      <w:lvlJc w:val="left"/>
      <w:pPr>
        <w:tabs>
          <w:tab w:val="num" w:pos="1400"/>
        </w:tabs>
        <w:ind w:left="1400" w:hanging="1400"/>
      </w:pPr>
      <w:rPr>
        <w:rFonts w:hint="default"/>
      </w:rPr>
    </w:lvl>
    <w:lvl w:ilvl="5">
      <w:start w:val="1"/>
      <w:numFmt w:val="decimal"/>
      <w:pStyle w:val="Otsikko6"/>
      <w:lvlText w:val="%1.%2.%3.%4.%5.%6"/>
      <w:lvlJc w:val="left"/>
      <w:pPr>
        <w:tabs>
          <w:tab w:val="num" w:pos="1600"/>
        </w:tabs>
        <w:ind w:left="1600" w:hanging="1600"/>
      </w:pPr>
      <w:rPr>
        <w:rFonts w:hint="default"/>
      </w:rPr>
    </w:lvl>
    <w:lvl w:ilvl="6">
      <w:start w:val="1"/>
      <w:numFmt w:val="decimal"/>
      <w:lvlText w:val="%1.%2.%3.%4.%5.%6.%7."/>
      <w:lvlJc w:val="left"/>
      <w:pPr>
        <w:tabs>
          <w:tab w:val="num" w:pos="4559"/>
        </w:tabs>
        <w:ind w:left="3839" w:hanging="1080"/>
      </w:pPr>
      <w:rPr>
        <w:rFonts w:hint="default"/>
      </w:rPr>
    </w:lvl>
    <w:lvl w:ilvl="7">
      <w:start w:val="1"/>
      <w:numFmt w:val="decimal"/>
      <w:lvlText w:val="%1.%2.%3.%4.%5.%6.%7.%8."/>
      <w:lvlJc w:val="left"/>
      <w:pPr>
        <w:tabs>
          <w:tab w:val="num" w:pos="5279"/>
        </w:tabs>
        <w:ind w:left="4343" w:hanging="1224"/>
      </w:pPr>
      <w:rPr>
        <w:rFonts w:hint="default"/>
      </w:rPr>
    </w:lvl>
    <w:lvl w:ilvl="8">
      <w:start w:val="1"/>
      <w:numFmt w:val="decimal"/>
      <w:lvlText w:val="%1.%2.%3.%4.%5.%6.%7.%8.%9."/>
      <w:lvlJc w:val="left"/>
      <w:pPr>
        <w:tabs>
          <w:tab w:val="num" w:pos="5999"/>
        </w:tabs>
        <w:ind w:left="4919" w:hanging="1440"/>
      </w:pPr>
      <w:rPr>
        <w:rFonts w:hint="default"/>
      </w:rPr>
    </w:lvl>
  </w:abstractNum>
  <w:abstractNum w:abstractNumId="16" w15:restartNumberingAfterBreak="0">
    <w:nsid w:val="52462049"/>
    <w:multiLevelType w:val="multilevel"/>
    <w:tmpl w:val="22767726"/>
    <w:lvl w:ilvl="0">
      <w:start w:val="1"/>
      <w:numFmt w:val="bulle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A2A4173"/>
    <w:multiLevelType w:val="multilevel"/>
    <w:tmpl w:val="16C26C0E"/>
    <w:lvl w:ilvl="0">
      <w:start w:val="1"/>
      <w:numFmt w:val="bullet"/>
      <w:pStyle w:val="Luettelo"/>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61025C43"/>
    <w:multiLevelType w:val="multilevel"/>
    <w:tmpl w:val="3CDC107C"/>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19" w15:restartNumberingAfterBreak="0">
    <w:nsid w:val="6D4D679C"/>
    <w:multiLevelType w:val="hybridMultilevel"/>
    <w:tmpl w:val="ACF4892C"/>
    <w:lvl w:ilvl="0" w:tplc="040B0001">
      <w:start w:val="1"/>
      <w:numFmt w:val="bullet"/>
      <w:lvlText w:val=""/>
      <w:lvlJc w:val="left"/>
      <w:pPr>
        <w:ind w:left="1159" w:hanging="360"/>
      </w:pPr>
      <w:rPr>
        <w:rFonts w:ascii="Symbol" w:hAnsi="Symbol" w:hint="default"/>
      </w:rPr>
    </w:lvl>
    <w:lvl w:ilvl="1" w:tplc="040B0003" w:tentative="1">
      <w:start w:val="1"/>
      <w:numFmt w:val="bullet"/>
      <w:lvlText w:val="o"/>
      <w:lvlJc w:val="left"/>
      <w:pPr>
        <w:ind w:left="1879" w:hanging="360"/>
      </w:pPr>
      <w:rPr>
        <w:rFonts w:ascii="Courier New" w:hAnsi="Courier New" w:cs="Courier New" w:hint="default"/>
      </w:rPr>
    </w:lvl>
    <w:lvl w:ilvl="2" w:tplc="040B0005" w:tentative="1">
      <w:start w:val="1"/>
      <w:numFmt w:val="bullet"/>
      <w:lvlText w:val=""/>
      <w:lvlJc w:val="left"/>
      <w:pPr>
        <w:ind w:left="2599" w:hanging="360"/>
      </w:pPr>
      <w:rPr>
        <w:rFonts w:ascii="Wingdings" w:hAnsi="Wingdings" w:hint="default"/>
      </w:rPr>
    </w:lvl>
    <w:lvl w:ilvl="3" w:tplc="040B0001" w:tentative="1">
      <w:start w:val="1"/>
      <w:numFmt w:val="bullet"/>
      <w:lvlText w:val=""/>
      <w:lvlJc w:val="left"/>
      <w:pPr>
        <w:ind w:left="3319" w:hanging="360"/>
      </w:pPr>
      <w:rPr>
        <w:rFonts w:ascii="Symbol" w:hAnsi="Symbol" w:hint="default"/>
      </w:rPr>
    </w:lvl>
    <w:lvl w:ilvl="4" w:tplc="040B0003" w:tentative="1">
      <w:start w:val="1"/>
      <w:numFmt w:val="bullet"/>
      <w:lvlText w:val="o"/>
      <w:lvlJc w:val="left"/>
      <w:pPr>
        <w:ind w:left="4039" w:hanging="360"/>
      </w:pPr>
      <w:rPr>
        <w:rFonts w:ascii="Courier New" w:hAnsi="Courier New" w:cs="Courier New" w:hint="default"/>
      </w:rPr>
    </w:lvl>
    <w:lvl w:ilvl="5" w:tplc="040B0005" w:tentative="1">
      <w:start w:val="1"/>
      <w:numFmt w:val="bullet"/>
      <w:lvlText w:val=""/>
      <w:lvlJc w:val="left"/>
      <w:pPr>
        <w:ind w:left="4759" w:hanging="360"/>
      </w:pPr>
      <w:rPr>
        <w:rFonts w:ascii="Wingdings" w:hAnsi="Wingdings" w:hint="default"/>
      </w:rPr>
    </w:lvl>
    <w:lvl w:ilvl="6" w:tplc="040B0001" w:tentative="1">
      <w:start w:val="1"/>
      <w:numFmt w:val="bullet"/>
      <w:lvlText w:val=""/>
      <w:lvlJc w:val="left"/>
      <w:pPr>
        <w:ind w:left="5479" w:hanging="360"/>
      </w:pPr>
      <w:rPr>
        <w:rFonts w:ascii="Symbol" w:hAnsi="Symbol" w:hint="default"/>
      </w:rPr>
    </w:lvl>
    <w:lvl w:ilvl="7" w:tplc="040B0003" w:tentative="1">
      <w:start w:val="1"/>
      <w:numFmt w:val="bullet"/>
      <w:lvlText w:val="o"/>
      <w:lvlJc w:val="left"/>
      <w:pPr>
        <w:ind w:left="6199" w:hanging="360"/>
      </w:pPr>
      <w:rPr>
        <w:rFonts w:ascii="Courier New" w:hAnsi="Courier New" w:cs="Courier New" w:hint="default"/>
      </w:rPr>
    </w:lvl>
    <w:lvl w:ilvl="8" w:tplc="040B0005" w:tentative="1">
      <w:start w:val="1"/>
      <w:numFmt w:val="bullet"/>
      <w:lvlText w:val=""/>
      <w:lvlJc w:val="left"/>
      <w:pPr>
        <w:ind w:left="6919" w:hanging="360"/>
      </w:pPr>
      <w:rPr>
        <w:rFonts w:ascii="Wingdings" w:hAnsi="Wingdings" w:hint="default"/>
      </w:rPr>
    </w:lvl>
  </w:abstractNum>
  <w:num w:numId="1">
    <w:abstractNumId w:val="1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2"/>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 w:numId="19">
    <w:abstractNumId w:val="13"/>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sv-SE" w:vendorID="64" w:dllVersion="4096" w:nlCheck="1" w:checkStyle="0"/>
  <w:proofState w:spelling="clean" w:grammar="clean"/>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A9"/>
    <w:rsid w:val="000078DE"/>
    <w:rsid w:val="000145B2"/>
    <w:rsid w:val="000279DB"/>
    <w:rsid w:val="00035BB1"/>
    <w:rsid w:val="00082B7D"/>
    <w:rsid w:val="000B1126"/>
    <w:rsid w:val="000C1DAB"/>
    <w:rsid w:val="000C577D"/>
    <w:rsid w:val="000D279D"/>
    <w:rsid w:val="000D34DC"/>
    <w:rsid w:val="000D3BF7"/>
    <w:rsid w:val="000D6B04"/>
    <w:rsid w:val="000E36FF"/>
    <w:rsid w:val="000E7EE4"/>
    <w:rsid w:val="000F59B8"/>
    <w:rsid w:val="00105222"/>
    <w:rsid w:val="001263AE"/>
    <w:rsid w:val="00135E93"/>
    <w:rsid w:val="0014493A"/>
    <w:rsid w:val="00151C1A"/>
    <w:rsid w:val="0015662D"/>
    <w:rsid w:val="00180DD1"/>
    <w:rsid w:val="0018566F"/>
    <w:rsid w:val="00186C13"/>
    <w:rsid w:val="00187FE9"/>
    <w:rsid w:val="00191111"/>
    <w:rsid w:val="001A75C8"/>
    <w:rsid w:val="001B3D26"/>
    <w:rsid w:val="001D6FD0"/>
    <w:rsid w:val="001E0C00"/>
    <w:rsid w:val="001E106B"/>
    <w:rsid w:val="001E132A"/>
    <w:rsid w:val="001E5D5A"/>
    <w:rsid w:val="001F1302"/>
    <w:rsid w:val="001F77D8"/>
    <w:rsid w:val="00200AF0"/>
    <w:rsid w:val="0022101B"/>
    <w:rsid w:val="00240B2E"/>
    <w:rsid w:val="00245040"/>
    <w:rsid w:val="00246B7D"/>
    <w:rsid w:val="002519F0"/>
    <w:rsid w:val="00254A26"/>
    <w:rsid w:val="0028600E"/>
    <w:rsid w:val="00290421"/>
    <w:rsid w:val="00292F4C"/>
    <w:rsid w:val="00295456"/>
    <w:rsid w:val="002A1CE8"/>
    <w:rsid w:val="002A2B7A"/>
    <w:rsid w:val="002A3FA9"/>
    <w:rsid w:val="002A4F16"/>
    <w:rsid w:val="002C3FBE"/>
    <w:rsid w:val="002D7015"/>
    <w:rsid w:val="002E11E6"/>
    <w:rsid w:val="002F2CBC"/>
    <w:rsid w:val="00301EF9"/>
    <w:rsid w:val="003142DF"/>
    <w:rsid w:val="00327986"/>
    <w:rsid w:val="00342297"/>
    <w:rsid w:val="003564A3"/>
    <w:rsid w:val="00365E27"/>
    <w:rsid w:val="00376954"/>
    <w:rsid w:val="0038174B"/>
    <w:rsid w:val="0039509C"/>
    <w:rsid w:val="00396F01"/>
    <w:rsid w:val="003B424F"/>
    <w:rsid w:val="003C5F3C"/>
    <w:rsid w:val="003C769A"/>
    <w:rsid w:val="003D14A5"/>
    <w:rsid w:val="003D69D8"/>
    <w:rsid w:val="003E68EB"/>
    <w:rsid w:val="0040546B"/>
    <w:rsid w:val="0041481B"/>
    <w:rsid w:val="00420CFF"/>
    <w:rsid w:val="00430418"/>
    <w:rsid w:val="00432F6F"/>
    <w:rsid w:val="00443A0C"/>
    <w:rsid w:val="00450029"/>
    <w:rsid w:val="00452838"/>
    <w:rsid w:val="00454C24"/>
    <w:rsid w:val="004552FF"/>
    <w:rsid w:val="00460E58"/>
    <w:rsid w:val="0046246F"/>
    <w:rsid w:val="00484ED6"/>
    <w:rsid w:val="004B5061"/>
    <w:rsid w:val="004D2992"/>
    <w:rsid w:val="004D5A73"/>
    <w:rsid w:val="004D6C19"/>
    <w:rsid w:val="004D6E61"/>
    <w:rsid w:val="004E5516"/>
    <w:rsid w:val="004E694C"/>
    <w:rsid w:val="004E797F"/>
    <w:rsid w:val="0050058D"/>
    <w:rsid w:val="005025B0"/>
    <w:rsid w:val="00512E28"/>
    <w:rsid w:val="00512F2D"/>
    <w:rsid w:val="00514864"/>
    <w:rsid w:val="0054317F"/>
    <w:rsid w:val="0055129F"/>
    <w:rsid w:val="005656DD"/>
    <w:rsid w:val="005662BD"/>
    <w:rsid w:val="005711FA"/>
    <w:rsid w:val="00571E86"/>
    <w:rsid w:val="00577AD3"/>
    <w:rsid w:val="005805E5"/>
    <w:rsid w:val="00585B2E"/>
    <w:rsid w:val="005A1CE1"/>
    <w:rsid w:val="005A2950"/>
    <w:rsid w:val="005A2BB6"/>
    <w:rsid w:val="005C3F24"/>
    <w:rsid w:val="005E4BD5"/>
    <w:rsid w:val="005F6ED6"/>
    <w:rsid w:val="00606F20"/>
    <w:rsid w:val="00610418"/>
    <w:rsid w:val="00612976"/>
    <w:rsid w:val="00650E61"/>
    <w:rsid w:val="006656AF"/>
    <w:rsid w:val="006728BE"/>
    <w:rsid w:val="00675A61"/>
    <w:rsid w:val="006800DC"/>
    <w:rsid w:val="0069158A"/>
    <w:rsid w:val="006919E4"/>
    <w:rsid w:val="006A5069"/>
    <w:rsid w:val="006B39AB"/>
    <w:rsid w:val="006C3F4D"/>
    <w:rsid w:val="006C6AB3"/>
    <w:rsid w:val="006D4D03"/>
    <w:rsid w:val="006E041A"/>
    <w:rsid w:val="006E3B85"/>
    <w:rsid w:val="006E4AFF"/>
    <w:rsid w:val="006F1655"/>
    <w:rsid w:val="00700414"/>
    <w:rsid w:val="00707D96"/>
    <w:rsid w:val="00716AE5"/>
    <w:rsid w:val="007250E7"/>
    <w:rsid w:val="00733B72"/>
    <w:rsid w:val="007412DF"/>
    <w:rsid w:val="0076171E"/>
    <w:rsid w:val="00762C09"/>
    <w:rsid w:val="0077467F"/>
    <w:rsid w:val="00785F7A"/>
    <w:rsid w:val="00793AC3"/>
    <w:rsid w:val="00797AD1"/>
    <w:rsid w:val="007C319E"/>
    <w:rsid w:val="007C75EB"/>
    <w:rsid w:val="007D2BF7"/>
    <w:rsid w:val="007D6191"/>
    <w:rsid w:val="007F209D"/>
    <w:rsid w:val="007F325F"/>
    <w:rsid w:val="0081392A"/>
    <w:rsid w:val="00823720"/>
    <w:rsid w:val="008348A6"/>
    <w:rsid w:val="00840AB5"/>
    <w:rsid w:val="00865D55"/>
    <w:rsid w:val="00892F1A"/>
    <w:rsid w:val="00893253"/>
    <w:rsid w:val="008A1881"/>
    <w:rsid w:val="008A2E97"/>
    <w:rsid w:val="008B49DA"/>
    <w:rsid w:val="008E5E56"/>
    <w:rsid w:val="008F09DC"/>
    <w:rsid w:val="008F1700"/>
    <w:rsid w:val="00900E21"/>
    <w:rsid w:val="009111F5"/>
    <w:rsid w:val="0092105C"/>
    <w:rsid w:val="00931EBF"/>
    <w:rsid w:val="00933CAF"/>
    <w:rsid w:val="009342B5"/>
    <w:rsid w:val="009453FA"/>
    <w:rsid w:val="009479A3"/>
    <w:rsid w:val="009616CD"/>
    <w:rsid w:val="009629A1"/>
    <w:rsid w:val="00976479"/>
    <w:rsid w:val="009829CC"/>
    <w:rsid w:val="00986D4C"/>
    <w:rsid w:val="009A0043"/>
    <w:rsid w:val="009A0B29"/>
    <w:rsid w:val="009A4A67"/>
    <w:rsid w:val="009C5068"/>
    <w:rsid w:val="009C51D5"/>
    <w:rsid w:val="009C54D8"/>
    <w:rsid w:val="009D3874"/>
    <w:rsid w:val="009D4255"/>
    <w:rsid w:val="009E3CD0"/>
    <w:rsid w:val="009E69CD"/>
    <w:rsid w:val="009E7AFC"/>
    <w:rsid w:val="009F1F89"/>
    <w:rsid w:val="00A20087"/>
    <w:rsid w:val="00A32A1A"/>
    <w:rsid w:val="00A55C33"/>
    <w:rsid w:val="00A71E45"/>
    <w:rsid w:val="00A720FE"/>
    <w:rsid w:val="00A954A3"/>
    <w:rsid w:val="00A95DBD"/>
    <w:rsid w:val="00AA168E"/>
    <w:rsid w:val="00AB1593"/>
    <w:rsid w:val="00AB48C8"/>
    <w:rsid w:val="00AC10BB"/>
    <w:rsid w:val="00AC21C3"/>
    <w:rsid w:val="00AC4DBC"/>
    <w:rsid w:val="00AC75FF"/>
    <w:rsid w:val="00B00F90"/>
    <w:rsid w:val="00B00FC4"/>
    <w:rsid w:val="00B023B7"/>
    <w:rsid w:val="00B048E8"/>
    <w:rsid w:val="00B23F29"/>
    <w:rsid w:val="00B273C3"/>
    <w:rsid w:val="00B31ED1"/>
    <w:rsid w:val="00B37887"/>
    <w:rsid w:val="00B459AE"/>
    <w:rsid w:val="00B60BD7"/>
    <w:rsid w:val="00B66871"/>
    <w:rsid w:val="00B67FE4"/>
    <w:rsid w:val="00B93472"/>
    <w:rsid w:val="00BA6DE6"/>
    <w:rsid w:val="00BA76C4"/>
    <w:rsid w:val="00BB0435"/>
    <w:rsid w:val="00BB2671"/>
    <w:rsid w:val="00BC4E91"/>
    <w:rsid w:val="00BD58FD"/>
    <w:rsid w:val="00BE77BB"/>
    <w:rsid w:val="00C2375D"/>
    <w:rsid w:val="00C23F0B"/>
    <w:rsid w:val="00C501AB"/>
    <w:rsid w:val="00C87E42"/>
    <w:rsid w:val="00C95C7E"/>
    <w:rsid w:val="00C97E5D"/>
    <w:rsid w:val="00CA4223"/>
    <w:rsid w:val="00CA6E6F"/>
    <w:rsid w:val="00CB423D"/>
    <w:rsid w:val="00CB6D04"/>
    <w:rsid w:val="00CE7987"/>
    <w:rsid w:val="00D03E95"/>
    <w:rsid w:val="00D15D13"/>
    <w:rsid w:val="00D20384"/>
    <w:rsid w:val="00D22A7B"/>
    <w:rsid w:val="00D27847"/>
    <w:rsid w:val="00D419E1"/>
    <w:rsid w:val="00D514EC"/>
    <w:rsid w:val="00D64B6C"/>
    <w:rsid w:val="00D765C2"/>
    <w:rsid w:val="00D77243"/>
    <w:rsid w:val="00D8216E"/>
    <w:rsid w:val="00D90EC3"/>
    <w:rsid w:val="00DA513B"/>
    <w:rsid w:val="00DA5290"/>
    <w:rsid w:val="00DB4441"/>
    <w:rsid w:val="00DC3726"/>
    <w:rsid w:val="00DD1B38"/>
    <w:rsid w:val="00DD4257"/>
    <w:rsid w:val="00DE1F22"/>
    <w:rsid w:val="00DE3363"/>
    <w:rsid w:val="00DF26C4"/>
    <w:rsid w:val="00DF56FF"/>
    <w:rsid w:val="00E00692"/>
    <w:rsid w:val="00E03152"/>
    <w:rsid w:val="00E0427C"/>
    <w:rsid w:val="00E07EA1"/>
    <w:rsid w:val="00E13139"/>
    <w:rsid w:val="00E174A8"/>
    <w:rsid w:val="00E201CE"/>
    <w:rsid w:val="00E2066A"/>
    <w:rsid w:val="00E22580"/>
    <w:rsid w:val="00E23EE0"/>
    <w:rsid w:val="00E27588"/>
    <w:rsid w:val="00E30481"/>
    <w:rsid w:val="00E3177A"/>
    <w:rsid w:val="00E34A65"/>
    <w:rsid w:val="00E563C1"/>
    <w:rsid w:val="00E578A9"/>
    <w:rsid w:val="00E957FF"/>
    <w:rsid w:val="00E971A2"/>
    <w:rsid w:val="00EB7C68"/>
    <w:rsid w:val="00ED245A"/>
    <w:rsid w:val="00EF5919"/>
    <w:rsid w:val="00F15069"/>
    <w:rsid w:val="00F21AEB"/>
    <w:rsid w:val="00F43793"/>
    <w:rsid w:val="00F43F95"/>
    <w:rsid w:val="00F522EB"/>
    <w:rsid w:val="00F545D0"/>
    <w:rsid w:val="00F60C7D"/>
    <w:rsid w:val="00F652A8"/>
    <w:rsid w:val="00F659B8"/>
    <w:rsid w:val="00F66D20"/>
    <w:rsid w:val="00F677CF"/>
    <w:rsid w:val="00F71B6A"/>
    <w:rsid w:val="00F75BC4"/>
    <w:rsid w:val="00F82F36"/>
    <w:rsid w:val="00FA160F"/>
    <w:rsid w:val="00FB5647"/>
    <w:rsid w:val="00FB6026"/>
    <w:rsid w:val="00FC602F"/>
    <w:rsid w:val="00FD5A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52CA652"/>
  <w15:chartTrackingRefBased/>
  <w15:docId w15:val="{9CA68BB0-E4BB-4087-9E23-BFBCA206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E041A"/>
    <w:rPr>
      <w:rFonts w:ascii="Verdana" w:hAnsi="Verdana"/>
      <w:sz w:val="20"/>
    </w:rPr>
  </w:style>
  <w:style w:type="paragraph" w:styleId="Otsikko1">
    <w:name w:val="heading 1"/>
    <w:basedOn w:val="Otsikko"/>
    <w:next w:val="Leipteksti"/>
    <w:link w:val="Otsikko1Char"/>
    <w:qFormat/>
    <w:rsid w:val="00F522EB"/>
    <w:pPr>
      <w:spacing w:before="120"/>
      <w:outlineLvl w:val="0"/>
    </w:pPr>
    <w:rPr>
      <w:rFonts w:ascii="Verdana" w:hAnsi="Verdana"/>
      <w:b/>
      <w:sz w:val="28"/>
      <w:szCs w:val="28"/>
    </w:rPr>
  </w:style>
  <w:style w:type="paragraph" w:styleId="Otsikko2">
    <w:name w:val="heading 2"/>
    <w:next w:val="Leipteksti"/>
    <w:link w:val="Otsikko2Char"/>
    <w:qFormat/>
    <w:rsid w:val="004D6C19"/>
    <w:pPr>
      <w:keepNext/>
      <w:spacing w:before="240" w:after="120" w:line="240" w:lineRule="auto"/>
      <w:outlineLvl w:val="1"/>
    </w:pPr>
    <w:rPr>
      <w:rFonts w:ascii="Verdana" w:eastAsia="Times New Roman" w:hAnsi="Verdana" w:cs="Arial"/>
      <w:b/>
      <w:bCs/>
      <w:iCs/>
      <w:szCs w:val="28"/>
      <w:lang w:eastAsia="fi-FI"/>
    </w:rPr>
  </w:style>
  <w:style w:type="paragraph" w:styleId="Otsikko3">
    <w:name w:val="heading 3"/>
    <w:next w:val="Leipteksti"/>
    <w:link w:val="Otsikko3Char"/>
    <w:qFormat/>
    <w:rsid w:val="007C75EB"/>
    <w:pPr>
      <w:keepNext/>
      <w:spacing w:before="160" w:after="120" w:line="240" w:lineRule="auto"/>
      <w:outlineLvl w:val="2"/>
    </w:pPr>
    <w:rPr>
      <w:rFonts w:ascii="Verdana" w:eastAsia="Times New Roman" w:hAnsi="Verdana" w:cs="Arial"/>
      <w:bCs/>
      <w:sz w:val="20"/>
      <w:szCs w:val="26"/>
      <w:lang w:eastAsia="fi-FI"/>
    </w:rPr>
  </w:style>
  <w:style w:type="paragraph" w:styleId="Otsikko4">
    <w:name w:val="heading 4"/>
    <w:next w:val="Leipteksti"/>
    <w:link w:val="Otsikko4Char"/>
    <w:qFormat/>
    <w:rsid w:val="0040546B"/>
    <w:pPr>
      <w:keepNext/>
      <w:numPr>
        <w:ilvl w:val="3"/>
        <w:numId w:val="1"/>
      </w:numPr>
      <w:spacing w:after="0" w:line="240" w:lineRule="auto"/>
      <w:outlineLvl w:val="3"/>
    </w:pPr>
    <w:rPr>
      <w:rFonts w:ascii="Verdana" w:eastAsia="Times New Roman" w:hAnsi="Verdana" w:cs="Times New Roman"/>
      <w:bCs/>
      <w:sz w:val="20"/>
      <w:szCs w:val="28"/>
      <w:lang w:eastAsia="fi-FI"/>
    </w:rPr>
  </w:style>
  <w:style w:type="paragraph" w:styleId="Otsikko5">
    <w:name w:val="heading 5"/>
    <w:next w:val="Leipteksti"/>
    <w:link w:val="Otsikko5Char"/>
    <w:qFormat/>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Otsikko6">
    <w:name w:val="heading 6"/>
    <w:next w:val="Leipteksti"/>
    <w:link w:val="Otsikko6Char"/>
    <w:qFormat/>
    <w:rsid w:val="0040546B"/>
    <w:pPr>
      <w:numPr>
        <w:ilvl w:val="5"/>
        <w:numId w:val="1"/>
      </w:numPr>
      <w:spacing w:after="0" w:line="240" w:lineRule="auto"/>
      <w:outlineLvl w:val="5"/>
    </w:pPr>
    <w:rPr>
      <w:rFonts w:ascii="Verdana" w:eastAsia="Times New Roman" w:hAnsi="Verdana" w:cs="Times New Roman"/>
      <w:bCs/>
      <w:sz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qFormat/>
    <w:rsid w:val="00AB1593"/>
    <w:pPr>
      <w:tabs>
        <w:tab w:val="center" w:pos="4819"/>
        <w:tab w:val="right" w:pos="9638"/>
      </w:tabs>
      <w:spacing w:after="0" w:line="240" w:lineRule="auto"/>
    </w:pPr>
  </w:style>
  <w:style w:type="character" w:customStyle="1" w:styleId="YltunnisteChar">
    <w:name w:val="Ylätunniste Char"/>
    <w:basedOn w:val="Kappaleenoletusfontti"/>
    <w:link w:val="Yltunniste"/>
    <w:rsid w:val="00FC602F"/>
    <w:rPr>
      <w:rFonts w:ascii="Verdana" w:hAnsi="Verdana"/>
      <w:sz w:val="20"/>
    </w:rPr>
  </w:style>
  <w:style w:type="paragraph" w:styleId="Alatunniste">
    <w:name w:val="footer"/>
    <w:basedOn w:val="Normaali"/>
    <w:link w:val="AlatunnisteChar"/>
    <w:uiPriority w:val="99"/>
    <w:rsid w:val="003C769A"/>
    <w:pPr>
      <w:tabs>
        <w:tab w:val="center" w:pos="4819"/>
        <w:tab w:val="right" w:pos="9638"/>
      </w:tabs>
      <w:spacing w:after="0" w:line="240" w:lineRule="auto"/>
    </w:pPr>
    <w:rPr>
      <w:sz w:val="16"/>
    </w:rPr>
  </w:style>
  <w:style w:type="character" w:customStyle="1" w:styleId="AlatunnisteChar">
    <w:name w:val="Alatunniste Char"/>
    <w:basedOn w:val="Kappaleenoletusfontti"/>
    <w:link w:val="Alatunniste"/>
    <w:uiPriority w:val="99"/>
    <w:rsid w:val="003C769A"/>
    <w:rPr>
      <w:rFonts w:ascii="Verdana" w:hAnsi="Verdana"/>
      <w:sz w:val="16"/>
    </w:rPr>
  </w:style>
  <w:style w:type="character" w:styleId="Sivunumero">
    <w:name w:val="page number"/>
    <w:semiHidden/>
    <w:rsid w:val="00E578A9"/>
    <w:rPr>
      <w:rFonts w:ascii="Verdana" w:hAnsi="Verdana"/>
      <w:sz w:val="18"/>
    </w:rPr>
  </w:style>
  <w:style w:type="character" w:customStyle="1" w:styleId="Otsikko1Char">
    <w:name w:val="Otsikko 1 Char"/>
    <w:basedOn w:val="Kappaleenoletusfontti"/>
    <w:link w:val="Otsikko1"/>
    <w:rsid w:val="00F522EB"/>
    <w:rPr>
      <w:rFonts w:ascii="Verdana" w:eastAsiaTheme="majorEastAsia" w:hAnsi="Verdana" w:cstheme="majorBidi"/>
      <w:b/>
      <w:spacing w:val="-10"/>
      <w:kern w:val="28"/>
      <w:sz w:val="28"/>
      <w:szCs w:val="28"/>
    </w:rPr>
  </w:style>
  <w:style w:type="character" w:customStyle="1" w:styleId="Otsikko2Char">
    <w:name w:val="Otsikko 2 Char"/>
    <w:basedOn w:val="Kappaleenoletusfontti"/>
    <w:link w:val="Otsikko2"/>
    <w:rsid w:val="004D6C19"/>
    <w:rPr>
      <w:rFonts w:ascii="Verdana" w:eastAsia="Times New Roman" w:hAnsi="Verdana" w:cs="Arial"/>
      <w:b/>
      <w:bCs/>
      <w:iCs/>
      <w:szCs w:val="28"/>
      <w:lang w:eastAsia="fi-FI"/>
    </w:rPr>
  </w:style>
  <w:style w:type="character" w:customStyle="1" w:styleId="Otsikko3Char">
    <w:name w:val="Otsikko 3 Char"/>
    <w:basedOn w:val="Kappaleenoletusfontti"/>
    <w:link w:val="Otsikko3"/>
    <w:rsid w:val="007C75EB"/>
    <w:rPr>
      <w:rFonts w:ascii="Verdana" w:eastAsia="Times New Roman" w:hAnsi="Verdana" w:cs="Arial"/>
      <w:bCs/>
      <w:sz w:val="20"/>
      <w:szCs w:val="26"/>
      <w:lang w:eastAsia="fi-FI"/>
    </w:rPr>
  </w:style>
  <w:style w:type="character" w:customStyle="1" w:styleId="Otsikko4Char">
    <w:name w:val="Otsikko 4 Char"/>
    <w:basedOn w:val="Kappaleenoletusfontti"/>
    <w:link w:val="Otsikko4"/>
    <w:rsid w:val="0040546B"/>
    <w:rPr>
      <w:rFonts w:ascii="Verdana" w:eastAsia="Times New Roman" w:hAnsi="Verdana" w:cs="Times New Roman"/>
      <w:bCs/>
      <w:sz w:val="20"/>
      <w:szCs w:val="28"/>
      <w:lang w:eastAsia="fi-FI"/>
    </w:rPr>
  </w:style>
  <w:style w:type="character" w:customStyle="1" w:styleId="Otsikko5Char">
    <w:name w:val="Otsikko 5 Char"/>
    <w:basedOn w:val="Kappaleenoletusfontti"/>
    <w:link w:val="Otsikko5"/>
    <w:rsid w:val="0040546B"/>
    <w:rPr>
      <w:rFonts w:ascii="Verdana" w:eastAsia="Times New Roman" w:hAnsi="Verdana" w:cs="Times New Roman"/>
      <w:bCs/>
      <w:iCs/>
      <w:sz w:val="20"/>
      <w:szCs w:val="26"/>
      <w:lang w:eastAsia="fi-FI"/>
    </w:rPr>
  </w:style>
  <w:style w:type="character" w:customStyle="1" w:styleId="Otsikko6Char">
    <w:name w:val="Otsikko 6 Char"/>
    <w:basedOn w:val="Kappaleenoletusfontti"/>
    <w:link w:val="Otsikko6"/>
    <w:rsid w:val="0040546B"/>
    <w:rPr>
      <w:rFonts w:ascii="Verdana" w:eastAsia="Times New Roman" w:hAnsi="Verdana" w:cs="Times New Roman"/>
      <w:bCs/>
      <w:sz w:val="20"/>
      <w:lang w:eastAsia="fi-FI"/>
    </w:rPr>
  </w:style>
  <w:style w:type="paragraph" w:customStyle="1" w:styleId="TrafiAsiaotsikko">
    <w:name w:val="Trafi_Asiaotsikko"/>
    <w:next w:val="Normaali"/>
    <w:semiHidden/>
    <w:qFormat/>
    <w:rsid w:val="00A720FE"/>
    <w:pPr>
      <w:spacing w:after="360" w:line="240" w:lineRule="auto"/>
    </w:pPr>
    <w:rPr>
      <w:rFonts w:ascii="Verdana" w:eastAsia="Times New Roman" w:hAnsi="Verdana" w:cs="Times New Roman"/>
      <w:b/>
      <w:sz w:val="24"/>
      <w:szCs w:val="24"/>
      <w:lang w:eastAsia="fi-FI"/>
    </w:rPr>
  </w:style>
  <w:style w:type="paragraph" w:styleId="Leipteksti">
    <w:name w:val="Body Text"/>
    <w:basedOn w:val="Normaali"/>
    <w:link w:val="LeiptekstiChar"/>
    <w:uiPriority w:val="99"/>
    <w:qFormat/>
    <w:rsid w:val="00BE77BB"/>
    <w:pPr>
      <w:spacing w:before="120" w:after="240" w:line="240" w:lineRule="auto"/>
      <w:ind w:left="1134"/>
    </w:pPr>
    <w:rPr>
      <w:rFonts w:eastAsia="Times New Roman" w:cs="Times New Roman"/>
      <w:szCs w:val="24"/>
      <w:lang w:eastAsia="fi-FI"/>
    </w:rPr>
  </w:style>
  <w:style w:type="character" w:customStyle="1" w:styleId="LeiptekstiChar">
    <w:name w:val="Leipäteksti Char"/>
    <w:basedOn w:val="Kappaleenoletusfontti"/>
    <w:link w:val="Leipteksti"/>
    <w:uiPriority w:val="99"/>
    <w:rsid w:val="00FC602F"/>
    <w:rPr>
      <w:rFonts w:ascii="Verdana" w:eastAsia="Times New Roman" w:hAnsi="Verdana" w:cs="Times New Roman"/>
      <w:sz w:val="20"/>
      <w:szCs w:val="24"/>
      <w:lang w:eastAsia="fi-FI"/>
    </w:rPr>
  </w:style>
  <w:style w:type="paragraph" w:styleId="Luettelo">
    <w:name w:val="List"/>
    <w:basedOn w:val="Normaali"/>
    <w:uiPriority w:val="99"/>
    <w:rsid w:val="000E7EE4"/>
    <w:pPr>
      <w:numPr>
        <w:numId w:val="17"/>
      </w:numPr>
      <w:tabs>
        <w:tab w:val="left" w:pos="1418"/>
      </w:tabs>
      <w:spacing w:before="60" w:after="60" w:line="240" w:lineRule="auto"/>
      <w:ind w:hanging="283"/>
    </w:pPr>
    <w:rPr>
      <w:rFonts w:eastAsia="Times New Roman" w:cs="Times New Roman"/>
      <w:szCs w:val="24"/>
      <w:lang w:eastAsia="fi-FI"/>
    </w:rPr>
  </w:style>
  <w:style w:type="paragraph" w:styleId="Numeroituluettelo">
    <w:name w:val="List Number"/>
    <w:basedOn w:val="Normaali"/>
    <w:uiPriority w:val="99"/>
    <w:qFormat/>
    <w:rsid w:val="00762C09"/>
    <w:pPr>
      <w:numPr>
        <w:numId w:val="8"/>
      </w:numPr>
      <w:tabs>
        <w:tab w:val="clear" w:pos="360"/>
        <w:tab w:val="num" w:pos="1560"/>
      </w:tabs>
      <w:spacing w:before="60" w:after="60" w:line="240" w:lineRule="auto"/>
      <w:ind w:left="1560" w:hanging="426"/>
    </w:pPr>
  </w:style>
  <w:style w:type="paragraph" w:styleId="Allekirjoitus">
    <w:name w:val="Signature"/>
    <w:basedOn w:val="Normaali"/>
    <w:link w:val="AllekirjoitusChar"/>
    <w:uiPriority w:val="99"/>
    <w:rsid w:val="006728BE"/>
    <w:pPr>
      <w:spacing w:after="0" w:line="240" w:lineRule="auto"/>
      <w:ind w:left="1134"/>
    </w:pPr>
  </w:style>
  <w:style w:type="paragraph" w:styleId="Sisllysluettelonotsikko">
    <w:name w:val="TOC Heading"/>
    <w:basedOn w:val="Otsikko1"/>
    <w:next w:val="Normaali"/>
    <w:uiPriority w:val="39"/>
    <w:unhideWhenUsed/>
    <w:qFormat/>
    <w:rsid w:val="00DD1B38"/>
    <w:pPr>
      <w:keepLines/>
      <w:spacing w:before="240" w:line="259" w:lineRule="auto"/>
      <w:outlineLvl w:val="9"/>
    </w:pPr>
    <w:rPr>
      <w:b w:val="0"/>
      <w:bCs/>
      <w:kern w:val="0"/>
      <w:sz w:val="24"/>
    </w:rPr>
  </w:style>
  <w:style w:type="paragraph" w:styleId="Sisluet1">
    <w:name w:val="toc 1"/>
    <w:basedOn w:val="Normaali"/>
    <w:next w:val="Normaali"/>
    <w:autoRedefine/>
    <w:uiPriority w:val="39"/>
    <w:unhideWhenUsed/>
    <w:rsid w:val="00B31ED1"/>
    <w:pPr>
      <w:tabs>
        <w:tab w:val="left" w:pos="426"/>
        <w:tab w:val="right" w:leader="dot" w:pos="9639"/>
      </w:tabs>
      <w:spacing w:after="100"/>
      <w:ind w:left="426" w:hanging="426"/>
    </w:pPr>
    <w:rPr>
      <w:b/>
      <w:noProof/>
    </w:rPr>
  </w:style>
  <w:style w:type="paragraph" w:styleId="Sisluet2">
    <w:name w:val="toc 2"/>
    <w:basedOn w:val="Normaali"/>
    <w:next w:val="Normaali"/>
    <w:autoRedefine/>
    <w:uiPriority w:val="39"/>
    <w:unhideWhenUsed/>
    <w:rsid w:val="00B31ED1"/>
    <w:pPr>
      <w:tabs>
        <w:tab w:val="left" w:pos="1134"/>
        <w:tab w:val="right" w:leader="dot" w:pos="9639"/>
      </w:tabs>
      <w:spacing w:after="100"/>
      <w:ind w:left="1134" w:hanging="708"/>
    </w:pPr>
  </w:style>
  <w:style w:type="paragraph" w:styleId="Sisluet3">
    <w:name w:val="toc 3"/>
    <w:basedOn w:val="Normaali"/>
    <w:next w:val="Normaali"/>
    <w:autoRedefine/>
    <w:uiPriority w:val="39"/>
    <w:unhideWhenUsed/>
    <w:rsid w:val="00B31ED1"/>
    <w:pPr>
      <w:tabs>
        <w:tab w:val="left" w:pos="1276"/>
        <w:tab w:val="right" w:leader="dot" w:pos="9639"/>
      </w:tabs>
      <w:spacing w:after="100"/>
      <w:ind w:left="1276" w:hanging="850"/>
    </w:pPr>
  </w:style>
  <w:style w:type="character" w:styleId="Hyperlinkki">
    <w:name w:val="Hyperlink"/>
    <w:basedOn w:val="Kappaleenoletusfontti"/>
    <w:uiPriority w:val="99"/>
    <w:unhideWhenUsed/>
    <w:rsid w:val="00DD1B38"/>
    <w:rPr>
      <w:color w:val="00AEB2" w:themeColor="hyperlink"/>
      <w:u w:val="single"/>
    </w:rPr>
  </w:style>
  <w:style w:type="character" w:customStyle="1" w:styleId="AllekirjoitusChar">
    <w:name w:val="Allekirjoitus Char"/>
    <w:basedOn w:val="Kappaleenoletusfontti"/>
    <w:link w:val="Allekirjoitus"/>
    <w:uiPriority w:val="99"/>
    <w:rsid w:val="006728BE"/>
    <w:rPr>
      <w:rFonts w:ascii="Verdana" w:hAnsi="Verdana"/>
      <w:sz w:val="20"/>
    </w:rPr>
  </w:style>
  <w:style w:type="paragraph" w:styleId="Otsikko">
    <w:name w:val="Title"/>
    <w:basedOn w:val="Normaali"/>
    <w:next w:val="Normaali"/>
    <w:link w:val="OtsikkoChar"/>
    <w:qFormat/>
    <w:rsid w:val="00E317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E3177A"/>
    <w:rPr>
      <w:rFonts w:asciiTheme="majorHAnsi" w:eastAsiaTheme="majorEastAsia" w:hAnsiTheme="majorHAnsi" w:cstheme="majorBidi"/>
      <w:spacing w:val="-10"/>
      <w:kern w:val="28"/>
      <w:sz w:val="56"/>
      <w:szCs w:val="56"/>
    </w:rPr>
  </w:style>
  <w:style w:type="paragraph" w:styleId="Luettelokappale">
    <w:name w:val="List Paragraph"/>
    <w:basedOn w:val="Normaali"/>
    <w:uiPriority w:val="34"/>
    <w:qFormat/>
    <w:rsid w:val="0069158A"/>
    <w:pPr>
      <w:spacing w:after="0" w:line="240" w:lineRule="auto"/>
      <w:ind w:left="720"/>
      <w:contextualSpacing/>
    </w:pPr>
    <w:rPr>
      <w:rFonts w:eastAsia="Times New Roman" w:cs="Times New Roman"/>
      <w:szCs w:val="24"/>
    </w:rPr>
  </w:style>
  <w:style w:type="character" w:styleId="Kommentinviite">
    <w:name w:val="annotation reference"/>
    <w:basedOn w:val="Kappaleenoletusfontti"/>
    <w:uiPriority w:val="99"/>
    <w:semiHidden/>
    <w:unhideWhenUsed/>
    <w:rsid w:val="00B60BD7"/>
    <w:rPr>
      <w:sz w:val="16"/>
      <w:szCs w:val="16"/>
    </w:rPr>
  </w:style>
  <w:style w:type="paragraph" w:styleId="Kommentinteksti">
    <w:name w:val="annotation text"/>
    <w:basedOn w:val="Normaali"/>
    <w:link w:val="KommentintekstiChar"/>
    <w:uiPriority w:val="99"/>
    <w:semiHidden/>
    <w:unhideWhenUsed/>
    <w:rsid w:val="00B60BD7"/>
    <w:pPr>
      <w:spacing w:line="240" w:lineRule="auto"/>
    </w:pPr>
    <w:rPr>
      <w:szCs w:val="20"/>
    </w:rPr>
  </w:style>
  <w:style w:type="character" w:customStyle="1" w:styleId="KommentintekstiChar">
    <w:name w:val="Kommentin teksti Char"/>
    <w:basedOn w:val="Kappaleenoletusfontti"/>
    <w:link w:val="Kommentinteksti"/>
    <w:uiPriority w:val="99"/>
    <w:semiHidden/>
    <w:rsid w:val="00B60BD7"/>
    <w:rPr>
      <w:rFonts w:ascii="Verdana" w:hAnsi="Verdana"/>
      <w:sz w:val="20"/>
      <w:szCs w:val="20"/>
    </w:rPr>
  </w:style>
  <w:style w:type="paragraph" w:styleId="Kommentinotsikko">
    <w:name w:val="annotation subject"/>
    <w:basedOn w:val="Kommentinteksti"/>
    <w:next w:val="Kommentinteksti"/>
    <w:link w:val="KommentinotsikkoChar"/>
    <w:uiPriority w:val="99"/>
    <w:semiHidden/>
    <w:unhideWhenUsed/>
    <w:rsid w:val="00B60BD7"/>
    <w:rPr>
      <w:b/>
      <w:bCs/>
    </w:rPr>
  </w:style>
  <w:style w:type="character" w:customStyle="1" w:styleId="KommentinotsikkoChar">
    <w:name w:val="Kommentin otsikko Char"/>
    <w:basedOn w:val="KommentintekstiChar"/>
    <w:link w:val="Kommentinotsikko"/>
    <w:uiPriority w:val="99"/>
    <w:semiHidden/>
    <w:rsid w:val="00B60BD7"/>
    <w:rPr>
      <w:rFonts w:ascii="Verdana" w:hAnsi="Verdana"/>
      <w:b/>
      <w:bCs/>
      <w:sz w:val="20"/>
      <w:szCs w:val="20"/>
    </w:rPr>
  </w:style>
  <w:style w:type="paragraph" w:styleId="Seliteteksti">
    <w:name w:val="Balloon Text"/>
    <w:basedOn w:val="Normaali"/>
    <w:link w:val="SelitetekstiChar"/>
    <w:uiPriority w:val="99"/>
    <w:semiHidden/>
    <w:unhideWhenUsed/>
    <w:rsid w:val="00B60BD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60BD7"/>
    <w:rPr>
      <w:rFonts w:ascii="Segoe UI" w:hAnsi="Segoe UI" w:cs="Segoe UI"/>
      <w:sz w:val="18"/>
      <w:szCs w:val="18"/>
    </w:rPr>
  </w:style>
  <w:style w:type="paragraph" w:styleId="NormaaliWWW">
    <w:name w:val="Normal (Web)"/>
    <w:basedOn w:val="Normaali"/>
    <w:uiPriority w:val="99"/>
    <w:semiHidden/>
    <w:unhideWhenUsed/>
    <w:rsid w:val="00295456"/>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1475">
      <w:bodyDiv w:val="1"/>
      <w:marLeft w:val="0"/>
      <w:marRight w:val="0"/>
      <w:marTop w:val="0"/>
      <w:marBottom w:val="0"/>
      <w:divBdr>
        <w:top w:val="none" w:sz="0" w:space="0" w:color="auto"/>
        <w:left w:val="none" w:sz="0" w:space="0" w:color="auto"/>
        <w:bottom w:val="none" w:sz="0" w:space="0" w:color="auto"/>
        <w:right w:val="none" w:sz="0" w:space="0" w:color="auto"/>
      </w:divBdr>
    </w:div>
    <w:div w:id="21379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Traficom22">
      <a:dk1>
        <a:srgbClr val="000000"/>
      </a:dk1>
      <a:lt1>
        <a:srgbClr val="FFFFFF"/>
      </a:lt1>
      <a:dk2>
        <a:srgbClr val="002B74"/>
      </a:dk2>
      <a:lt2>
        <a:srgbClr val="0058B1"/>
      </a:lt2>
      <a:accent1>
        <a:srgbClr val="002B74"/>
      </a:accent1>
      <a:accent2>
        <a:srgbClr val="EC017F"/>
      </a:accent2>
      <a:accent3>
        <a:srgbClr val="669BD0"/>
      </a:accent3>
      <a:accent4>
        <a:srgbClr val="81D600"/>
      </a:accent4>
      <a:accent5>
        <a:srgbClr val="00AEB2"/>
      </a:accent5>
      <a:accent6>
        <a:srgbClr val="0058B1"/>
      </a:accent6>
      <a:hlink>
        <a:srgbClr val="00AEB2"/>
      </a:hlink>
      <a:folHlink>
        <a:srgbClr val="82008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19FF819C3E544C48AEC9323C399E6FCA" ma:contentTypeVersion="44" ma:contentTypeDescription="" ma:contentTypeScope="" ma:versionID="b73651b6cb8ba0898ccfca5cf290e9c5">
  <xsd:schema xmlns:xsd="http://www.w3.org/2001/XMLSchema" xmlns:xs="http://www.w3.org/2001/XMLSchema" xmlns:p="http://schemas.microsoft.com/office/2006/metadata/properties" xmlns:ns2="fc816ae0-20fa-42d3-8a0b-1ea1cf281df2" xmlns:ns3="986746b9-21ea-4a10-94d5-c7e2d54bbe5a" targetNamespace="http://schemas.microsoft.com/office/2006/metadata/properties" ma:root="true" ma:fieldsID="dc677e4f89bc103018f9f9580a6543a7" ns2:_="" ns3:_="">
    <xsd:import namespace="fc816ae0-20fa-42d3-8a0b-1ea1cf281df2"/>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16ae0-20fa-42d3-8a0b-1ea1cf281df2"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5750cba-f165-4aab-93ea-95b749a5cca2}" ma:internalName="TaxCatchAll" ma:showField="CatchAllData" ma:web="fc816ae0-20fa-42d3-8a0b-1ea1cf281df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5750cba-f165-4aab-93ea-95b749a5cca2}" ma:internalName="TaxCatchAllLabel" ma:readOnly="true" ma:showField="CatchAllDataLabel" ma:web="fc816ae0-20fa-42d3-8a0b-1ea1cf281df2">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6746b9-21ea-4a10-94d5-c7e2d54bbe5a">
      <Value>89</Value>
      <Value>1</Value>
    </TaxCatchAll>
    <p39f2945831442ffb2b72677709d8610 xmlns="986746b9-21ea-4a10-94d5-c7e2d54bbe5a">
      <Terms xmlns="http://schemas.microsoft.com/office/infopath/2007/PartnerControls"/>
    </p39f2945831442ffb2b72677709d8610>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CoP-määräys 2022</TermName>
          <TermId xmlns="http://schemas.microsoft.com/office/infopath/2007/PartnerControls">8405849a-d9b5-4424-a037-be3a82ce474d</TermId>
        </TermInfo>
      </Terms>
    </g947cab29b3b46f18713a0acc4648f6c>
    <a9215f07bdd34c12927c30fd8ee294e2 xmlns="986746b9-21ea-4a10-94d5-c7e2d54bbe5a">
      <Terms xmlns="http://schemas.microsoft.com/office/infopath/2007/PartnerControls"/>
    </a9215f07bdd34c12927c30fd8ee294e2>
    <SaTyDynastyDocumentGuid xmlns="986746b9-21ea-4a10-94d5-c7e2d54bbe5a">1a93fe3e-2b0a-4e15-a0e6-e2b074c7f845</SaTyDynastyDocumentGuid>
    <SaTyTosSecurityPeriodRuleId xmlns="986746b9-21ea-4a10-94d5-c7e2d54bbe5a">10</SaTyTosSecurityPeriodRuleId>
    <SaTyDynastyDocumentUrl xmlns="986746b9-21ea-4a10-94d5-c7e2d54bbe5a">https://dynasty.int.traficom.fi/dynasty/#/db/TRAFICOM/card/?r=%2Fdocument%2F95802</SaTyDynastyDocumentUrl>
    <SaTyTosSecurityPeriodRule xmlns="986746b9-21ea-4a10-94d5-c7e2d54bbe5a">Asiakirjan valmistuminen</SaTyTosSecurityPeriodRule>
    <SaTyTosUserDataRule xmlns="986746b9-21ea-4a10-94d5-c7e2d54bbe5a" xsi:nil="true"/>
    <SaTyTosUserDataRuleId xmlns="986746b9-21ea-4a10-94d5-c7e2d54bbe5a" xsi:nil="true"/>
    <SaTyTosSecurityReason xmlns="986746b9-21ea-4a10-94d5-c7e2d54bbe5a" xsi:nil="true"/>
    <SaTyDynastyIntStatus xmlns="986746b9-21ea-4a10-94d5-c7e2d54bbe5a">Document folderPermissions updated? False</SaTyDynastyIntStatus>
    <SaTyTosSecurityPeriod xmlns="986746b9-21ea-4a10-94d5-c7e2d54bbe5a">0 v v</SaTyTosSecurityPeriod>
    <SaTyTosSecurityReasonId xmlns="986746b9-21ea-4a10-94d5-c7e2d54bbe5a" xsi:nil="true"/>
    <SaTyDynastyDirection xmlns="986746b9-21ea-4a10-94d5-c7e2d54bbe5a" xsi:nil="true"/>
    <SaTyTosDocumentType xmlns="fc816ae0-20fa-42d3-8a0b-1ea1cf281df2">Muistio</SaTyTosDocumentType>
    <SaTyDocumentStatus xmlns="fc816ae0-20fa-42d3-8a0b-1ea1cf281df2">Luonnos</SaTyDocumentStatus>
    <SaTyTosDocumentTypeId xmlns="fc816ae0-20fa-42d3-8a0b-1ea1cf281df2">Muistio</SaTyTosDocumentTypeId>
    <SaTyTosIssueGroup xmlns="fc816ae0-20fa-42d3-8a0b-1ea1cf281df2">Tieliikennemääräykset</SaTyTosIssueGroup>
    <SaTyDocumentYear xmlns="fc816ae0-20fa-42d3-8a0b-1ea1cf281df2">2022</SaTyDocumentYear>
    <SaTyTosPreservation xmlns="fc816ae0-20fa-42d3-8a0b-1ea1cf281df2"> v</SaTyTosPreservation>
    <SaTyDocumentArchive xmlns="fc816ae0-20fa-42d3-8a0b-1ea1cf281df2">false</SaTyDocumentArchive>
    <SaTyTosPublicity xmlns="fc816ae0-20fa-42d3-8a0b-1ea1cf281df2">Julkinen</SaTyTosPublicity>
    <SaTyTosTaskGroupId xmlns="fc816ae0-20fa-42d3-8a0b-1ea1cf281df2">03.04.03</SaTyTosTaskGroupId>
    <SaTyTosTaskGroup xmlns="fc816ae0-20fa-42d3-8a0b-1ea1cf281df2">Tieliikenteen määräykset</SaTyTosTaskGroup>
    <SaTyTosIssueGroupId xmlns="fc816ae0-20fa-42d3-8a0b-1ea1cf281df2">03.04.03.00</SaTyTosIssueGroupId>
    <SaTyDocumentUserData xmlns="fc816ae0-20fa-42d3-8a0b-1ea1cf281df2">false</SaTyDocumentUserData>
  </documentManagement>
</p:properties>
</file>

<file path=customXml/item3.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7FCCA-3E55-4F61-9B03-5929CF77F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16ae0-20fa-42d3-8a0b-1ea1cf281df2"/>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C8211-E8B9-49A4-8DDB-511047523C15}">
  <ds:schemaRefs>
    <ds:schemaRef ds:uri="http://schemas.microsoft.com/office/2006/metadata/properties"/>
    <ds:schemaRef ds:uri="http://schemas.microsoft.com/office/infopath/2007/PartnerControls"/>
    <ds:schemaRef ds:uri="986746b9-21ea-4a10-94d5-c7e2d54bbe5a"/>
    <ds:schemaRef ds:uri="fc816ae0-20fa-42d3-8a0b-1ea1cf281df2"/>
  </ds:schemaRefs>
</ds:datastoreItem>
</file>

<file path=customXml/itemProps3.xml><?xml version="1.0" encoding="utf-8"?>
<ds:datastoreItem xmlns:ds="http://schemas.openxmlformats.org/officeDocument/2006/customXml" ds:itemID="{5BA559A6-863E-46EF-900A-362953FA9F25}">
  <ds:schemaRefs>
    <ds:schemaRef ds:uri="Microsoft.SharePoint.Taxonomy.ContentTypeSync"/>
  </ds:schemaRefs>
</ds:datastoreItem>
</file>

<file path=customXml/itemProps4.xml><?xml version="1.0" encoding="utf-8"?>
<ds:datastoreItem xmlns:ds="http://schemas.openxmlformats.org/officeDocument/2006/customXml" ds:itemID="{7F62B37F-A786-47D9-8F4C-E39A7795BE7E}">
  <ds:schemaRefs>
    <ds:schemaRef ds:uri="http://schemas.microsoft.com/sharepoint/v3/contenttype/forms"/>
  </ds:schemaRefs>
</ds:datastoreItem>
</file>

<file path=customXml/itemProps5.xml><?xml version="1.0" encoding="utf-8"?>
<ds:datastoreItem xmlns:ds="http://schemas.openxmlformats.org/officeDocument/2006/customXml" ds:itemID="{4CE494E5-8ABB-4E51-A382-11D85E65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2170</Words>
  <Characters>17583</Characters>
  <Application>Microsoft Office Word</Application>
  <DocSecurity>0</DocSecurity>
  <Lines>146</Lines>
  <Paragraphs>39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Trafi</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Uotila Elina</dc:creator>
  <cp:keywords/>
  <dc:description/>
  <cp:lastModifiedBy>Tenhunen Harri</cp:lastModifiedBy>
  <cp:revision>5</cp:revision>
  <dcterms:created xsi:type="dcterms:W3CDTF">2023-02-06T07:22:00Z</dcterms:created>
  <dcterms:modified xsi:type="dcterms:W3CDTF">2023-05-22T05:25:00Z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TyDocumentQuartal">
    <vt:lpwstr/>
  </property>
  <property fmtid="{D5CDD505-2E9C-101B-9397-08002B2CF9AE}" pid="3" name="ContentTypeId">
    <vt:lpwstr>0x0101000EC482A17D284AEE8290D09FC0D2D6D200C589622A2BFC49F09A63EB8A040062500019FF819C3E544C48AEC9323C399E6FCA</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89;#CoP-määräys 2022|8405849a-d9b5-4424-a037-be3a82ce474d</vt:lpwstr>
  </property>
  <property fmtid="{D5CDD505-2E9C-101B-9397-08002B2CF9AE}" pid="9" name="od82ff796f8549e7b48b0e43c70930a6">
    <vt:lpwstr>Suomi|88d960e6-e76c-48a2-b607-f1600797b640</vt:lpwstr>
  </property>
  <property fmtid="{D5CDD505-2E9C-101B-9397-08002B2CF9AE}" pid="10" name="eb88049090c34051aae092bae2056bc2">
    <vt:lpwstr/>
  </property>
</Properties>
</file>