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8799C" w14:textId="77777777" w:rsidR="00B54DD4" w:rsidRDefault="00B54DD4" w:rsidP="00ED2B4A">
      <w:pPr>
        <w:pStyle w:val="akpasia3"/>
        <w:rPr>
          <w:b/>
          <w:sz w:val="22"/>
          <w:szCs w:val="22"/>
        </w:rPr>
      </w:pPr>
    </w:p>
    <w:p w14:paraId="164E4CE3" w14:textId="77777777" w:rsidR="00177CB1" w:rsidRDefault="00177CB1" w:rsidP="00ED2B4A">
      <w:pPr>
        <w:pStyle w:val="akpasia3"/>
        <w:rPr>
          <w:b/>
          <w:sz w:val="22"/>
          <w:szCs w:val="22"/>
        </w:rPr>
      </w:pPr>
    </w:p>
    <w:p w14:paraId="54E853A4" w14:textId="77777777" w:rsidR="00177CB1" w:rsidRPr="0039450C" w:rsidRDefault="00177CB1" w:rsidP="00ED2B4A">
      <w:pPr>
        <w:pStyle w:val="akpasia3"/>
        <w:rPr>
          <w:b/>
          <w:sz w:val="22"/>
          <w:szCs w:val="22"/>
        </w:rPr>
      </w:pPr>
    </w:p>
    <w:p w14:paraId="6FDD96BD" w14:textId="77777777" w:rsidR="00B54DD4" w:rsidRDefault="00B54DD4" w:rsidP="00ED2B4A">
      <w:pPr>
        <w:pStyle w:val="akpasia3"/>
        <w:rPr>
          <w:b/>
          <w:sz w:val="22"/>
          <w:szCs w:val="22"/>
        </w:rPr>
      </w:pPr>
    </w:p>
    <w:p w14:paraId="22ECBA89" w14:textId="77777777" w:rsidR="00481081" w:rsidRDefault="00481081" w:rsidP="00ED2B4A">
      <w:pPr>
        <w:pStyle w:val="akpasia3"/>
        <w:rPr>
          <w:b/>
          <w:sz w:val="22"/>
          <w:szCs w:val="22"/>
        </w:rPr>
      </w:pPr>
    </w:p>
    <w:p w14:paraId="6EBCE692" w14:textId="77777777" w:rsidR="00481081" w:rsidRPr="0039450C" w:rsidRDefault="00481081" w:rsidP="00ED2B4A">
      <w:pPr>
        <w:pStyle w:val="akpasia3"/>
        <w:rPr>
          <w:b/>
          <w:sz w:val="22"/>
          <w:szCs w:val="22"/>
        </w:rPr>
      </w:pPr>
    </w:p>
    <w:p w14:paraId="5FE64FD8" w14:textId="77777777" w:rsidR="00ED2B4A" w:rsidRPr="00FF6C29" w:rsidRDefault="00AE12BD" w:rsidP="00ED2B4A">
      <w:pPr>
        <w:pStyle w:val="akpasia3"/>
        <w:rPr>
          <w:b/>
          <w:sz w:val="28"/>
          <w:szCs w:val="28"/>
        </w:rPr>
      </w:pPr>
      <w:r w:rsidRPr="00FF6C29">
        <w:rPr>
          <w:b/>
          <w:sz w:val="28"/>
          <w:szCs w:val="28"/>
        </w:rPr>
        <w:t>MAAOIKEUSASIOI</w:t>
      </w:r>
      <w:r w:rsidR="0078457A" w:rsidRPr="00FF6C29">
        <w:rPr>
          <w:b/>
          <w:sz w:val="28"/>
          <w:szCs w:val="28"/>
        </w:rPr>
        <w:t>DEN KÄSITTELY KÄRÄJÄOIKEUKSISSA</w:t>
      </w:r>
    </w:p>
    <w:p w14:paraId="21920563" w14:textId="77777777" w:rsidR="00B54DD4" w:rsidRPr="00FF6C29" w:rsidRDefault="00B54DD4" w:rsidP="00ED2B4A">
      <w:pPr>
        <w:pStyle w:val="akpasia3"/>
        <w:rPr>
          <w:b/>
          <w:sz w:val="22"/>
          <w:szCs w:val="22"/>
        </w:rPr>
      </w:pPr>
    </w:p>
    <w:p w14:paraId="79E55A5D" w14:textId="77777777" w:rsidR="00B54DD4" w:rsidRPr="00FF6C29" w:rsidRDefault="00B54DD4" w:rsidP="00ED2B4A">
      <w:pPr>
        <w:pStyle w:val="akpasia3"/>
        <w:rPr>
          <w:sz w:val="22"/>
          <w:szCs w:val="22"/>
        </w:rPr>
      </w:pPr>
    </w:p>
    <w:p w14:paraId="6EC892D9" w14:textId="77777777" w:rsidR="00ED2B4A" w:rsidRPr="00FF6C29" w:rsidRDefault="0039450C" w:rsidP="00ED2B4A">
      <w:pPr>
        <w:pStyle w:val="Otsikko1"/>
        <w:rPr>
          <w:sz w:val="22"/>
          <w:szCs w:val="22"/>
        </w:rPr>
      </w:pPr>
      <w:r w:rsidRPr="00FF6C29">
        <w:rPr>
          <w:sz w:val="22"/>
          <w:szCs w:val="22"/>
        </w:rPr>
        <w:t>Asian tausta</w:t>
      </w:r>
    </w:p>
    <w:p w14:paraId="1FB692C8" w14:textId="77777777" w:rsidR="006339F1" w:rsidRPr="00FF6C29" w:rsidRDefault="001C1E08" w:rsidP="00B43FE9">
      <w:pPr>
        <w:ind w:left="1298"/>
        <w:rPr>
          <w:sz w:val="22"/>
          <w:szCs w:val="22"/>
        </w:rPr>
      </w:pPr>
      <w:r w:rsidRPr="00FF6C29">
        <w:rPr>
          <w:sz w:val="22"/>
          <w:szCs w:val="22"/>
        </w:rPr>
        <w:t xml:space="preserve">Oikeusministeriö asetti 28.10.2014 työryhmän, jonka tehtävänä oli laatia ehdotus käräjäoikeusverkoston jatkokehittämiseksi (OM 17/31/2014). </w:t>
      </w:r>
      <w:r w:rsidR="00D57261" w:rsidRPr="00FF6C29">
        <w:rPr>
          <w:sz w:val="22"/>
          <w:szCs w:val="22"/>
        </w:rPr>
        <w:t>Työryhmän asettamisen taustalla o</w:t>
      </w:r>
      <w:r w:rsidR="00177CB1" w:rsidRPr="00FF6C29">
        <w:rPr>
          <w:sz w:val="22"/>
          <w:szCs w:val="22"/>
        </w:rPr>
        <w:t>li</w:t>
      </w:r>
      <w:r w:rsidR="00D57261" w:rsidRPr="00FF6C29">
        <w:rPr>
          <w:sz w:val="22"/>
          <w:szCs w:val="22"/>
        </w:rPr>
        <w:t xml:space="preserve"> oikeusministeriössä valmisteltu oikeudenhoidon uudistamisohjelma vuosille 2013–2025 (Mietintöjä ja lausuntoja 16/2013)</w:t>
      </w:r>
      <w:r w:rsidR="006339F1" w:rsidRPr="00FF6C29">
        <w:rPr>
          <w:sz w:val="22"/>
          <w:szCs w:val="22"/>
        </w:rPr>
        <w:t>. O</w:t>
      </w:r>
      <w:r w:rsidR="00D57261" w:rsidRPr="00FF6C29">
        <w:rPr>
          <w:sz w:val="22"/>
          <w:szCs w:val="22"/>
        </w:rPr>
        <w:t xml:space="preserve">ikeuslaitoksen toimintakyvyn turvaamiseksi </w:t>
      </w:r>
      <w:r w:rsidR="006339F1" w:rsidRPr="00FF6C29">
        <w:rPr>
          <w:sz w:val="22"/>
          <w:szCs w:val="22"/>
        </w:rPr>
        <w:t xml:space="preserve">ohjelmassa </w:t>
      </w:r>
      <w:r w:rsidR="00177CB1" w:rsidRPr="00FF6C29">
        <w:rPr>
          <w:sz w:val="22"/>
          <w:szCs w:val="22"/>
        </w:rPr>
        <w:t>ehdotettiin</w:t>
      </w:r>
      <w:r w:rsidR="006339F1" w:rsidRPr="00FF6C29">
        <w:rPr>
          <w:sz w:val="22"/>
          <w:szCs w:val="22"/>
        </w:rPr>
        <w:t xml:space="preserve"> </w:t>
      </w:r>
      <w:r w:rsidR="00D57261" w:rsidRPr="00FF6C29">
        <w:rPr>
          <w:sz w:val="22"/>
          <w:szCs w:val="22"/>
        </w:rPr>
        <w:t xml:space="preserve">muun muassa, että käräjäoikeuksien rakenneuudistusta jatketaan (kohta 11). </w:t>
      </w:r>
    </w:p>
    <w:p w14:paraId="3A29D78D" w14:textId="77777777" w:rsidR="006339F1" w:rsidRPr="00FF6C29" w:rsidRDefault="006339F1" w:rsidP="00B43FE9">
      <w:pPr>
        <w:ind w:left="1298"/>
        <w:rPr>
          <w:sz w:val="22"/>
          <w:szCs w:val="22"/>
        </w:rPr>
      </w:pPr>
    </w:p>
    <w:p w14:paraId="723F0E57" w14:textId="77777777" w:rsidR="009D4BA8" w:rsidRPr="00FF6C29" w:rsidRDefault="006339F1" w:rsidP="00B43FE9">
      <w:pPr>
        <w:ind w:left="1298"/>
        <w:rPr>
          <w:sz w:val="22"/>
          <w:szCs w:val="22"/>
        </w:rPr>
      </w:pPr>
      <w:r w:rsidRPr="00FF6C29">
        <w:rPr>
          <w:sz w:val="22"/>
          <w:szCs w:val="22"/>
        </w:rPr>
        <w:t>Käräjäoikeusverkostot</w:t>
      </w:r>
      <w:r w:rsidR="009D4BA8" w:rsidRPr="00FF6C29">
        <w:rPr>
          <w:sz w:val="22"/>
          <w:szCs w:val="22"/>
        </w:rPr>
        <w:t>yöryhmä</w:t>
      </w:r>
      <w:r w:rsidR="00177CB1" w:rsidRPr="00FF6C29">
        <w:rPr>
          <w:sz w:val="22"/>
          <w:szCs w:val="22"/>
        </w:rPr>
        <w:t xml:space="preserve"> ehdotti</w:t>
      </w:r>
      <w:r w:rsidR="009D4BA8" w:rsidRPr="00FF6C29">
        <w:rPr>
          <w:sz w:val="22"/>
          <w:szCs w:val="22"/>
        </w:rPr>
        <w:t xml:space="preserve"> keväällä 2015 antamassaan mietinnössään </w:t>
      </w:r>
      <w:r w:rsidR="00A64084" w:rsidRPr="00FF6C29">
        <w:rPr>
          <w:sz w:val="22"/>
          <w:szCs w:val="22"/>
        </w:rPr>
        <w:t>”Käräjäoikeusverkoston kehittäminen” (Mietintöjä ja lausuntoja 14/2015, ruotsiksi 31/2015</w:t>
      </w:r>
      <w:r w:rsidR="009D4BA8" w:rsidRPr="00FF6C29">
        <w:rPr>
          <w:sz w:val="22"/>
          <w:szCs w:val="22"/>
        </w:rPr>
        <w:t>)</w:t>
      </w:r>
      <w:r w:rsidR="00A03177" w:rsidRPr="00FF6C29">
        <w:rPr>
          <w:sz w:val="22"/>
          <w:szCs w:val="22"/>
        </w:rPr>
        <w:t xml:space="preserve"> kahta vaihtoehtoista mallia käräjäoikeusverkoston uudistamiseksi (14 tai 17 käräjäoikeutta</w:t>
      </w:r>
      <w:r w:rsidR="005A0A8D" w:rsidRPr="00FF6C29">
        <w:rPr>
          <w:sz w:val="22"/>
          <w:szCs w:val="22"/>
        </w:rPr>
        <w:t xml:space="preserve"> nykyisten 27 sijaan</w:t>
      </w:r>
      <w:r w:rsidR="00A03177" w:rsidRPr="00FF6C29">
        <w:rPr>
          <w:sz w:val="22"/>
          <w:szCs w:val="22"/>
        </w:rPr>
        <w:t xml:space="preserve">). </w:t>
      </w:r>
      <w:r w:rsidR="001C1E08" w:rsidRPr="00FF6C29">
        <w:rPr>
          <w:sz w:val="22"/>
          <w:szCs w:val="22"/>
        </w:rPr>
        <w:t xml:space="preserve">Työryhmä </w:t>
      </w:r>
      <w:r w:rsidR="00177CB1" w:rsidRPr="00FF6C29">
        <w:rPr>
          <w:sz w:val="22"/>
          <w:szCs w:val="22"/>
        </w:rPr>
        <w:t xml:space="preserve">ehdotti </w:t>
      </w:r>
      <w:r w:rsidR="001C1E08" w:rsidRPr="00FF6C29">
        <w:rPr>
          <w:sz w:val="22"/>
          <w:szCs w:val="22"/>
        </w:rPr>
        <w:t xml:space="preserve">tarkistuksia myös </w:t>
      </w:r>
      <w:r w:rsidR="00AA0131" w:rsidRPr="00FF6C29">
        <w:rPr>
          <w:sz w:val="22"/>
          <w:szCs w:val="22"/>
        </w:rPr>
        <w:t>eräi</w:t>
      </w:r>
      <w:r w:rsidR="00082FBB" w:rsidRPr="00FF6C29">
        <w:rPr>
          <w:sz w:val="22"/>
          <w:szCs w:val="22"/>
        </w:rPr>
        <w:t xml:space="preserve">den </w:t>
      </w:r>
      <w:r w:rsidR="001C1E08" w:rsidRPr="00FF6C29">
        <w:rPr>
          <w:sz w:val="22"/>
          <w:szCs w:val="22"/>
        </w:rPr>
        <w:t>tiettyihin käräjäoikeuksiin käsiteltäväksi keskitettyjen asiaryhmien</w:t>
      </w:r>
      <w:r w:rsidR="00FB74A9" w:rsidRPr="00FF6C29">
        <w:rPr>
          <w:sz w:val="22"/>
          <w:szCs w:val="22"/>
        </w:rPr>
        <w:t xml:space="preserve">, kuten maaoikeusasioiden, </w:t>
      </w:r>
      <w:r w:rsidR="001C1E08" w:rsidRPr="00FF6C29">
        <w:rPr>
          <w:sz w:val="22"/>
          <w:szCs w:val="22"/>
        </w:rPr>
        <w:t xml:space="preserve">tuomiopiirijakoon. </w:t>
      </w:r>
      <w:r w:rsidR="00623A01" w:rsidRPr="00FF6C29">
        <w:rPr>
          <w:sz w:val="22"/>
          <w:szCs w:val="22"/>
        </w:rPr>
        <w:t>Työryhmä ehdotti, että maaoikeuksien määrää vähennettäisiin nykyisestä kahdeksasta yhdellä. Ehdotuksen mukaan Itä-Suomen alueella toimisi jatkossa vain yksi maaoikeus. Tämä olisi käräjäoikeusverkoston pohjaksi valittavasta mallista riippuen ollut joko Etelä-Savon (17 käräjäoikeuden malli) tai Itä-Suomen (14 käräjäoikeuden malli) käräjäoikeus. Myös maaoikeuksien tuomiopiirijakoa ehdotettiin tarkistettavaksi maakuntajakoa ja käräjäoikeuspiirejä paremmin vastaavaksi.</w:t>
      </w:r>
    </w:p>
    <w:p w14:paraId="781622CD" w14:textId="77777777" w:rsidR="00FB74A9" w:rsidRPr="00FF6C29" w:rsidRDefault="00FB74A9" w:rsidP="00B43FE9">
      <w:pPr>
        <w:ind w:left="1298"/>
        <w:rPr>
          <w:sz w:val="22"/>
          <w:szCs w:val="22"/>
        </w:rPr>
      </w:pPr>
    </w:p>
    <w:p w14:paraId="044214C7" w14:textId="77777777" w:rsidR="00A64084" w:rsidRPr="00FF6C29" w:rsidRDefault="00FB74A9" w:rsidP="00B43FE9">
      <w:pPr>
        <w:ind w:left="1298"/>
        <w:rPr>
          <w:sz w:val="22"/>
          <w:szCs w:val="22"/>
        </w:rPr>
      </w:pPr>
      <w:r w:rsidRPr="00FF6C29">
        <w:rPr>
          <w:sz w:val="22"/>
          <w:szCs w:val="22"/>
        </w:rPr>
        <w:t>Virkamiestyöryhmän mietinnöstä annetussa lausuntopalautteessa maaoikeuksien yhdistämiseen j</w:t>
      </w:r>
      <w:r w:rsidR="00177CB1" w:rsidRPr="00FF6C29">
        <w:rPr>
          <w:sz w:val="22"/>
          <w:szCs w:val="22"/>
        </w:rPr>
        <w:t xml:space="preserve">a tuomiopiirien muuttamiseen </w:t>
      </w:r>
      <w:r w:rsidRPr="00FF6C29">
        <w:rPr>
          <w:sz w:val="22"/>
          <w:szCs w:val="22"/>
        </w:rPr>
        <w:t>suhtaudutt</w:t>
      </w:r>
      <w:r w:rsidR="00177CB1" w:rsidRPr="00FF6C29">
        <w:rPr>
          <w:sz w:val="22"/>
          <w:szCs w:val="22"/>
        </w:rPr>
        <w:t>iin</w:t>
      </w:r>
      <w:r w:rsidRPr="00FF6C29">
        <w:rPr>
          <w:sz w:val="22"/>
          <w:szCs w:val="22"/>
        </w:rPr>
        <w:t xml:space="preserve"> kriittisesti (ks. tarkemmin ”Käräjäoikeusverkoston kehittäminen. Lausuntotiivistelmä”, Mietintöjä ja lausuntoja 44/2015, ruotsiksi 46/2015). Monet lausunnonantajat </w:t>
      </w:r>
      <w:r w:rsidR="00177CB1" w:rsidRPr="00FF6C29">
        <w:rPr>
          <w:sz w:val="22"/>
          <w:szCs w:val="22"/>
        </w:rPr>
        <w:t>arvioivat</w:t>
      </w:r>
      <w:r w:rsidRPr="00FF6C29">
        <w:rPr>
          <w:sz w:val="22"/>
          <w:szCs w:val="22"/>
        </w:rPr>
        <w:t xml:space="preserve"> maaoikeuksien toimivan nykyisellään hyvin, joten tarvetta muutoksiin ei ole. Lisäksi </w:t>
      </w:r>
      <w:r w:rsidR="00177CB1" w:rsidRPr="00FF6C29">
        <w:rPr>
          <w:sz w:val="22"/>
          <w:szCs w:val="22"/>
        </w:rPr>
        <w:t>katsottiin</w:t>
      </w:r>
      <w:r w:rsidRPr="00FF6C29">
        <w:rPr>
          <w:sz w:val="22"/>
          <w:szCs w:val="22"/>
        </w:rPr>
        <w:t xml:space="preserve">, että </w:t>
      </w:r>
      <w:r w:rsidR="007C48CB" w:rsidRPr="00FF6C29">
        <w:rPr>
          <w:sz w:val="22"/>
          <w:szCs w:val="22"/>
        </w:rPr>
        <w:t>maaoikeuksien määrän vähentäminen</w:t>
      </w:r>
      <w:r w:rsidR="00177CB1" w:rsidRPr="00FF6C29">
        <w:rPr>
          <w:sz w:val="22"/>
          <w:szCs w:val="22"/>
        </w:rPr>
        <w:t xml:space="preserve"> on arvioitava</w:t>
      </w:r>
      <w:r w:rsidR="007C48CB" w:rsidRPr="00FF6C29">
        <w:rPr>
          <w:sz w:val="22"/>
          <w:szCs w:val="22"/>
        </w:rPr>
        <w:t xml:space="preserve"> kokonaan erikseen, mikäli sitä pidetään tarpeellisena.</w:t>
      </w:r>
      <w:r w:rsidRPr="00FF6C29">
        <w:rPr>
          <w:sz w:val="22"/>
          <w:szCs w:val="22"/>
        </w:rPr>
        <w:t xml:space="preserve"> Hovioikeuspiirijaon noudattamista ei pidetty perusteltuna, koska asioista haetaan muutosta suoraan korkeimmalta oikeudelta. Lisäksi katsott</w:t>
      </w:r>
      <w:r w:rsidR="00177CB1" w:rsidRPr="00FF6C29">
        <w:rPr>
          <w:sz w:val="22"/>
          <w:szCs w:val="22"/>
        </w:rPr>
        <w:t>iin</w:t>
      </w:r>
      <w:r w:rsidRPr="00FF6C29">
        <w:rPr>
          <w:sz w:val="22"/>
          <w:szCs w:val="22"/>
        </w:rPr>
        <w:t>, että ehdotusten myötä maaoikeuksien tuomiopiirit muodostuisivat maantieteellisesti liian laajoiksi. Toisaalta taas arvioit</w:t>
      </w:r>
      <w:r w:rsidR="00177CB1" w:rsidRPr="00FF6C29">
        <w:rPr>
          <w:sz w:val="22"/>
          <w:szCs w:val="22"/>
        </w:rPr>
        <w:t>iin</w:t>
      </w:r>
      <w:r w:rsidRPr="00FF6C29">
        <w:rPr>
          <w:sz w:val="22"/>
          <w:szCs w:val="22"/>
        </w:rPr>
        <w:t xml:space="preserve">, että toimivaltaisen tuomioistuimen sijainnilla ei ole asianosaisten kannalta ratkaisevaa merkitystä, koska katselmukset ja pääkäsittelyt järjestetään toimituksen kohteena olevan kiinteistön sijaintipaikkakunnalla. Maaoikeuksien sijainnilla </w:t>
      </w:r>
      <w:r w:rsidRPr="00FF6C29">
        <w:rPr>
          <w:sz w:val="22"/>
          <w:szCs w:val="22"/>
        </w:rPr>
        <w:lastRenderedPageBreak/>
        <w:t>ei siten olisi huomattavaa vaikutusta oikeuden saatavuuteen. Huomiota olisi kiinnitettävä myös maaoikeustuomareiden ja -insinöörien määrään.</w:t>
      </w:r>
    </w:p>
    <w:p w14:paraId="7623C4F8" w14:textId="77777777" w:rsidR="00F441D9" w:rsidRPr="00FF6C29" w:rsidRDefault="00F441D9" w:rsidP="00B43FE9">
      <w:pPr>
        <w:ind w:left="1298"/>
        <w:rPr>
          <w:sz w:val="22"/>
          <w:szCs w:val="22"/>
        </w:rPr>
      </w:pPr>
    </w:p>
    <w:p w14:paraId="55486484" w14:textId="47B0CE69" w:rsidR="00FB74A9" w:rsidRPr="00FF6C29" w:rsidRDefault="00674E2A" w:rsidP="00B43FE9">
      <w:pPr>
        <w:ind w:left="1298"/>
        <w:rPr>
          <w:sz w:val="22"/>
          <w:szCs w:val="22"/>
        </w:rPr>
      </w:pPr>
      <w:r w:rsidRPr="00FF6C29">
        <w:rPr>
          <w:sz w:val="22"/>
          <w:szCs w:val="22"/>
        </w:rPr>
        <w:t xml:space="preserve">Oikeusministeriö asetti 31.3.2016 hankkeen käräjäoikeusverkoston </w:t>
      </w:r>
      <w:r w:rsidR="00BA7521" w:rsidRPr="00FF6C29">
        <w:rPr>
          <w:sz w:val="22"/>
          <w:szCs w:val="22"/>
        </w:rPr>
        <w:t>jatko</w:t>
      </w:r>
      <w:r w:rsidRPr="00FF6C29">
        <w:rPr>
          <w:sz w:val="22"/>
          <w:szCs w:val="22"/>
        </w:rPr>
        <w:t>kehittämiseksi</w:t>
      </w:r>
      <w:r w:rsidR="00BA7521" w:rsidRPr="00FF6C29">
        <w:rPr>
          <w:sz w:val="22"/>
          <w:szCs w:val="22"/>
        </w:rPr>
        <w:t xml:space="preserve"> (</w:t>
      </w:r>
      <w:hyperlink r:id="rId8" w:history="1">
        <w:r w:rsidR="00BA7521" w:rsidRPr="00FF6C29">
          <w:rPr>
            <w:rStyle w:val="Hyperlinkki"/>
            <w:sz w:val="22"/>
            <w:szCs w:val="22"/>
          </w:rPr>
          <w:t>OM 3/31/2016</w:t>
        </w:r>
      </w:hyperlink>
      <w:r w:rsidR="00BA7521" w:rsidRPr="00FF6C29">
        <w:rPr>
          <w:sz w:val="22"/>
          <w:szCs w:val="22"/>
        </w:rPr>
        <w:t>)</w:t>
      </w:r>
      <w:r w:rsidRPr="00FF6C29">
        <w:rPr>
          <w:sz w:val="22"/>
          <w:szCs w:val="22"/>
        </w:rPr>
        <w:t>. Hankkeen asettamisen taustalla o</w:t>
      </w:r>
      <w:r w:rsidR="00177CB1" w:rsidRPr="00FF6C29">
        <w:rPr>
          <w:sz w:val="22"/>
          <w:szCs w:val="22"/>
        </w:rPr>
        <w:t>li</w:t>
      </w:r>
      <w:r w:rsidRPr="00FF6C29">
        <w:rPr>
          <w:sz w:val="22"/>
          <w:szCs w:val="22"/>
        </w:rPr>
        <w:t xml:space="preserve"> edellä kirjatun virkamiestyöryhmän mietinnön ja siitä saadun lausuntopalautteen lisäksi selvitysmiesten raportti ”Summaaristen riita-asioiden käsittelyn kehittäminen” (Selvityksiä ja ohjeita </w:t>
      </w:r>
      <w:hyperlink r:id="rId9" w:history="1">
        <w:r w:rsidRPr="00FF6C29">
          <w:rPr>
            <w:rStyle w:val="Hyperlinkki"/>
            <w:sz w:val="22"/>
            <w:szCs w:val="22"/>
          </w:rPr>
          <w:t>52/2014</w:t>
        </w:r>
      </w:hyperlink>
      <w:r w:rsidRPr="00FF6C29">
        <w:rPr>
          <w:sz w:val="22"/>
          <w:szCs w:val="22"/>
        </w:rPr>
        <w:t xml:space="preserve">) lausuntopalautteineen </w:t>
      </w:r>
      <w:r w:rsidR="00B45E5F" w:rsidRPr="00FF6C29">
        <w:rPr>
          <w:sz w:val="22"/>
          <w:szCs w:val="22"/>
        </w:rPr>
        <w:t xml:space="preserve">(Mietintöjä ja lausuntoja </w:t>
      </w:r>
      <w:hyperlink r:id="rId10" w:history="1">
        <w:r w:rsidR="00B45E5F" w:rsidRPr="00FF6C29">
          <w:rPr>
            <w:rStyle w:val="Hyperlinkki"/>
            <w:sz w:val="22"/>
            <w:szCs w:val="22"/>
          </w:rPr>
          <w:t>39/2015</w:t>
        </w:r>
      </w:hyperlink>
      <w:r w:rsidR="00B45E5F" w:rsidRPr="00FF6C29">
        <w:rPr>
          <w:sz w:val="22"/>
          <w:szCs w:val="22"/>
        </w:rPr>
        <w:t>)</w:t>
      </w:r>
      <w:r w:rsidR="00EF29E7">
        <w:rPr>
          <w:sz w:val="22"/>
          <w:szCs w:val="22"/>
        </w:rPr>
        <w:t>. Lainsäädäntö, jolla käräjäoikeuksien määrää vähennetään nykyisestä 27 käräjäoikeudesta 20 käräjäoikeuteen, tulee voimaan 1.1.2019 (HE 270/2016 vp, lait 860–867/2017</w:t>
      </w:r>
      <w:r w:rsidR="00B139B9" w:rsidRPr="00FF6C29">
        <w:rPr>
          <w:sz w:val="22"/>
          <w:szCs w:val="22"/>
        </w:rPr>
        <w:t xml:space="preserve">. </w:t>
      </w:r>
    </w:p>
    <w:p w14:paraId="5544F0B2" w14:textId="77777777" w:rsidR="00FB74A9" w:rsidRPr="00FF6C29" w:rsidRDefault="00FB74A9" w:rsidP="00B43FE9">
      <w:pPr>
        <w:ind w:left="1298"/>
        <w:rPr>
          <w:sz w:val="22"/>
          <w:szCs w:val="22"/>
        </w:rPr>
      </w:pPr>
    </w:p>
    <w:p w14:paraId="50D2C736" w14:textId="77777777" w:rsidR="0039450C" w:rsidRPr="00FF6C29" w:rsidRDefault="00760793" w:rsidP="00B43FE9">
      <w:pPr>
        <w:ind w:left="1298"/>
        <w:rPr>
          <w:sz w:val="22"/>
          <w:szCs w:val="22"/>
        </w:rPr>
      </w:pPr>
      <w:r w:rsidRPr="00FF6C29">
        <w:rPr>
          <w:sz w:val="22"/>
          <w:szCs w:val="22"/>
        </w:rPr>
        <w:t>H</w:t>
      </w:r>
      <w:r w:rsidR="00B139B9" w:rsidRPr="00FF6C29">
        <w:rPr>
          <w:sz w:val="22"/>
          <w:szCs w:val="22"/>
        </w:rPr>
        <w:t xml:space="preserve">ankkeessa </w:t>
      </w:r>
      <w:r w:rsidR="00177CB1" w:rsidRPr="00FF6C29">
        <w:rPr>
          <w:sz w:val="22"/>
          <w:szCs w:val="22"/>
        </w:rPr>
        <w:t xml:space="preserve">on </w:t>
      </w:r>
      <w:r w:rsidR="0039450C" w:rsidRPr="00FF6C29">
        <w:rPr>
          <w:sz w:val="22"/>
          <w:szCs w:val="22"/>
        </w:rPr>
        <w:t>valmistelu myös eräiden e</w:t>
      </w:r>
      <w:r w:rsidR="00B139B9" w:rsidRPr="00FF6C29">
        <w:rPr>
          <w:sz w:val="22"/>
          <w:szCs w:val="22"/>
        </w:rPr>
        <w:t>rityisasiaryhmien</w:t>
      </w:r>
      <w:r w:rsidR="0039450C" w:rsidRPr="00FF6C29">
        <w:rPr>
          <w:sz w:val="22"/>
          <w:szCs w:val="22"/>
        </w:rPr>
        <w:t>, kuten maaoikeusasioiden</w:t>
      </w:r>
      <w:r w:rsidR="00B139B9" w:rsidRPr="00FF6C29">
        <w:rPr>
          <w:sz w:val="22"/>
          <w:szCs w:val="22"/>
        </w:rPr>
        <w:t xml:space="preserve"> käsittelyn keskittämistä</w:t>
      </w:r>
      <w:r w:rsidR="003C7E79" w:rsidRPr="00FF6C29">
        <w:rPr>
          <w:sz w:val="22"/>
          <w:szCs w:val="22"/>
        </w:rPr>
        <w:t xml:space="preserve">. </w:t>
      </w:r>
      <w:r w:rsidR="0039450C" w:rsidRPr="00FF6C29">
        <w:rPr>
          <w:sz w:val="22"/>
          <w:szCs w:val="22"/>
        </w:rPr>
        <w:t xml:space="preserve">Oikeusministeriö on erityisasiaryhmien keskittämistä koskevassa arviomuistiossa </w:t>
      </w:r>
      <w:r w:rsidR="003E713F" w:rsidRPr="00FF6C29">
        <w:rPr>
          <w:sz w:val="22"/>
          <w:szCs w:val="22"/>
        </w:rPr>
        <w:t>2.9.201</w:t>
      </w:r>
      <w:r w:rsidR="00177CB1" w:rsidRPr="00FF6C29">
        <w:rPr>
          <w:sz w:val="22"/>
          <w:szCs w:val="22"/>
        </w:rPr>
        <w:t>6</w:t>
      </w:r>
      <w:r w:rsidR="00FB74A9" w:rsidRPr="00FF6C29">
        <w:rPr>
          <w:sz w:val="22"/>
          <w:szCs w:val="22"/>
        </w:rPr>
        <w:t xml:space="preserve"> </w:t>
      </w:r>
      <w:r w:rsidR="0039450C" w:rsidRPr="00FF6C29">
        <w:rPr>
          <w:sz w:val="22"/>
          <w:szCs w:val="22"/>
        </w:rPr>
        <w:t xml:space="preserve">ottanut kantaa maaoikeusasioita käsitteleviin käräjäoikeuksiin. </w:t>
      </w:r>
      <w:r w:rsidR="00177CB1" w:rsidRPr="00FF6C29">
        <w:rPr>
          <w:sz w:val="22"/>
          <w:szCs w:val="22"/>
        </w:rPr>
        <w:t xml:space="preserve">Muistiossa todetulla tavalla </w:t>
      </w:r>
      <w:r w:rsidR="0039450C" w:rsidRPr="00FF6C29">
        <w:rPr>
          <w:sz w:val="22"/>
          <w:szCs w:val="22"/>
        </w:rPr>
        <w:t>maaoikeuksien asiamäär</w:t>
      </w:r>
      <w:r w:rsidR="00177CB1" w:rsidRPr="00FF6C29">
        <w:rPr>
          <w:sz w:val="22"/>
          <w:szCs w:val="22"/>
        </w:rPr>
        <w:t xml:space="preserve">ät ovat olleet </w:t>
      </w:r>
      <w:r w:rsidR="0039450C" w:rsidRPr="00FF6C29">
        <w:rPr>
          <w:sz w:val="22"/>
          <w:szCs w:val="22"/>
        </w:rPr>
        <w:t>viime vuosina huomattavassa laskussa, mi</w:t>
      </w:r>
      <w:r w:rsidR="00177CB1" w:rsidRPr="00FF6C29">
        <w:rPr>
          <w:sz w:val="22"/>
          <w:szCs w:val="22"/>
        </w:rPr>
        <w:t xml:space="preserve">kä puoltaa </w:t>
      </w:r>
      <w:r w:rsidR="0039450C" w:rsidRPr="00FF6C29">
        <w:rPr>
          <w:sz w:val="22"/>
          <w:szCs w:val="22"/>
        </w:rPr>
        <w:t>maaoikeuksien lukumäärän vähentämis</w:t>
      </w:r>
      <w:r w:rsidR="00177CB1" w:rsidRPr="00FF6C29">
        <w:rPr>
          <w:sz w:val="22"/>
          <w:szCs w:val="22"/>
        </w:rPr>
        <w:t>tä</w:t>
      </w:r>
      <w:r w:rsidR="0039450C" w:rsidRPr="00FF6C29">
        <w:rPr>
          <w:sz w:val="22"/>
          <w:szCs w:val="22"/>
        </w:rPr>
        <w:t xml:space="preserve">. Oikeusministeriö </w:t>
      </w:r>
      <w:r w:rsidR="00177CB1" w:rsidRPr="00FF6C29">
        <w:rPr>
          <w:sz w:val="22"/>
          <w:szCs w:val="22"/>
        </w:rPr>
        <w:t>katsoi kuitenkin</w:t>
      </w:r>
      <w:r w:rsidR="0039450C" w:rsidRPr="00FF6C29">
        <w:rPr>
          <w:sz w:val="22"/>
          <w:szCs w:val="22"/>
        </w:rPr>
        <w:t xml:space="preserve">, että tämän arviointi tulee tehdä käräjäoikeusuudistuksesta erillään. </w:t>
      </w:r>
      <w:r w:rsidR="002817D1" w:rsidRPr="00FF6C29">
        <w:rPr>
          <w:sz w:val="22"/>
          <w:szCs w:val="22"/>
        </w:rPr>
        <w:t>Sen sijaan o</w:t>
      </w:r>
      <w:r w:rsidR="0039450C" w:rsidRPr="00FF6C29">
        <w:rPr>
          <w:sz w:val="22"/>
          <w:szCs w:val="22"/>
        </w:rPr>
        <w:t>ikeusministeriö seuraa</w:t>
      </w:r>
      <w:r w:rsidR="00177CB1" w:rsidRPr="00FF6C29">
        <w:rPr>
          <w:sz w:val="22"/>
          <w:szCs w:val="22"/>
        </w:rPr>
        <w:t xml:space="preserve"> </w:t>
      </w:r>
      <w:r w:rsidR="0039450C" w:rsidRPr="00FF6C29">
        <w:rPr>
          <w:sz w:val="22"/>
          <w:szCs w:val="22"/>
        </w:rPr>
        <w:t>maaoikeuksien asiamäärien kehitystä ja niiden pohjalta tarkastele</w:t>
      </w:r>
      <w:r w:rsidR="00177CB1" w:rsidRPr="00FF6C29">
        <w:rPr>
          <w:sz w:val="22"/>
          <w:szCs w:val="22"/>
        </w:rPr>
        <w:t>e</w:t>
      </w:r>
      <w:r w:rsidR="0039450C" w:rsidRPr="00FF6C29">
        <w:rPr>
          <w:sz w:val="22"/>
          <w:szCs w:val="22"/>
        </w:rPr>
        <w:t xml:space="preserve"> maaoikeusinsinöörien määrää ja yhteistoiminta-alueita sekä arvioi tarvetta maaoikeuksien määrän vähentämiselle. </w:t>
      </w:r>
    </w:p>
    <w:p w14:paraId="413147B2" w14:textId="77777777" w:rsidR="0039450C" w:rsidRPr="00FF6C29" w:rsidRDefault="0039450C" w:rsidP="00B43FE9">
      <w:pPr>
        <w:ind w:left="1298"/>
        <w:rPr>
          <w:sz w:val="22"/>
          <w:szCs w:val="22"/>
        </w:rPr>
      </w:pPr>
    </w:p>
    <w:p w14:paraId="1A9852C8" w14:textId="77777777" w:rsidR="00244E0C" w:rsidRPr="00FF6C29" w:rsidRDefault="0039450C" w:rsidP="002817D1">
      <w:pPr>
        <w:ind w:left="1298"/>
        <w:rPr>
          <w:sz w:val="22"/>
          <w:szCs w:val="22"/>
        </w:rPr>
      </w:pPr>
      <w:r w:rsidRPr="00FF6C29">
        <w:rPr>
          <w:sz w:val="22"/>
          <w:szCs w:val="22"/>
        </w:rPr>
        <w:t xml:space="preserve">Edellä todetun mukaisesti käräjäoikeusverkoston kehittämistä koskevassa hallituksen esityksessä tuomioistuinlain ja eräiden muiden lakien muuttamiseksi (HE 2070/2016 vp) ei </w:t>
      </w:r>
      <w:r w:rsidR="002817D1" w:rsidRPr="00FF6C29">
        <w:rPr>
          <w:sz w:val="22"/>
          <w:szCs w:val="22"/>
        </w:rPr>
        <w:t xml:space="preserve">eräitä lähinnä teknisiä muutoksia lukuun ottamatta </w:t>
      </w:r>
      <w:r w:rsidRPr="00FF6C29">
        <w:rPr>
          <w:sz w:val="22"/>
          <w:szCs w:val="22"/>
        </w:rPr>
        <w:t>esitetty muutoksia maaoikeuksina toimiviin käräjäoi</w:t>
      </w:r>
      <w:r w:rsidR="002817D1" w:rsidRPr="00FF6C29">
        <w:rPr>
          <w:sz w:val="22"/>
          <w:szCs w:val="22"/>
        </w:rPr>
        <w:t xml:space="preserve">keuksiin. </w:t>
      </w:r>
      <w:r w:rsidR="00B04F3C" w:rsidRPr="00FF6C29">
        <w:rPr>
          <w:sz w:val="22"/>
          <w:szCs w:val="22"/>
        </w:rPr>
        <w:t xml:space="preserve">Tasavallan presidentti on 14.12.2017 vahvistanut kyseisen lainsäädännön tulemaan voimaan 1.1.2019 lukien. </w:t>
      </w:r>
    </w:p>
    <w:p w14:paraId="60AC7156" w14:textId="77777777" w:rsidR="00F441D9" w:rsidRPr="00FF6C29" w:rsidRDefault="0039450C" w:rsidP="0039450C">
      <w:pPr>
        <w:pStyle w:val="Otsikko1"/>
      </w:pPr>
      <w:r w:rsidRPr="00FF6C29">
        <w:t>Nykytila</w:t>
      </w:r>
      <w:r w:rsidR="004F5ABF" w:rsidRPr="00FF6C29">
        <w:t xml:space="preserve"> ja nykytilan arviointi</w:t>
      </w:r>
    </w:p>
    <w:p w14:paraId="7109FCC8" w14:textId="23AD8ADB" w:rsidR="00FF6C29" w:rsidRPr="00FF6C29" w:rsidRDefault="00760793" w:rsidP="00481081">
      <w:pPr>
        <w:ind w:left="1298"/>
        <w:rPr>
          <w:sz w:val="22"/>
          <w:szCs w:val="22"/>
        </w:rPr>
      </w:pPr>
      <w:r w:rsidRPr="00FF6C29">
        <w:rPr>
          <w:sz w:val="22"/>
          <w:szCs w:val="22"/>
        </w:rPr>
        <w:t xml:space="preserve">Maaoikeuksia on tällä hetkellä kahdeksan: Etelä-Savon, Kanta-Hämeen, Lapin, Oulun, Pohjanmaan, </w:t>
      </w:r>
      <w:proofErr w:type="spellStart"/>
      <w:r w:rsidRPr="00FF6C29">
        <w:rPr>
          <w:sz w:val="22"/>
          <w:szCs w:val="22"/>
        </w:rPr>
        <w:t>Pohjois</w:t>
      </w:r>
      <w:proofErr w:type="spellEnd"/>
      <w:r w:rsidRPr="00FF6C29">
        <w:rPr>
          <w:sz w:val="22"/>
          <w:szCs w:val="22"/>
        </w:rPr>
        <w:t>-Savon, Vantaan ja Varsinai</w:t>
      </w:r>
      <w:r w:rsidR="003E713F" w:rsidRPr="00FF6C29">
        <w:rPr>
          <w:sz w:val="22"/>
          <w:szCs w:val="22"/>
        </w:rPr>
        <w:t>s-Suomen käräjäoikeudet. Niissä</w:t>
      </w:r>
      <w:r w:rsidR="00DE7EB1" w:rsidRPr="00FF6C29">
        <w:rPr>
          <w:sz w:val="22"/>
          <w:szCs w:val="22"/>
        </w:rPr>
        <w:t xml:space="preserve"> on vuoteen 2013 saakka käsitelty </w:t>
      </w:r>
      <w:r w:rsidRPr="00FF6C29">
        <w:rPr>
          <w:sz w:val="22"/>
          <w:szCs w:val="22"/>
        </w:rPr>
        <w:t>vuosittain yhteensä</w:t>
      </w:r>
      <w:r w:rsidR="00930B38" w:rsidRPr="00FF6C29">
        <w:rPr>
          <w:sz w:val="22"/>
          <w:szCs w:val="22"/>
        </w:rPr>
        <w:t xml:space="preserve"> noin 600–700 asiaa, joista </w:t>
      </w:r>
      <w:r w:rsidR="00177CB1" w:rsidRPr="00FF6C29">
        <w:rPr>
          <w:sz w:val="22"/>
          <w:szCs w:val="22"/>
        </w:rPr>
        <w:t xml:space="preserve">kaksi </w:t>
      </w:r>
      <w:r w:rsidR="00DE7EB1" w:rsidRPr="00FF6C29">
        <w:rPr>
          <w:sz w:val="22"/>
          <w:szCs w:val="22"/>
        </w:rPr>
        <w:t>kolmasosa</w:t>
      </w:r>
      <w:r w:rsidR="00177CB1" w:rsidRPr="00FF6C29">
        <w:rPr>
          <w:sz w:val="22"/>
          <w:szCs w:val="22"/>
        </w:rPr>
        <w:t>a</w:t>
      </w:r>
      <w:r w:rsidR="00DE7EB1" w:rsidRPr="00FF6C29">
        <w:rPr>
          <w:sz w:val="22"/>
          <w:szCs w:val="22"/>
        </w:rPr>
        <w:t xml:space="preserve"> eli noin </w:t>
      </w:r>
      <w:r w:rsidR="00930B38" w:rsidRPr="00FF6C29">
        <w:rPr>
          <w:sz w:val="22"/>
          <w:szCs w:val="22"/>
        </w:rPr>
        <w:t>400–</w:t>
      </w:r>
      <w:r w:rsidRPr="00FF6C29">
        <w:rPr>
          <w:sz w:val="22"/>
          <w:szCs w:val="22"/>
        </w:rPr>
        <w:t xml:space="preserve">500 on </w:t>
      </w:r>
      <w:r w:rsidR="00DE7EB1" w:rsidRPr="00FF6C29">
        <w:rPr>
          <w:sz w:val="22"/>
          <w:szCs w:val="22"/>
        </w:rPr>
        <w:t xml:space="preserve">ollut </w:t>
      </w:r>
      <w:r w:rsidRPr="00FF6C29">
        <w:rPr>
          <w:sz w:val="22"/>
          <w:szCs w:val="22"/>
        </w:rPr>
        <w:t xml:space="preserve">varsinaisia asiaratkaisuja. </w:t>
      </w:r>
      <w:r w:rsidR="00DE7EB1" w:rsidRPr="00FF6C29">
        <w:rPr>
          <w:sz w:val="22"/>
          <w:szCs w:val="22"/>
        </w:rPr>
        <w:t>S</w:t>
      </w:r>
      <w:r w:rsidR="0061346C" w:rsidRPr="00FF6C29">
        <w:rPr>
          <w:sz w:val="22"/>
          <w:szCs w:val="22"/>
        </w:rPr>
        <w:t>aapuvien asioiden määrä on</w:t>
      </w:r>
      <w:r w:rsidR="003E713F" w:rsidRPr="00FF6C29">
        <w:rPr>
          <w:sz w:val="22"/>
          <w:szCs w:val="22"/>
        </w:rPr>
        <w:t xml:space="preserve"> </w:t>
      </w:r>
      <w:r w:rsidR="00DE7EB1" w:rsidRPr="00FF6C29">
        <w:rPr>
          <w:sz w:val="22"/>
          <w:szCs w:val="22"/>
        </w:rPr>
        <w:t>kuitenkin viimeisen kolmen vuoden aikana laskenut merkittävästi. Esimerkiksi vuonna 2016 saapui vain</w:t>
      </w:r>
      <w:r w:rsidR="00B04F3C" w:rsidRPr="00FF6C29">
        <w:rPr>
          <w:sz w:val="22"/>
          <w:szCs w:val="22"/>
        </w:rPr>
        <w:t xml:space="preserve"> 425 asiaa, mikä on vuoteen 2015</w:t>
      </w:r>
      <w:r w:rsidR="00DE7EB1" w:rsidRPr="00FF6C29">
        <w:rPr>
          <w:sz w:val="22"/>
          <w:szCs w:val="22"/>
        </w:rPr>
        <w:t xml:space="preserve"> verrattuna</w:t>
      </w:r>
      <w:r w:rsidR="00177CB1" w:rsidRPr="00FF6C29">
        <w:rPr>
          <w:sz w:val="22"/>
          <w:szCs w:val="22"/>
        </w:rPr>
        <w:t xml:space="preserve"> 21 % vähemmän</w:t>
      </w:r>
      <w:r w:rsidR="00DE7EB1" w:rsidRPr="00FF6C29">
        <w:rPr>
          <w:sz w:val="22"/>
          <w:szCs w:val="22"/>
        </w:rPr>
        <w:t xml:space="preserve">. Vastaavasti vuonna 2015 saapui yhteensä 535 asiaa eli 8 % vähemmän kuin vuonna </w:t>
      </w:r>
      <w:r w:rsidR="003E713F" w:rsidRPr="00FF6C29">
        <w:rPr>
          <w:sz w:val="22"/>
          <w:szCs w:val="22"/>
        </w:rPr>
        <w:t>201</w:t>
      </w:r>
      <w:r w:rsidR="00DE7EB1" w:rsidRPr="00FF6C29">
        <w:rPr>
          <w:sz w:val="22"/>
          <w:szCs w:val="22"/>
        </w:rPr>
        <w:t>4</w:t>
      </w:r>
      <w:r w:rsidR="0061346C" w:rsidRPr="00FF6C29">
        <w:rPr>
          <w:sz w:val="22"/>
          <w:szCs w:val="22"/>
        </w:rPr>
        <w:t xml:space="preserve">. </w:t>
      </w:r>
      <w:r w:rsidR="00D1275B" w:rsidRPr="00FF6C29">
        <w:rPr>
          <w:sz w:val="22"/>
          <w:szCs w:val="22"/>
        </w:rPr>
        <w:t>V</w:t>
      </w:r>
      <w:r w:rsidR="00057907">
        <w:rPr>
          <w:sz w:val="22"/>
          <w:szCs w:val="22"/>
        </w:rPr>
        <w:t>uonna</w:t>
      </w:r>
      <w:r w:rsidR="00D1275B" w:rsidRPr="00FF6C29">
        <w:rPr>
          <w:sz w:val="22"/>
          <w:szCs w:val="22"/>
        </w:rPr>
        <w:t xml:space="preserve"> 2017 saapu</w:t>
      </w:r>
      <w:r w:rsidR="00057907">
        <w:rPr>
          <w:sz w:val="22"/>
          <w:szCs w:val="22"/>
        </w:rPr>
        <w:t xml:space="preserve">i </w:t>
      </w:r>
      <w:r w:rsidR="00D1275B" w:rsidRPr="00FF6C29">
        <w:rPr>
          <w:sz w:val="22"/>
          <w:szCs w:val="22"/>
        </w:rPr>
        <w:t xml:space="preserve">yhteensä 388 ja ratkaistuja 408. </w:t>
      </w:r>
      <w:r w:rsidR="00057907">
        <w:rPr>
          <w:sz w:val="22"/>
          <w:szCs w:val="22"/>
        </w:rPr>
        <w:t>Tämä on noin 8</w:t>
      </w:r>
      <w:r w:rsidR="00FF6C29" w:rsidRPr="00FF6C29">
        <w:rPr>
          <w:sz w:val="22"/>
          <w:szCs w:val="22"/>
        </w:rPr>
        <w:t xml:space="preserve"> % vähemmän kuin vuonna 2016. Saapuneista niin sanottuja </w:t>
      </w:r>
      <w:r w:rsidR="00D1275B" w:rsidRPr="00FF6C29">
        <w:rPr>
          <w:sz w:val="22"/>
          <w:szCs w:val="22"/>
        </w:rPr>
        <w:t>varsinaisia maaoikeusasioita</w:t>
      </w:r>
      <w:r w:rsidR="006606F6">
        <w:rPr>
          <w:sz w:val="22"/>
          <w:szCs w:val="22"/>
        </w:rPr>
        <w:t xml:space="preserve"> vuonna 2017</w:t>
      </w:r>
      <w:r w:rsidR="00D1275B" w:rsidRPr="00FF6C29">
        <w:rPr>
          <w:sz w:val="22"/>
          <w:szCs w:val="22"/>
        </w:rPr>
        <w:t xml:space="preserve"> </w:t>
      </w:r>
      <w:r w:rsidR="00FF6C29" w:rsidRPr="00FF6C29">
        <w:rPr>
          <w:sz w:val="22"/>
          <w:szCs w:val="22"/>
        </w:rPr>
        <w:t xml:space="preserve">oli </w:t>
      </w:r>
      <w:r w:rsidR="00D1275B" w:rsidRPr="00FF6C29">
        <w:rPr>
          <w:sz w:val="22"/>
          <w:szCs w:val="22"/>
        </w:rPr>
        <w:t xml:space="preserve">vain 301 ja ratkaistuista 324 asiaa. </w:t>
      </w:r>
      <w:r w:rsidR="00FF6C29" w:rsidRPr="00FF6C29">
        <w:rPr>
          <w:sz w:val="22"/>
          <w:szCs w:val="22"/>
        </w:rPr>
        <w:t xml:space="preserve">Vastaavasti vuonna 2016 varsinaisia maaoikeusasioita saapui noin 317 ja ratkaistiin 393. </w:t>
      </w:r>
    </w:p>
    <w:p w14:paraId="0E4B0A71" w14:textId="77777777" w:rsidR="00FF6C29" w:rsidRPr="00FF6C29" w:rsidRDefault="00FF6C29" w:rsidP="00481081">
      <w:pPr>
        <w:ind w:left="1298"/>
        <w:rPr>
          <w:sz w:val="22"/>
          <w:szCs w:val="22"/>
        </w:rPr>
      </w:pPr>
    </w:p>
    <w:p w14:paraId="5284D04D" w14:textId="49DD40EF" w:rsidR="00481081" w:rsidRPr="00FF6C29" w:rsidRDefault="00FF6C29" w:rsidP="00481081">
      <w:pPr>
        <w:ind w:left="1298"/>
        <w:rPr>
          <w:sz w:val="22"/>
          <w:szCs w:val="22"/>
        </w:rPr>
      </w:pPr>
      <w:r w:rsidRPr="00FF6C29">
        <w:rPr>
          <w:sz w:val="22"/>
          <w:szCs w:val="22"/>
        </w:rPr>
        <w:t>A</w:t>
      </w:r>
      <w:r w:rsidR="00481081" w:rsidRPr="00FF6C29">
        <w:rPr>
          <w:sz w:val="22"/>
          <w:szCs w:val="22"/>
        </w:rPr>
        <w:t>siamäärät maaoikeusasioissa vaihtelevat vuosittain varsin paljon. Esimerkiksi vuoden 2017</w:t>
      </w:r>
      <w:r w:rsidR="00D1275B" w:rsidRPr="00FF6C29">
        <w:rPr>
          <w:sz w:val="22"/>
          <w:szCs w:val="22"/>
        </w:rPr>
        <w:t xml:space="preserve"> ennakkoarvion mukaan saapuneiden asioiden määrä on vähentynyt noin </w:t>
      </w:r>
      <w:r w:rsidR="007D53FE">
        <w:rPr>
          <w:sz w:val="22"/>
          <w:szCs w:val="22"/>
        </w:rPr>
        <w:t>8</w:t>
      </w:r>
      <w:r w:rsidR="00481081" w:rsidRPr="00FF6C29">
        <w:rPr>
          <w:sz w:val="22"/>
          <w:szCs w:val="22"/>
        </w:rPr>
        <w:t xml:space="preserve"> % </w:t>
      </w:r>
      <w:r w:rsidR="00D1275B" w:rsidRPr="00FF6C29">
        <w:rPr>
          <w:sz w:val="22"/>
          <w:szCs w:val="22"/>
        </w:rPr>
        <w:t xml:space="preserve">vuoteen </w:t>
      </w:r>
      <w:r w:rsidR="00481081" w:rsidRPr="00FF6C29">
        <w:rPr>
          <w:sz w:val="22"/>
          <w:szCs w:val="22"/>
        </w:rPr>
        <w:t>2016</w:t>
      </w:r>
      <w:r w:rsidR="00D1275B" w:rsidRPr="00FF6C29">
        <w:rPr>
          <w:sz w:val="22"/>
          <w:szCs w:val="22"/>
        </w:rPr>
        <w:t xml:space="preserve"> verrattuna</w:t>
      </w:r>
      <w:r w:rsidR="00481081" w:rsidRPr="00FF6C29">
        <w:rPr>
          <w:sz w:val="22"/>
          <w:szCs w:val="22"/>
        </w:rPr>
        <w:t xml:space="preserve">. Sen sijaan vuonna 2016 asiamäärät olivat </w:t>
      </w:r>
      <w:r w:rsidR="00D1275B" w:rsidRPr="00FF6C29">
        <w:rPr>
          <w:sz w:val="22"/>
          <w:szCs w:val="22"/>
        </w:rPr>
        <w:t xml:space="preserve">yli </w:t>
      </w:r>
      <w:r w:rsidR="00481081" w:rsidRPr="00FF6C29">
        <w:rPr>
          <w:sz w:val="22"/>
          <w:szCs w:val="22"/>
        </w:rPr>
        <w:t>2</w:t>
      </w:r>
      <w:r w:rsidR="00D1275B" w:rsidRPr="00FF6C29">
        <w:rPr>
          <w:sz w:val="22"/>
          <w:szCs w:val="22"/>
        </w:rPr>
        <w:t>0</w:t>
      </w:r>
      <w:r w:rsidR="00481081" w:rsidRPr="00FF6C29">
        <w:rPr>
          <w:sz w:val="22"/>
          <w:szCs w:val="22"/>
        </w:rPr>
        <w:t xml:space="preserve"> % pienemmät kuin vuonna 2015. </w:t>
      </w:r>
    </w:p>
    <w:p w14:paraId="4C37EE91" w14:textId="77777777" w:rsidR="00481081" w:rsidRPr="00FF6C29" w:rsidRDefault="00481081" w:rsidP="00481081">
      <w:pPr>
        <w:ind w:left="1298"/>
        <w:rPr>
          <w:sz w:val="22"/>
          <w:szCs w:val="22"/>
        </w:rPr>
      </w:pPr>
    </w:p>
    <w:p w14:paraId="18C80D4A" w14:textId="77777777" w:rsidR="00481081" w:rsidRPr="00FF6C29" w:rsidRDefault="00481081" w:rsidP="00B43FE9">
      <w:pPr>
        <w:ind w:left="1298"/>
        <w:rPr>
          <w:sz w:val="22"/>
          <w:szCs w:val="22"/>
        </w:rPr>
      </w:pPr>
      <w:r w:rsidRPr="00FF6C29">
        <w:rPr>
          <w:sz w:val="22"/>
          <w:szCs w:val="22"/>
        </w:rPr>
        <w:t xml:space="preserve">Asiamäärät vaihtelevat myös maaoikeuksittain. </w:t>
      </w:r>
      <w:r w:rsidR="00486B6D" w:rsidRPr="00FF6C29">
        <w:rPr>
          <w:sz w:val="22"/>
          <w:szCs w:val="22"/>
        </w:rPr>
        <w:t xml:space="preserve">Määrällisesti eniten asioita saapuu Kanta-Hämeen, Itä-Uudenmaan ja Varsinais-Suomen maaoikeuksiin (esim. vuonna 2012 yli 100 asiaa kuhunkin), joskin myös Lapin maaoikeuden asiamäärät ovat olleet joinakin vuosina </w:t>
      </w:r>
      <w:r w:rsidR="00177CB1" w:rsidRPr="00FF6C29">
        <w:rPr>
          <w:sz w:val="22"/>
          <w:szCs w:val="22"/>
        </w:rPr>
        <w:t xml:space="preserve">lähes </w:t>
      </w:r>
      <w:r w:rsidR="00486B6D" w:rsidRPr="00FF6C29">
        <w:rPr>
          <w:sz w:val="22"/>
          <w:szCs w:val="22"/>
        </w:rPr>
        <w:t xml:space="preserve">vastaavalla tasolla. </w:t>
      </w:r>
      <w:r w:rsidRPr="00FF6C29">
        <w:rPr>
          <w:sz w:val="22"/>
          <w:szCs w:val="22"/>
        </w:rPr>
        <w:t xml:space="preserve">Keskimäärin vähiten asioita saapuu Oulun ja Pohjanmaan maaoikeuksiin. </w:t>
      </w:r>
    </w:p>
    <w:p w14:paraId="4DB296D7" w14:textId="77777777" w:rsidR="00481081" w:rsidRPr="00FF6C29" w:rsidRDefault="00481081" w:rsidP="00B43FE9">
      <w:pPr>
        <w:ind w:left="1298"/>
        <w:rPr>
          <w:sz w:val="22"/>
          <w:szCs w:val="22"/>
        </w:rPr>
      </w:pPr>
    </w:p>
    <w:p w14:paraId="57519078" w14:textId="1F49C1F4" w:rsidR="00DE7EB1" w:rsidRPr="00FF6C29" w:rsidRDefault="00486B6D" w:rsidP="00B43FE9">
      <w:pPr>
        <w:ind w:left="1298"/>
        <w:rPr>
          <w:sz w:val="22"/>
          <w:szCs w:val="22"/>
        </w:rPr>
      </w:pPr>
      <w:r w:rsidRPr="00FF6C29">
        <w:rPr>
          <w:sz w:val="22"/>
          <w:szCs w:val="22"/>
        </w:rPr>
        <w:t xml:space="preserve">Joka tapauksessa on tilastojen valossa selvää, että maaoikeusasioiden määrä on viimeisen </w:t>
      </w:r>
      <w:r w:rsidR="00FF6C29" w:rsidRPr="00FF6C29">
        <w:rPr>
          <w:sz w:val="22"/>
          <w:szCs w:val="22"/>
        </w:rPr>
        <w:t xml:space="preserve">kolmen </w:t>
      </w:r>
      <w:r w:rsidRPr="00FF6C29">
        <w:rPr>
          <w:sz w:val="22"/>
          <w:szCs w:val="22"/>
        </w:rPr>
        <w:t xml:space="preserve">vuoden aikana </w:t>
      </w:r>
      <w:r w:rsidR="00FF6C29" w:rsidRPr="00FF6C29">
        <w:rPr>
          <w:sz w:val="22"/>
          <w:szCs w:val="22"/>
        </w:rPr>
        <w:t xml:space="preserve">laskenut </w:t>
      </w:r>
      <w:r w:rsidRPr="00FF6C29">
        <w:rPr>
          <w:sz w:val="22"/>
          <w:szCs w:val="22"/>
        </w:rPr>
        <w:t xml:space="preserve">merkittävästi. </w:t>
      </w:r>
      <w:r w:rsidR="0061346C" w:rsidRPr="00FF6C29">
        <w:rPr>
          <w:sz w:val="22"/>
          <w:szCs w:val="22"/>
        </w:rPr>
        <w:t>Osa vähentymisestä selitty</w:t>
      </w:r>
      <w:r w:rsidR="00DE7EB1" w:rsidRPr="00FF6C29">
        <w:rPr>
          <w:sz w:val="22"/>
          <w:szCs w:val="22"/>
        </w:rPr>
        <w:t xml:space="preserve">y </w:t>
      </w:r>
      <w:r w:rsidR="0061346C" w:rsidRPr="00FF6C29">
        <w:rPr>
          <w:sz w:val="22"/>
          <w:szCs w:val="22"/>
        </w:rPr>
        <w:t xml:space="preserve">normaalilla vuosittaisella vaihtelulla, mutta myös tuomioistuinmaksulain (1455/2015) voimaan tulolla vuoden 2016 </w:t>
      </w:r>
      <w:r w:rsidR="0061346C" w:rsidRPr="00FF6C29">
        <w:rPr>
          <w:sz w:val="22"/>
          <w:szCs w:val="22"/>
        </w:rPr>
        <w:lastRenderedPageBreak/>
        <w:t xml:space="preserve">alusta voi olla vaikutusta saapuneiden asioiden määrän laskuun. </w:t>
      </w:r>
      <w:r w:rsidR="00FE4DEA" w:rsidRPr="00FF6C29">
        <w:rPr>
          <w:sz w:val="22"/>
          <w:szCs w:val="22"/>
        </w:rPr>
        <w:t>Asiamäärien kehitys</w:t>
      </w:r>
      <w:r w:rsidR="0061346C" w:rsidRPr="00FF6C29">
        <w:rPr>
          <w:sz w:val="22"/>
          <w:szCs w:val="22"/>
        </w:rPr>
        <w:t xml:space="preserve"> viiden viime vuoden ajalta on kuvattu </w:t>
      </w:r>
      <w:r w:rsidR="002A78FB" w:rsidRPr="00FF6C29">
        <w:rPr>
          <w:sz w:val="22"/>
          <w:szCs w:val="22"/>
        </w:rPr>
        <w:t>alla. Tarkempi maaoikeuskohtainen erittely on liitteenä (Lii</w:t>
      </w:r>
      <w:r w:rsidR="00177CB1" w:rsidRPr="00FF6C29">
        <w:rPr>
          <w:sz w:val="22"/>
          <w:szCs w:val="22"/>
        </w:rPr>
        <w:t xml:space="preserve">te </w:t>
      </w:r>
      <w:r w:rsidR="006F486E" w:rsidRPr="00FF6C29">
        <w:rPr>
          <w:sz w:val="22"/>
          <w:szCs w:val="22"/>
        </w:rPr>
        <w:t>1</w:t>
      </w:r>
      <w:r w:rsidR="002A78FB" w:rsidRPr="00FF6C29">
        <w:rPr>
          <w:sz w:val="22"/>
          <w:szCs w:val="22"/>
        </w:rPr>
        <w:t xml:space="preserve">). </w:t>
      </w:r>
    </w:p>
    <w:p w14:paraId="3F9F211E" w14:textId="77777777" w:rsidR="00177CB1" w:rsidRPr="00FF6C29" w:rsidRDefault="00177CB1" w:rsidP="00B43FE9">
      <w:pPr>
        <w:ind w:left="1298"/>
        <w:rPr>
          <w:sz w:val="22"/>
          <w:szCs w:val="22"/>
        </w:rPr>
      </w:pPr>
    </w:p>
    <w:p w14:paraId="56C64CBF" w14:textId="6BA27293" w:rsidR="002A78FB" w:rsidRPr="00FF6C29" w:rsidRDefault="002A78FB" w:rsidP="002A78FB">
      <w:pPr>
        <w:ind w:left="1298"/>
        <w:rPr>
          <w:rFonts w:ascii="Times New Roman" w:hAnsi="Times New Roman"/>
          <w:lang w:eastAsia="fi-FI"/>
        </w:rPr>
      </w:pPr>
      <w:r w:rsidRPr="00FF6C29">
        <w:rPr>
          <w:color w:val="000000"/>
          <w:sz w:val="22"/>
          <w:szCs w:val="22"/>
          <w:lang w:eastAsia="fi-FI"/>
        </w:rPr>
        <w:t>Taulukko 1: Saapuneet ja ratkaistut maaoikeusasiat vuosina 2012–2017.</w:t>
      </w:r>
      <w:r w:rsidRPr="00FF6C29">
        <w:rPr>
          <w:lang w:eastAsia="fi-FI"/>
        </w:rPr>
        <w:fldChar w:fldCharType="begin"/>
      </w:r>
      <w:r w:rsidRPr="00FF6C29">
        <w:rPr>
          <w:lang w:eastAsia="fi-FI"/>
        </w:rPr>
        <w:instrText xml:space="preserve"> LINK Excel.Sheet.12 "\\\\ohna01\\Data\\OM92xx\\OHO\\Tuomioistuinyksikkö\\Maaoikeudet\\Asiamäärät 2012-2016.xlsx" "Taul1!R3S1:R9S4" \a \f 4 \h </w:instrText>
      </w:r>
      <w:r w:rsidR="00D1275B" w:rsidRPr="00FF6C29">
        <w:rPr>
          <w:lang w:eastAsia="fi-FI"/>
        </w:rPr>
        <w:instrText xml:space="preserve"> \* MERGEFORMAT </w:instrText>
      </w:r>
      <w:r w:rsidRPr="00FF6C29">
        <w:rPr>
          <w:lang w:eastAsia="fi-FI"/>
        </w:rPr>
        <w:fldChar w:fldCharType="separate"/>
      </w:r>
    </w:p>
    <w:tbl>
      <w:tblPr>
        <w:tblW w:w="4700" w:type="dxa"/>
        <w:tblInd w:w="1267" w:type="dxa"/>
        <w:tblCellMar>
          <w:left w:w="70" w:type="dxa"/>
          <w:right w:w="70" w:type="dxa"/>
        </w:tblCellMar>
        <w:tblLook w:val="04A0" w:firstRow="1" w:lastRow="0" w:firstColumn="1" w:lastColumn="0" w:noHBand="0" w:noVBand="1"/>
      </w:tblPr>
      <w:tblGrid>
        <w:gridCol w:w="1071"/>
        <w:gridCol w:w="1169"/>
        <w:gridCol w:w="1240"/>
        <w:gridCol w:w="1220"/>
      </w:tblGrid>
      <w:tr w:rsidR="002A78FB" w:rsidRPr="00FF6C29" w14:paraId="2D76C448" w14:textId="77777777" w:rsidTr="002A78FB">
        <w:trPr>
          <w:trHeight w:val="288"/>
        </w:trPr>
        <w:tc>
          <w:tcPr>
            <w:tcW w:w="1071" w:type="dxa"/>
            <w:tcBorders>
              <w:top w:val="single" w:sz="4" w:space="0" w:color="000000"/>
              <w:left w:val="nil"/>
              <w:bottom w:val="single" w:sz="4" w:space="0" w:color="000000"/>
              <w:right w:val="nil"/>
            </w:tcBorders>
            <w:shd w:val="clear" w:color="auto" w:fill="auto"/>
            <w:noWrap/>
            <w:vAlign w:val="bottom"/>
            <w:hideMark/>
          </w:tcPr>
          <w:p w14:paraId="107B14DB" w14:textId="77777777" w:rsidR="002A78FB" w:rsidRPr="00FF6C29" w:rsidRDefault="002A78FB" w:rsidP="002A78FB">
            <w:pPr>
              <w:rPr>
                <w:b/>
                <w:bCs/>
                <w:color w:val="000000"/>
                <w:sz w:val="22"/>
                <w:szCs w:val="22"/>
                <w:lang w:eastAsia="fi-FI"/>
              </w:rPr>
            </w:pPr>
            <w:r w:rsidRPr="00FF6C29">
              <w:rPr>
                <w:b/>
                <w:bCs/>
                <w:color w:val="000000"/>
                <w:sz w:val="22"/>
                <w:szCs w:val="22"/>
                <w:lang w:eastAsia="fi-FI"/>
              </w:rPr>
              <w:t>Vuosi</w:t>
            </w:r>
          </w:p>
        </w:tc>
        <w:tc>
          <w:tcPr>
            <w:tcW w:w="1169" w:type="dxa"/>
            <w:tcBorders>
              <w:top w:val="single" w:sz="4" w:space="0" w:color="000000"/>
              <w:left w:val="nil"/>
              <w:bottom w:val="single" w:sz="4" w:space="0" w:color="000000"/>
              <w:right w:val="nil"/>
            </w:tcBorders>
            <w:shd w:val="clear" w:color="auto" w:fill="auto"/>
            <w:noWrap/>
            <w:vAlign w:val="bottom"/>
            <w:hideMark/>
          </w:tcPr>
          <w:p w14:paraId="5CDBC463" w14:textId="77777777" w:rsidR="002A78FB" w:rsidRPr="00FF6C29" w:rsidRDefault="002A78FB" w:rsidP="002A78FB">
            <w:pPr>
              <w:rPr>
                <w:b/>
                <w:bCs/>
                <w:color w:val="000000"/>
                <w:sz w:val="22"/>
                <w:szCs w:val="22"/>
                <w:lang w:eastAsia="fi-FI"/>
              </w:rPr>
            </w:pPr>
            <w:r w:rsidRPr="00FF6C29">
              <w:rPr>
                <w:b/>
                <w:bCs/>
                <w:color w:val="000000"/>
                <w:sz w:val="22"/>
                <w:szCs w:val="22"/>
                <w:lang w:eastAsia="fi-FI"/>
              </w:rPr>
              <w:t>Saapuneet</w:t>
            </w:r>
          </w:p>
        </w:tc>
        <w:tc>
          <w:tcPr>
            <w:tcW w:w="1240" w:type="dxa"/>
            <w:tcBorders>
              <w:top w:val="single" w:sz="4" w:space="0" w:color="000000"/>
              <w:left w:val="nil"/>
              <w:bottom w:val="single" w:sz="4" w:space="0" w:color="000000"/>
              <w:right w:val="nil"/>
            </w:tcBorders>
            <w:shd w:val="clear" w:color="auto" w:fill="auto"/>
            <w:noWrap/>
            <w:vAlign w:val="bottom"/>
            <w:hideMark/>
          </w:tcPr>
          <w:p w14:paraId="7609F7F5" w14:textId="77777777" w:rsidR="002A78FB" w:rsidRPr="00FF6C29" w:rsidRDefault="002A78FB" w:rsidP="002A78FB">
            <w:pPr>
              <w:rPr>
                <w:b/>
                <w:bCs/>
                <w:color w:val="000000"/>
                <w:sz w:val="22"/>
                <w:szCs w:val="22"/>
                <w:lang w:eastAsia="fi-FI"/>
              </w:rPr>
            </w:pPr>
            <w:r w:rsidRPr="00FF6C29">
              <w:rPr>
                <w:b/>
                <w:bCs/>
                <w:color w:val="000000"/>
                <w:sz w:val="22"/>
                <w:szCs w:val="22"/>
                <w:lang w:eastAsia="fi-FI"/>
              </w:rPr>
              <w:t>%-muutos</w:t>
            </w:r>
          </w:p>
        </w:tc>
        <w:tc>
          <w:tcPr>
            <w:tcW w:w="1220" w:type="dxa"/>
            <w:tcBorders>
              <w:top w:val="single" w:sz="4" w:space="0" w:color="000000"/>
              <w:left w:val="nil"/>
              <w:bottom w:val="single" w:sz="4" w:space="0" w:color="000000"/>
              <w:right w:val="nil"/>
            </w:tcBorders>
            <w:shd w:val="clear" w:color="auto" w:fill="auto"/>
            <w:noWrap/>
            <w:vAlign w:val="bottom"/>
            <w:hideMark/>
          </w:tcPr>
          <w:p w14:paraId="777A64B7" w14:textId="77777777" w:rsidR="002A78FB" w:rsidRPr="00FF6C29" w:rsidRDefault="002A78FB" w:rsidP="002A78FB">
            <w:pPr>
              <w:rPr>
                <w:b/>
                <w:bCs/>
                <w:color w:val="000000"/>
                <w:sz w:val="22"/>
                <w:szCs w:val="22"/>
                <w:lang w:eastAsia="fi-FI"/>
              </w:rPr>
            </w:pPr>
            <w:r w:rsidRPr="00FF6C29">
              <w:rPr>
                <w:b/>
                <w:bCs/>
                <w:color w:val="000000"/>
                <w:sz w:val="22"/>
                <w:szCs w:val="22"/>
                <w:lang w:eastAsia="fi-FI"/>
              </w:rPr>
              <w:t>Ratkaistut</w:t>
            </w:r>
          </w:p>
        </w:tc>
      </w:tr>
      <w:tr w:rsidR="002A78FB" w:rsidRPr="00FF6C29" w14:paraId="298C3DE5" w14:textId="77777777" w:rsidTr="002A78FB">
        <w:trPr>
          <w:trHeight w:val="288"/>
        </w:trPr>
        <w:tc>
          <w:tcPr>
            <w:tcW w:w="1071" w:type="dxa"/>
            <w:tcBorders>
              <w:top w:val="nil"/>
              <w:left w:val="nil"/>
              <w:bottom w:val="nil"/>
              <w:right w:val="nil"/>
            </w:tcBorders>
            <w:shd w:val="clear" w:color="D9D9D9" w:fill="D9D9D9"/>
            <w:noWrap/>
            <w:vAlign w:val="bottom"/>
            <w:hideMark/>
          </w:tcPr>
          <w:p w14:paraId="4054C51D" w14:textId="77777777" w:rsidR="002A78FB" w:rsidRPr="00FF6C29" w:rsidRDefault="002A78FB" w:rsidP="002A78FB">
            <w:pPr>
              <w:jc w:val="right"/>
              <w:rPr>
                <w:color w:val="000000"/>
                <w:sz w:val="22"/>
                <w:szCs w:val="22"/>
                <w:lang w:eastAsia="fi-FI"/>
              </w:rPr>
            </w:pPr>
            <w:r w:rsidRPr="00FF6C29">
              <w:rPr>
                <w:color w:val="000000"/>
                <w:sz w:val="22"/>
                <w:szCs w:val="22"/>
                <w:lang w:eastAsia="fi-FI"/>
              </w:rPr>
              <w:t>2012</w:t>
            </w:r>
          </w:p>
        </w:tc>
        <w:tc>
          <w:tcPr>
            <w:tcW w:w="1169" w:type="dxa"/>
            <w:tcBorders>
              <w:top w:val="nil"/>
              <w:left w:val="nil"/>
              <w:bottom w:val="nil"/>
              <w:right w:val="nil"/>
            </w:tcBorders>
            <w:shd w:val="clear" w:color="D9D9D9" w:fill="D9D9D9"/>
            <w:noWrap/>
            <w:vAlign w:val="bottom"/>
            <w:hideMark/>
          </w:tcPr>
          <w:p w14:paraId="0F1AC3E7" w14:textId="77777777" w:rsidR="002A78FB" w:rsidRPr="00FF6C29" w:rsidRDefault="002A78FB" w:rsidP="002A78FB">
            <w:pPr>
              <w:jc w:val="right"/>
              <w:rPr>
                <w:color w:val="000000"/>
                <w:sz w:val="22"/>
                <w:szCs w:val="22"/>
                <w:lang w:eastAsia="fi-FI"/>
              </w:rPr>
            </w:pPr>
            <w:r w:rsidRPr="00FF6C29">
              <w:rPr>
                <w:color w:val="000000"/>
                <w:sz w:val="22"/>
                <w:szCs w:val="22"/>
                <w:lang w:eastAsia="fi-FI"/>
              </w:rPr>
              <w:t>641</w:t>
            </w:r>
          </w:p>
        </w:tc>
        <w:tc>
          <w:tcPr>
            <w:tcW w:w="1240" w:type="dxa"/>
            <w:tcBorders>
              <w:top w:val="nil"/>
              <w:left w:val="nil"/>
              <w:bottom w:val="nil"/>
              <w:right w:val="nil"/>
            </w:tcBorders>
            <w:shd w:val="clear" w:color="D9D9D9" w:fill="D9D9D9"/>
            <w:noWrap/>
            <w:vAlign w:val="bottom"/>
            <w:hideMark/>
          </w:tcPr>
          <w:p w14:paraId="10DA2AA5" w14:textId="77777777" w:rsidR="002A78FB" w:rsidRPr="00FF6C29" w:rsidRDefault="002A78FB" w:rsidP="002A78FB">
            <w:pPr>
              <w:jc w:val="right"/>
              <w:rPr>
                <w:color w:val="000000"/>
                <w:sz w:val="22"/>
                <w:szCs w:val="22"/>
                <w:lang w:eastAsia="fi-FI"/>
              </w:rPr>
            </w:pPr>
            <w:r w:rsidRPr="00FF6C29">
              <w:rPr>
                <w:color w:val="000000"/>
                <w:sz w:val="22"/>
                <w:szCs w:val="22"/>
                <w:lang w:eastAsia="fi-FI"/>
              </w:rPr>
              <w:t>2 %</w:t>
            </w:r>
          </w:p>
        </w:tc>
        <w:tc>
          <w:tcPr>
            <w:tcW w:w="1220" w:type="dxa"/>
            <w:tcBorders>
              <w:top w:val="nil"/>
              <w:left w:val="nil"/>
              <w:bottom w:val="nil"/>
              <w:right w:val="nil"/>
            </w:tcBorders>
            <w:shd w:val="clear" w:color="D9D9D9" w:fill="D9D9D9"/>
            <w:noWrap/>
            <w:vAlign w:val="bottom"/>
            <w:hideMark/>
          </w:tcPr>
          <w:p w14:paraId="1CA2B87C" w14:textId="77777777" w:rsidR="002A78FB" w:rsidRPr="00FF6C29" w:rsidRDefault="002A78FB" w:rsidP="002A78FB">
            <w:pPr>
              <w:jc w:val="right"/>
              <w:rPr>
                <w:color w:val="000000"/>
                <w:sz w:val="22"/>
                <w:szCs w:val="22"/>
                <w:lang w:eastAsia="fi-FI"/>
              </w:rPr>
            </w:pPr>
            <w:r w:rsidRPr="00FF6C29">
              <w:rPr>
                <w:color w:val="000000"/>
                <w:sz w:val="22"/>
                <w:szCs w:val="22"/>
                <w:lang w:eastAsia="fi-FI"/>
              </w:rPr>
              <w:t>662</w:t>
            </w:r>
          </w:p>
        </w:tc>
      </w:tr>
      <w:tr w:rsidR="002A78FB" w:rsidRPr="00FF6C29" w14:paraId="39A2EC63" w14:textId="77777777" w:rsidTr="002A78FB">
        <w:trPr>
          <w:trHeight w:val="288"/>
        </w:trPr>
        <w:tc>
          <w:tcPr>
            <w:tcW w:w="1071" w:type="dxa"/>
            <w:tcBorders>
              <w:top w:val="nil"/>
              <w:left w:val="nil"/>
              <w:bottom w:val="nil"/>
              <w:right w:val="nil"/>
            </w:tcBorders>
            <w:shd w:val="clear" w:color="auto" w:fill="auto"/>
            <w:noWrap/>
            <w:vAlign w:val="bottom"/>
            <w:hideMark/>
          </w:tcPr>
          <w:p w14:paraId="042F53A9" w14:textId="77777777" w:rsidR="002A78FB" w:rsidRPr="00FF6C29" w:rsidRDefault="002A78FB" w:rsidP="002A78FB">
            <w:pPr>
              <w:jc w:val="right"/>
              <w:rPr>
                <w:color w:val="000000"/>
                <w:sz w:val="22"/>
                <w:szCs w:val="22"/>
                <w:lang w:eastAsia="fi-FI"/>
              </w:rPr>
            </w:pPr>
            <w:r w:rsidRPr="00FF6C29">
              <w:rPr>
                <w:color w:val="000000"/>
                <w:sz w:val="22"/>
                <w:szCs w:val="22"/>
                <w:lang w:eastAsia="fi-FI"/>
              </w:rPr>
              <w:t>2013</w:t>
            </w:r>
          </w:p>
        </w:tc>
        <w:tc>
          <w:tcPr>
            <w:tcW w:w="1169" w:type="dxa"/>
            <w:tcBorders>
              <w:top w:val="nil"/>
              <w:left w:val="nil"/>
              <w:bottom w:val="nil"/>
              <w:right w:val="nil"/>
            </w:tcBorders>
            <w:shd w:val="clear" w:color="auto" w:fill="auto"/>
            <w:noWrap/>
            <w:vAlign w:val="bottom"/>
            <w:hideMark/>
          </w:tcPr>
          <w:p w14:paraId="26A9293A" w14:textId="77777777" w:rsidR="002A78FB" w:rsidRPr="00FF6C29" w:rsidRDefault="002A78FB" w:rsidP="002A78FB">
            <w:pPr>
              <w:jc w:val="right"/>
              <w:rPr>
                <w:color w:val="000000"/>
                <w:sz w:val="22"/>
                <w:szCs w:val="22"/>
                <w:lang w:eastAsia="fi-FI"/>
              </w:rPr>
            </w:pPr>
            <w:r w:rsidRPr="00FF6C29">
              <w:rPr>
                <w:color w:val="000000"/>
                <w:sz w:val="22"/>
                <w:szCs w:val="22"/>
                <w:lang w:eastAsia="fi-FI"/>
              </w:rPr>
              <w:t>670</w:t>
            </w:r>
          </w:p>
        </w:tc>
        <w:tc>
          <w:tcPr>
            <w:tcW w:w="1240" w:type="dxa"/>
            <w:tcBorders>
              <w:top w:val="nil"/>
              <w:left w:val="nil"/>
              <w:bottom w:val="nil"/>
              <w:right w:val="nil"/>
            </w:tcBorders>
            <w:shd w:val="clear" w:color="auto" w:fill="auto"/>
            <w:noWrap/>
            <w:vAlign w:val="bottom"/>
            <w:hideMark/>
          </w:tcPr>
          <w:p w14:paraId="429F5DB4" w14:textId="77777777" w:rsidR="002A78FB" w:rsidRPr="00FF6C29" w:rsidRDefault="002A78FB" w:rsidP="002A78FB">
            <w:pPr>
              <w:jc w:val="right"/>
              <w:rPr>
                <w:color w:val="000000"/>
                <w:sz w:val="22"/>
                <w:szCs w:val="22"/>
                <w:lang w:eastAsia="fi-FI"/>
              </w:rPr>
            </w:pPr>
            <w:r w:rsidRPr="00FF6C29">
              <w:rPr>
                <w:color w:val="000000"/>
                <w:sz w:val="22"/>
                <w:szCs w:val="22"/>
                <w:lang w:eastAsia="fi-FI"/>
              </w:rPr>
              <w:t>5 %</w:t>
            </w:r>
          </w:p>
        </w:tc>
        <w:tc>
          <w:tcPr>
            <w:tcW w:w="1220" w:type="dxa"/>
            <w:tcBorders>
              <w:top w:val="nil"/>
              <w:left w:val="nil"/>
              <w:bottom w:val="nil"/>
              <w:right w:val="nil"/>
            </w:tcBorders>
            <w:shd w:val="clear" w:color="auto" w:fill="auto"/>
            <w:noWrap/>
            <w:vAlign w:val="bottom"/>
            <w:hideMark/>
          </w:tcPr>
          <w:p w14:paraId="76DA8EBD" w14:textId="77777777" w:rsidR="002A78FB" w:rsidRPr="00FF6C29" w:rsidRDefault="002A78FB" w:rsidP="002A78FB">
            <w:pPr>
              <w:jc w:val="right"/>
              <w:rPr>
                <w:color w:val="000000"/>
                <w:sz w:val="22"/>
                <w:szCs w:val="22"/>
                <w:lang w:eastAsia="fi-FI"/>
              </w:rPr>
            </w:pPr>
            <w:r w:rsidRPr="00FF6C29">
              <w:rPr>
                <w:color w:val="000000"/>
                <w:sz w:val="22"/>
                <w:szCs w:val="22"/>
                <w:lang w:eastAsia="fi-FI"/>
              </w:rPr>
              <w:t>640</w:t>
            </w:r>
          </w:p>
        </w:tc>
      </w:tr>
      <w:tr w:rsidR="002A78FB" w:rsidRPr="00FF6C29" w14:paraId="176DCCF2" w14:textId="77777777" w:rsidTr="002A78FB">
        <w:trPr>
          <w:trHeight w:val="288"/>
        </w:trPr>
        <w:tc>
          <w:tcPr>
            <w:tcW w:w="1071" w:type="dxa"/>
            <w:tcBorders>
              <w:top w:val="nil"/>
              <w:left w:val="nil"/>
              <w:bottom w:val="nil"/>
              <w:right w:val="nil"/>
            </w:tcBorders>
            <w:shd w:val="clear" w:color="D9D9D9" w:fill="D9D9D9"/>
            <w:noWrap/>
            <w:vAlign w:val="bottom"/>
            <w:hideMark/>
          </w:tcPr>
          <w:p w14:paraId="3A535207" w14:textId="77777777" w:rsidR="002A78FB" w:rsidRPr="00FF6C29" w:rsidRDefault="002A78FB" w:rsidP="002A78FB">
            <w:pPr>
              <w:jc w:val="right"/>
              <w:rPr>
                <w:color w:val="000000"/>
                <w:sz w:val="22"/>
                <w:szCs w:val="22"/>
                <w:lang w:eastAsia="fi-FI"/>
              </w:rPr>
            </w:pPr>
            <w:r w:rsidRPr="00FF6C29">
              <w:rPr>
                <w:color w:val="000000"/>
                <w:sz w:val="22"/>
                <w:szCs w:val="22"/>
                <w:lang w:eastAsia="fi-FI"/>
              </w:rPr>
              <w:t>2014</w:t>
            </w:r>
          </w:p>
        </w:tc>
        <w:tc>
          <w:tcPr>
            <w:tcW w:w="1169" w:type="dxa"/>
            <w:tcBorders>
              <w:top w:val="nil"/>
              <w:left w:val="nil"/>
              <w:bottom w:val="nil"/>
              <w:right w:val="nil"/>
            </w:tcBorders>
            <w:shd w:val="clear" w:color="D9D9D9" w:fill="D9D9D9"/>
            <w:noWrap/>
            <w:vAlign w:val="bottom"/>
            <w:hideMark/>
          </w:tcPr>
          <w:p w14:paraId="297EBBFF" w14:textId="77777777" w:rsidR="002A78FB" w:rsidRPr="00FF6C29" w:rsidRDefault="002A78FB" w:rsidP="002A78FB">
            <w:pPr>
              <w:jc w:val="right"/>
              <w:rPr>
                <w:color w:val="000000"/>
                <w:sz w:val="22"/>
                <w:szCs w:val="22"/>
                <w:lang w:eastAsia="fi-FI"/>
              </w:rPr>
            </w:pPr>
            <w:r w:rsidRPr="00FF6C29">
              <w:rPr>
                <w:color w:val="000000"/>
                <w:sz w:val="22"/>
                <w:szCs w:val="22"/>
                <w:lang w:eastAsia="fi-FI"/>
              </w:rPr>
              <w:t>584</w:t>
            </w:r>
          </w:p>
        </w:tc>
        <w:tc>
          <w:tcPr>
            <w:tcW w:w="1240" w:type="dxa"/>
            <w:tcBorders>
              <w:top w:val="nil"/>
              <w:left w:val="nil"/>
              <w:bottom w:val="nil"/>
              <w:right w:val="nil"/>
            </w:tcBorders>
            <w:shd w:val="clear" w:color="D9D9D9" w:fill="D9D9D9"/>
            <w:noWrap/>
            <w:vAlign w:val="bottom"/>
            <w:hideMark/>
          </w:tcPr>
          <w:p w14:paraId="7DFEFD39" w14:textId="77777777" w:rsidR="002A78FB" w:rsidRPr="00FF6C29" w:rsidRDefault="002A78FB" w:rsidP="002A78FB">
            <w:pPr>
              <w:jc w:val="right"/>
              <w:rPr>
                <w:color w:val="000000"/>
                <w:sz w:val="22"/>
                <w:szCs w:val="22"/>
                <w:lang w:eastAsia="fi-FI"/>
              </w:rPr>
            </w:pPr>
            <w:r w:rsidRPr="00FF6C29">
              <w:rPr>
                <w:color w:val="000000"/>
                <w:sz w:val="22"/>
                <w:szCs w:val="22"/>
                <w:lang w:eastAsia="fi-FI"/>
              </w:rPr>
              <w:t>-13 %</w:t>
            </w:r>
          </w:p>
        </w:tc>
        <w:tc>
          <w:tcPr>
            <w:tcW w:w="1220" w:type="dxa"/>
            <w:tcBorders>
              <w:top w:val="nil"/>
              <w:left w:val="nil"/>
              <w:bottom w:val="nil"/>
              <w:right w:val="nil"/>
            </w:tcBorders>
            <w:shd w:val="clear" w:color="D9D9D9" w:fill="D9D9D9"/>
            <w:noWrap/>
            <w:vAlign w:val="bottom"/>
            <w:hideMark/>
          </w:tcPr>
          <w:p w14:paraId="3A4580DF" w14:textId="77777777" w:rsidR="002A78FB" w:rsidRPr="00FF6C29" w:rsidRDefault="002A78FB" w:rsidP="002A78FB">
            <w:pPr>
              <w:jc w:val="right"/>
              <w:rPr>
                <w:color w:val="000000"/>
                <w:sz w:val="22"/>
                <w:szCs w:val="22"/>
                <w:lang w:eastAsia="fi-FI"/>
              </w:rPr>
            </w:pPr>
            <w:r w:rsidRPr="00FF6C29">
              <w:rPr>
                <w:color w:val="000000"/>
                <w:sz w:val="22"/>
                <w:szCs w:val="22"/>
                <w:lang w:eastAsia="fi-FI"/>
              </w:rPr>
              <w:t>651</w:t>
            </w:r>
          </w:p>
        </w:tc>
      </w:tr>
      <w:tr w:rsidR="002A78FB" w:rsidRPr="00FF6C29" w14:paraId="5BDB84B8" w14:textId="77777777" w:rsidTr="002A78FB">
        <w:trPr>
          <w:trHeight w:val="288"/>
        </w:trPr>
        <w:tc>
          <w:tcPr>
            <w:tcW w:w="1071" w:type="dxa"/>
            <w:tcBorders>
              <w:top w:val="nil"/>
              <w:left w:val="nil"/>
              <w:bottom w:val="nil"/>
              <w:right w:val="nil"/>
            </w:tcBorders>
            <w:shd w:val="clear" w:color="auto" w:fill="auto"/>
            <w:noWrap/>
            <w:vAlign w:val="bottom"/>
            <w:hideMark/>
          </w:tcPr>
          <w:p w14:paraId="6A5C22E6" w14:textId="77777777" w:rsidR="002A78FB" w:rsidRPr="00FF6C29" w:rsidRDefault="002A78FB" w:rsidP="002A78FB">
            <w:pPr>
              <w:jc w:val="right"/>
              <w:rPr>
                <w:color w:val="000000"/>
                <w:sz w:val="22"/>
                <w:szCs w:val="22"/>
                <w:lang w:eastAsia="fi-FI"/>
              </w:rPr>
            </w:pPr>
            <w:r w:rsidRPr="00FF6C29">
              <w:rPr>
                <w:color w:val="000000"/>
                <w:sz w:val="22"/>
                <w:szCs w:val="22"/>
                <w:lang w:eastAsia="fi-FI"/>
              </w:rPr>
              <w:t>2015</w:t>
            </w:r>
          </w:p>
        </w:tc>
        <w:tc>
          <w:tcPr>
            <w:tcW w:w="1169" w:type="dxa"/>
            <w:tcBorders>
              <w:top w:val="nil"/>
              <w:left w:val="nil"/>
              <w:bottom w:val="nil"/>
              <w:right w:val="nil"/>
            </w:tcBorders>
            <w:shd w:val="clear" w:color="auto" w:fill="auto"/>
            <w:noWrap/>
            <w:vAlign w:val="bottom"/>
            <w:hideMark/>
          </w:tcPr>
          <w:p w14:paraId="6BB3BA3A" w14:textId="77777777" w:rsidR="002A78FB" w:rsidRPr="00FF6C29" w:rsidRDefault="002A78FB" w:rsidP="002A78FB">
            <w:pPr>
              <w:jc w:val="right"/>
              <w:rPr>
                <w:color w:val="000000"/>
                <w:sz w:val="22"/>
                <w:szCs w:val="22"/>
                <w:lang w:eastAsia="fi-FI"/>
              </w:rPr>
            </w:pPr>
            <w:r w:rsidRPr="00FF6C29">
              <w:rPr>
                <w:color w:val="000000"/>
                <w:sz w:val="22"/>
                <w:szCs w:val="22"/>
                <w:lang w:eastAsia="fi-FI"/>
              </w:rPr>
              <w:t>535</w:t>
            </w:r>
          </w:p>
        </w:tc>
        <w:tc>
          <w:tcPr>
            <w:tcW w:w="1240" w:type="dxa"/>
            <w:tcBorders>
              <w:top w:val="nil"/>
              <w:left w:val="nil"/>
              <w:bottom w:val="nil"/>
              <w:right w:val="nil"/>
            </w:tcBorders>
            <w:shd w:val="clear" w:color="auto" w:fill="auto"/>
            <w:noWrap/>
            <w:vAlign w:val="bottom"/>
            <w:hideMark/>
          </w:tcPr>
          <w:p w14:paraId="68FC39C1" w14:textId="77777777" w:rsidR="002A78FB" w:rsidRPr="00FF6C29" w:rsidRDefault="002A78FB" w:rsidP="002A78FB">
            <w:pPr>
              <w:jc w:val="right"/>
              <w:rPr>
                <w:color w:val="000000"/>
                <w:sz w:val="22"/>
                <w:szCs w:val="22"/>
                <w:lang w:eastAsia="fi-FI"/>
              </w:rPr>
            </w:pPr>
            <w:r w:rsidRPr="00FF6C29">
              <w:rPr>
                <w:color w:val="000000"/>
                <w:sz w:val="22"/>
                <w:szCs w:val="22"/>
                <w:lang w:eastAsia="fi-FI"/>
              </w:rPr>
              <w:t>-8 %</w:t>
            </w:r>
          </w:p>
        </w:tc>
        <w:tc>
          <w:tcPr>
            <w:tcW w:w="1220" w:type="dxa"/>
            <w:tcBorders>
              <w:top w:val="nil"/>
              <w:left w:val="nil"/>
              <w:bottom w:val="nil"/>
              <w:right w:val="nil"/>
            </w:tcBorders>
            <w:shd w:val="clear" w:color="auto" w:fill="auto"/>
            <w:noWrap/>
            <w:vAlign w:val="bottom"/>
            <w:hideMark/>
          </w:tcPr>
          <w:p w14:paraId="2F409687" w14:textId="77777777" w:rsidR="002A78FB" w:rsidRPr="00FF6C29" w:rsidRDefault="002A78FB" w:rsidP="002A78FB">
            <w:pPr>
              <w:jc w:val="right"/>
              <w:rPr>
                <w:color w:val="000000"/>
                <w:sz w:val="22"/>
                <w:szCs w:val="22"/>
                <w:lang w:eastAsia="fi-FI"/>
              </w:rPr>
            </w:pPr>
            <w:r w:rsidRPr="00FF6C29">
              <w:rPr>
                <w:color w:val="000000"/>
                <w:sz w:val="22"/>
                <w:szCs w:val="22"/>
                <w:lang w:eastAsia="fi-FI"/>
              </w:rPr>
              <w:t>578</w:t>
            </w:r>
          </w:p>
        </w:tc>
      </w:tr>
      <w:tr w:rsidR="002A78FB" w:rsidRPr="00FF6C29" w14:paraId="6B9D82E9" w14:textId="77777777" w:rsidTr="002A78FB">
        <w:trPr>
          <w:trHeight w:val="288"/>
        </w:trPr>
        <w:tc>
          <w:tcPr>
            <w:tcW w:w="1071" w:type="dxa"/>
            <w:tcBorders>
              <w:top w:val="nil"/>
              <w:left w:val="nil"/>
              <w:bottom w:val="nil"/>
              <w:right w:val="nil"/>
            </w:tcBorders>
            <w:shd w:val="clear" w:color="D9D9D9" w:fill="D9D9D9"/>
            <w:noWrap/>
            <w:vAlign w:val="bottom"/>
            <w:hideMark/>
          </w:tcPr>
          <w:p w14:paraId="0F7F7238" w14:textId="77777777" w:rsidR="002A78FB" w:rsidRPr="00FF6C29" w:rsidRDefault="002A78FB" w:rsidP="002A78FB">
            <w:pPr>
              <w:jc w:val="right"/>
              <w:rPr>
                <w:color w:val="000000"/>
                <w:sz w:val="22"/>
                <w:szCs w:val="22"/>
                <w:lang w:eastAsia="fi-FI"/>
              </w:rPr>
            </w:pPr>
            <w:r w:rsidRPr="00FF6C29">
              <w:rPr>
                <w:color w:val="000000"/>
                <w:sz w:val="22"/>
                <w:szCs w:val="22"/>
                <w:lang w:eastAsia="fi-FI"/>
              </w:rPr>
              <w:t>2016</w:t>
            </w:r>
          </w:p>
        </w:tc>
        <w:tc>
          <w:tcPr>
            <w:tcW w:w="1169" w:type="dxa"/>
            <w:tcBorders>
              <w:top w:val="nil"/>
              <w:left w:val="nil"/>
              <w:bottom w:val="nil"/>
              <w:right w:val="nil"/>
            </w:tcBorders>
            <w:shd w:val="clear" w:color="D9D9D9" w:fill="D9D9D9"/>
            <w:noWrap/>
            <w:vAlign w:val="bottom"/>
            <w:hideMark/>
          </w:tcPr>
          <w:p w14:paraId="274D8CFC" w14:textId="77777777" w:rsidR="002A78FB" w:rsidRPr="00FF6C29" w:rsidRDefault="002A78FB" w:rsidP="002A78FB">
            <w:pPr>
              <w:jc w:val="right"/>
              <w:rPr>
                <w:color w:val="000000"/>
                <w:sz w:val="22"/>
                <w:szCs w:val="22"/>
                <w:lang w:eastAsia="fi-FI"/>
              </w:rPr>
            </w:pPr>
            <w:r w:rsidRPr="00FF6C29">
              <w:rPr>
                <w:color w:val="000000"/>
                <w:sz w:val="22"/>
                <w:szCs w:val="22"/>
                <w:lang w:eastAsia="fi-FI"/>
              </w:rPr>
              <w:t>425</w:t>
            </w:r>
          </w:p>
        </w:tc>
        <w:tc>
          <w:tcPr>
            <w:tcW w:w="1240" w:type="dxa"/>
            <w:tcBorders>
              <w:top w:val="nil"/>
              <w:left w:val="nil"/>
              <w:bottom w:val="nil"/>
              <w:right w:val="nil"/>
            </w:tcBorders>
            <w:shd w:val="clear" w:color="D9D9D9" w:fill="D9D9D9"/>
            <w:noWrap/>
            <w:vAlign w:val="bottom"/>
            <w:hideMark/>
          </w:tcPr>
          <w:p w14:paraId="652673B0" w14:textId="77777777" w:rsidR="002A78FB" w:rsidRPr="00FF6C29" w:rsidRDefault="002A78FB" w:rsidP="00B04F3C">
            <w:pPr>
              <w:jc w:val="right"/>
              <w:rPr>
                <w:color w:val="000000"/>
                <w:sz w:val="22"/>
                <w:szCs w:val="22"/>
                <w:lang w:eastAsia="fi-FI"/>
              </w:rPr>
            </w:pPr>
            <w:r w:rsidRPr="00FF6C29">
              <w:rPr>
                <w:color w:val="000000"/>
                <w:sz w:val="22"/>
                <w:szCs w:val="22"/>
                <w:lang w:eastAsia="fi-FI"/>
              </w:rPr>
              <w:t>-2</w:t>
            </w:r>
            <w:r w:rsidR="00B04F3C" w:rsidRPr="00FF6C29">
              <w:rPr>
                <w:color w:val="000000"/>
                <w:sz w:val="22"/>
                <w:szCs w:val="22"/>
                <w:lang w:eastAsia="fi-FI"/>
              </w:rPr>
              <w:t>1</w:t>
            </w:r>
            <w:r w:rsidRPr="00FF6C29">
              <w:rPr>
                <w:color w:val="000000"/>
                <w:sz w:val="22"/>
                <w:szCs w:val="22"/>
                <w:lang w:eastAsia="fi-FI"/>
              </w:rPr>
              <w:t xml:space="preserve"> %</w:t>
            </w:r>
          </w:p>
        </w:tc>
        <w:tc>
          <w:tcPr>
            <w:tcW w:w="1220" w:type="dxa"/>
            <w:tcBorders>
              <w:top w:val="nil"/>
              <w:left w:val="nil"/>
              <w:bottom w:val="nil"/>
              <w:right w:val="nil"/>
            </w:tcBorders>
            <w:shd w:val="clear" w:color="D9D9D9" w:fill="D9D9D9"/>
            <w:noWrap/>
            <w:vAlign w:val="bottom"/>
            <w:hideMark/>
          </w:tcPr>
          <w:p w14:paraId="0F312678" w14:textId="77777777" w:rsidR="002A78FB" w:rsidRPr="00FF6C29" w:rsidRDefault="002A78FB" w:rsidP="002A78FB">
            <w:pPr>
              <w:jc w:val="right"/>
              <w:rPr>
                <w:color w:val="000000"/>
                <w:sz w:val="22"/>
                <w:szCs w:val="22"/>
                <w:lang w:eastAsia="fi-FI"/>
              </w:rPr>
            </w:pPr>
            <w:r w:rsidRPr="00FF6C29">
              <w:rPr>
                <w:color w:val="000000"/>
                <w:sz w:val="22"/>
                <w:szCs w:val="22"/>
                <w:lang w:eastAsia="fi-FI"/>
              </w:rPr>
              <w:t>499</w:t>
            </w:r>
          </w:p>
        </w:tc>
      </w:tr>
      <w:tr w:rsidR="002A78FB" w:rsidRPr="00FF6C29" w14:paraId="4966595F" w14:textId="77777777" w:rsidTr="002A78FB">
        <w:trPr>
          <w:trHeight w:val="288"/>
        </w:trPr>
        <w:tc>
          <w:tcPr>
            <w:tcW w:w="1071" w:type="dxa"/>
            <w:tcBorders>
              <w:top w:val="nil"/>
              <w:left w:val="nil"/>
              <w:bottom w:val="single" w:sz="4" w:space="0" w:color="000000"/>
              <w:right w:val="nil"/>
            </w:tcBorders>
            <w:shd w:val="clear" w:color="auto" w:fill="auto"/>
            <w:noWrap/>
            <w:vAlign w:val="bottom"/>
            <w:hideMark/>
          </w:tcPr>
          <w:p w14:paraId="14B42320" w14:textId="52124F70" w:rsidR="002A78FB" w:rsidRPr="00FF6C29" w:rsidRDefault="002A78FB" w:rsidP="00827F5E">
            <w:pPr>
              <w:jc w:val="right"/>
              <w:rPr>
                <w:color w:val="000000"/>
                <w:sz w:val="22"/>
                <w:szCs w:val="22"/>
                <w:lang w:eastAsia="fi-FI"/>
              </w:rPr>
            </w:pPr>
            <w:r w:rsidRPr="00FF6C29">
              <w:rPr>
                <w:color w:val="000000"/>
                <w:sz w:val="22"/>
                <w:szCs w:val="22"/>
                <w:lang w:eastAsia="fi-FI"/>
              </w:rPr>
              <w:t>2017</w:t>
            </w:r>
          </w:p>
        </w:tc>
        <w:tc>
          <w:tcPr>
            <w:tcW w:w="1169" w:type="dxa"/>
            <w:tcBorders>
              <w:top w:val="nil"/>
              <w:left w:val="nil"/>
              <w:bottom w:val="single" w:sz="4" w:space="0" w:color="000000"/>
              <w:right w:val="nil"/>
            </w:tcBorders>
            <w:shd w:val="clear" w:color="auto" w:fill="auto"/>
            <w:noWrap/>
            <w:vAlign w:val="bottom"/>
            <w:hideMark/>
          </w:tcPr>
          <w:p w14:paraId="5DB44D7A" w14:textId="237E5408" w:rsidR="002A78FB" w:rsidRPr="00FF6C29" w:rsidRDefault="00D1275B" w:rsidP="002A78FB">
            <w:pPr>
              <w:jc w:val="right"/>
              <w:rPr>
                <w:color w:val="000000"/>
                <w:sz w:val="22"/>
                <w:szCs w:val="22"/>
                <w:lang w:eastAsia="fi-FI"/>
              </w:rPr>
            </w:pPr>
            <w:r w:rsidRPr="00FF6C29">
              <w:rPr>
                <w:color w:val="000000"/>
                <w:sz w:val="22"/>
                <w:szCs w:val="22"/>
                <w:lang w:eastAsia="fi-FI"/>
              </w:rPr>
              <w:t>388</w:t>
            </w:r>
          </w:p>
        </w:tc>
        <w:tc>
          <w:tcPr>
            <w:tcW w:w="1240" w:type="dxa"/>
            <w:tcBorders>
              <w:top w:val="nil"/>
              <w:left w:val="nil"/>
              <w:bottom w:val="single" w:sz="4" w:space="0" w:color="000000"/>
              <w:right w:val="nil"/>
            </w:tcBorders>
            <w:shd w:val="clear" w:color="auto" w:fill="auto"/>
            <w:noWrap/>
            <w:vAlign w:val="bottom"/>
            <w:hideMark/>
          </w:tcPr>
          <w:p w14:paraId="690D2CC4" w14:textId="406A704D" w:rsidR="002A78FB" w:rsidRPr="00FF6C29" w:rsidRDefault="00D1275B" w:rsidP="00D1275B">
            <w:pPr>
              <w:jc w:val="right"/>
              <w:rPr>
                <w:color w:val="000000"/>
                <w:sz w:val="22"/>
                <w:szCs w:val="22"/>
                <w:lang w:eastAsia="fi-FI"/>
              </w:rPr>
            </w:pPr>
            <w:r w:rsidRPr="00FF6C29">
              <w:rPr>
                <w:color w:val="000000"/>
                <w:sz w:val="22"/>
                <w:szCs w:val="22"/>
                <w:lang w:eastAsia="fi-FI"/>
              </w:rPr>
              <w:t>-</w:t>
            </w:r>
            <w:r w:rsidR="00FF6C29" w:rsidRPr="00FF6C29">
              <w:rPr>
                <w:color w:val="000000"/>
                <w:sz w:val="22"/>
                <w:szCs w:val="22"/>
                <w:lang w:eastAsia="fi-FI"/>
              </w:rPr>
              <w:t>9</w:t>
            </w:r>
            <w:r w:rsidR="002A78FB" w:rsidRPr="00FF6C29">
              <w:rPr>
                <w:color w:val="000000"/>
                <w:sz w:val="22"/>
                <w:szCs w:val="22"/>
                <w:lang w:eastAsia="fi-FI"/>
              </w:rPr>
              <w:t xml:space="preserve"> %</w:t>
            </w:r>
          </w:p>
        </w:tc>
        <w:tc>
          <w:tcPr>
            <w:tcW w:w="1220" w:type="dxa"/>
            <w:tcBorders>
              <w:top w:val="nil"/>
              <w:left w:val="nil"/>
              <w:bottom w:val="single" w:sz="4" w:space="0" w:color="000000"/>
              <w:right w:val="nil"/>
            </w:tcBorders>
            <w:shd w:val="clear" w:color="auto" w:fill="auto"/>
            <w:noWrap/>
            <w:vAlign w:val="bottom"/>
            <w:hideMark/>
          </w:tcPr>
          <w:p w14:paraId="397B472D" w14:textId="4E63190E" w:rsidR="002A78FB" w:rsidRPr="00FF6C29" w:rsidRDefault="00D1275B" w:rsidP="002A78FB">
            <w:pPr>
              <w:jc w:val="right"/>
              <w:rPr>
                <w:color w:val="000000"/>
                <w:sz w:val="22"/>
                <w:szCs w:val="22"/>
                <w:lang w:eastAsia="fi-FI"/>
              </w:rPr>
            </w:pPr>
            <w:r w:rsidRPr="00FF6C29">
              <w:rPr>
                <w:color w:val="000000"/>
                <w:sz w:val="22"/>
                <w:szCs w:val="22"/>
                <w:lang w:eastAsia="fi-FI"/>
              </w:rPr>
              <w:t>408</w:t>
            </w:r>
          </w:p>
        </w:tc>
      </w:tr>
    </w:tbl>
    <w:p w14:paraId="767F6B0C" w14:textId="77777777" w:rsidR="002A78FB" w:rsidRPr="00FF6C29" w:rsidRDefault="002A78FB" w:rsidP="002A78FB">
      <w:pPr>
        <w:ind w:left="1298"/>
        <w:rPr>
          <w:color w:val="000000"/>
          <w:sz w:val="22"/>
          <w:szCs w:val="22"/>
          <w:lang w:eastAsia="fi-FI"/>
        </w:rPr>
      </w:pPr>
      <w:r w:rsidRPr="00FF6C29">
        <w:rPr>
          <w:color w:val="000000"/>
          <w:sz w:val="22"/>
          <w:szCs w:val="22"/>
          <w:lang w:eastAsia="fi-FI"/>
        </w:rPr>
        <w:fldChar w:fldCharType="end"/>
      </w:r>
    </w:p>
    <w:p w14:paraId="113AADE3" w14:textId="77777777" w:rsidR="00934BBF" w:rsidRPr="00FF6C29" w:rsidRDefault="001910A9" w:rsidP="00934BBF">
      <w:pPr>
        <w:ind w:left="1298"/>
        <w:rPr>
          <w:sz w:val="22"/>
          <w:szCs w:val="22"/>
        </w:rPr>
      </w:pPr>
      <w:r w:rsidRPr="00FF6C29">
        <w:rPr>
          <w:sz w:val="22"/>
          <w:szCs w:val="22"/>
        </w:rPr>
        <w:t>Maaoikeuksien tuomiopiireistä säädetään</w:t>
      </w:r>
      <w:r w:rsidR="007D63A7" w:rsidRPr="00FF6C29">
        <w:rPr>
          <w:sz w:val="22"/>
          <w:szCs w:val="22"/>
        </w:rPr>
        <w:t xml:space="preserve"> käräjäoikeuksien tuomiopiireistä maaoikeuden käsiteltäviksi säädetyissä asioissa annetulla valtioneuvoston asetuksella (1075/2013). </w:t>
      </w:r>
      <w:r w:rsidR="00934BBF" w:rsidRPr="00FF6C29">
        <w:rPr>
          <w:sz w:val="22"/>
          <w:szCs w:val="22"/>
        </w:rPr>
        <w:t>Tuomiopiirit ovat seuraavat:</w:t>
      </w:r>
    </w:p>
    <w:p w14:paraId="132DA121" w14:textId="77777777" w:rsidR="00934BBF" w:rsidRPr="00FF6C29" w:rsidRDefault="00934BBF" w:rsidP="00934BBF">
      <w:pPr>
        <w:ind w:left="1298"/>
        <w:rPr>
          <w:sz w:val="22"/>
          <w:szCs w:val="22"/>
        </w:rPr>
      </w:pPr>
      <w:r w:rsidRPr="00FF6C29">
        <w:rPr>
          <w:sz w:val="22"/>
          <w:szCs w:val="22"/>
        </w:rPr>
        <w:t xml:space="preserve">1) Etelä-Savon käräjäoikeuden tuomiopiiriin kuuluvat Etelä-Karjalan ja Etelä-Savon maakunnat sekä Kymenlaakson maakunta lukuun ottamatta Pyhtään kuntaa; </w:t>
      </w:r>
    </w:p>
    <w:p w14:paraId="588B2349" w14:textId="77777777" w:rsidR="00934BBF" w:rsidRPr="00FF6C29" w:rsidRDefault="00934BBF" w:rsidP="00934BBF">
      <w:pPr>
        <w:ind w:left="1298"/>
        <w:rPr>
          <w:sz w:val="22"/>
          <w:szCs w:val="22"/>
        </w:rPr>
      </w:pPr>
      <w:r w:rsidRPr="00FF6C29">
        <w:rPr>
          <w:sz w:val="22"/>
          <w:szCs w:val="22"/>
        </w:rPr>
        <w:t>2) Kanta-Hämeen käräjäoikeuden tuomiopiiriin kuuluvat Kanta-Hämeen, Pirkanmaan ja Päijät-Hämeen maakunnat;</w:t>
      </w:r>
    </w:p>
    <w:p w14:paraId="6CD59F7A" w14:textId="77777777" w:rsidR="00934BBF" w:rsidRPr="00FF6C29" w:rsidRDefault="00934BBF" w:rsidP="00934BBF">
      <w:pPr>
        <w:ind w:left="1298"/>
        <w:rPr>
          <w:sz w:val="22"/>
          <w:szCs w:val="22"/>
        </w:rPr>
      </w:pPr>
      <w:r w:rsidRPr="00FF6C29">
        <w:rPr>
          <w:sz w:val="22"/>
          <w:szCs w:val="22"/>
        </w:rPr>
        <w:t>3) Lapin käräjäoikeuden tuomiopiiriin kuuluvat Kainuun ja Lapin maakunnat sekä Kuusamon, Taivalkosken ja Pudasjärven kunnat;</w:t>
      </w:r>
    </w:p>
    <w:p w14:paraId="5A54041A" w14:textId="77777777" w:rsidR="00934BBF" w:rsidRPr="00FF6C29" w:rsidRDefault="00934BBF" w:rsidP="00934BBF">
      <w:pPr>
        <w:ind w:left="1298"/>
        <w:rPr>
          <w:sz w:val="22"/>
          <w:szCs w:val="22"/>
        </w:rPr>
      </w:pPr>
      <w:r w:rsidRPr="00FF6C29">
        <w:rPr>
          <w:sz w:val="22"/>
          <w:szCs w:val="22"/>
        </w:rPr>
        <w:t xml:space="preserve">4) Oulun käräjäoikeuden tuomiopiiriin kuuluu </w:t>
      </w:r>
      <w:proofErr w:type="spellStart"/>
      <w:r w:rsidRPr="00FF6C29">
        <w:rPr>
          <w:sz w:val="22"/>
          <w:szCs w:val="22"/>
        </w:rPr>
        <w:t>Pohjois</w:t>
      </w:r>
      <w:proofErr w:type="spellEnd"/>
      <w:r w:rsidRPr="00FF6C29">
        <w:rPr>
          <w:sz w:val="22"/>
          <w:szCs w:val="22"/>
        </w:rPr>
        <w:t>-Pohjanmaan maakunta lukuun ottamatta Kuusamon, Taivalkosken ja Pudasjärven kuntia;</w:t>
      </w:r>
    </w:p>
    <w:p w14:paraId="642E5227" w14:textId="77777777" w:rsidR="00934BBF" w:rsidRPr="00FF6C29" w:rsidRDefault="00934BBF" w:rsidP="00934BBF">
      <w:pPr>
        <w:ind w:left="1298"/>
        <w:rPr>
          <w:sz w:val="22"/>
          <w:szCs w:val="22"/>
        </w:rPr>
      </w:pPr>
      <w:r w:rsidRPr="00FF6C29">
        <w:rPr>
          <w:sz w:val="22"/>
          <w:szCs w:val="22"/>
        </w:rPr>
        <w:t xml:space="preserve">5) Pohjanmaan käräjäoikeuden tuomiopiiriin kuuluvat Etelä-Pohjanmaan, </w:t>
      </w:r>
      <w:proofErr w:type="spellStart"/>
      <w:r w:rsidRPr="00FF6C29">
        <w:rPr>
          <w:sz w:val="22"/>
          <w:szCs w:val="22"/>
        </w:rPr>
        <w:t>Keski</w:t>
      </w:r>
      <w:proofErr w:type="spellEnd"/>
      <w:r w:rsidRPr="00FF6C29">
        <w:rPr>
          <w:sz w:val="22"/>
          <w:szCs w:val="22"/>
        </w:rPr>
        <w:t>-Pohjanmaan ja Pohjanmaan maakunnat;</w:t>
      </w:r>
    </w:p>
    <w:p w14:paraId="601293E8" w14:textId="77777777" w:rsidR="00934BBF" w:rsidRPr="00FF6C29" w:rsidRDefault="00934BBF" w:rsidP="00934BBF">
      <w:pPr>
        <w:ind w:left="1298"/>
        <w:rPr>
          <w:sz w:val="22"/>
          <w:szCs w:val="22"/>
        </w:rPr>
      </w:pPr>
      <w:r w:rsidRPr="00FF6C29">
        <w:rPr>
          <w:sz w:val="22"/>
          <w:szCs w:val="22"/>
        </w:rPr>
        <w:t xml:space="preserve">6) </w:t>
      </w:r>
      <w:proofErr w:type="spellStart"/>
      <w:r w:rsidRPr="00FF6C29">
        <w:rPr>
          <w:sz w:val="22"/>
          <w:szCs w:val="22"/>
        </w:rPr>
        <w:t>Pohjois</w:t>
      </w:r>
      <w:proofErr w:type="spellEnd"/>
      <w:r w:rsidRPr="00FF6C29">
        <w:rPr>
          <w:sz w:val="22"/>
          <w:szCs w:val="22"/>
        </w:rPr>
        <w:t xml:space="preserve">-Savon käräjäoikeuden tuomiopiiriin kuuluvat Keski-Suomen, </w:t>
      </w:r>
      <w:proofErr w:type="spellStart"/>
      <w:r w:rsidRPr="00FF6C29">
        <w:rPr>
          <w:sz w:val="22"/>
          <w:szCs w:val="22"/>
        </w:rPr>
        <w:t>Pohjois</w:t>
      </w:r>
      <w:proofErr w:type="spellEnd"/>
      <w:r w:rsidRPr="00FF6C29">
        <w:rPr>
          <w:sz w:val="22"/>
          <w:szCs w:val="22"/>
        </w:rPr>
        <w:t xml:space="preserve">-Karjalan ja </w:t>
      </w:r>
      <w:proofErr w:type="spellStart"/>
      <w:r w:rsidRPr="00FF6C29">
        <w:rPr>
          <w:sz w:val="22"/>
          <w:szCs w:val="22"/>
        </w:rPr>
        <w:t>Pohjois</w:t>
      </w:r>
      <w:proofErr w:type="spellEnd"/>
      <w:r w:rsidRPr="00FF6C29">
        <w:rPr>
          <w:sz w:val="22"/>
          <w:szCs w:val="22"/>
        </w:rPr>
        <w:t>-Savon maakunnat;</w:t>
      </w:r>
    </w:p>
    <w:p w14:paraId="43C12125" w14:textId="33115F6F" w:rsidR="00934BBF" w:rsidRPr="00FF6C29" w:rsidRDefault="00934BBF" w:rsidP="00934BBF">
      <w:pPr>
        <w:ind w:left="1298"/>
        <w:rPr>
          <w:sz w:val="22"/>
          <w:szCs w:val="22"/>
        </w:rPr>
      </w:pPr>
      <w:r w:rsidRPr="00FF6C29">
        <w:rPr>
          <w:sz w:val="22"/>
          <w:szCs w:val="22"/>
        </w:rPr>
        <w:t>7) Vantaan käräjäoikeuden tuomiopiiriin kuuluvat Uudenmaan maakunta sekä Pyhtään, Salon ja Someron kunnat</w:t>
      </w:r>
      <w:r w:rsidR="006606F6">
        <w:rPr>
          <w:rStyle w:val="Alaviitteenviite"/>
          <w:sz w:val="22"/>
          <w:szCs w:val="22"/>
        </w:rPr>
        <w:footnoteReference w:id="1"/>
      </w:r>
      <w:r w:rsidRPr="00FF6C29">
        <w:rPr>
          <w:sz w:val="22"/>
          <w:szCs w:val="22"/>
        </w:rPr>
        <w:t>;</w:t>
      </w:r>
    </w:p>
    <w:p w14:paraId="63215790" w14:textId="77777777" w:rsidR="00934BBF" w:rsidRPr="00FF6C29" w:rsidRDefault="00934BBF" w:rsidP="00934BBF">
      <w:pPr>
        <w:ind w:left="1298"/>
        <w:rPr>
          <w:sz w:val="22"/>
          <w:szCs w:val="22"/>
        </w:rPr>
      </w:pPr>
      <w:r w:rsidRPr="00FF6C29">
        <w:rPr>
          <w:sz w:val="22"/>
          <w:szCs w:val="22"/>
        </w:rPr>
        <w:t>8) Varsinais-Suomen käräjäoikeuden tuomiopiiriin kuuluvat Ahvenanmaan ja Satakunnan maakunnat sekä Varsinais-Suomen maakunta lukuun ottamatta Salon ja Someron kuntia.</w:t>
      </w:r>
    </w:p>
    <w:p w14:paraId="11292853" w14:textId="77777777" w:rsidR="00934BBF" w:rsidRPr="00FF6C29" w:rsidRDefault="00934BBF" w:rsidP="00B43FE9">
      <w:pPr>
        <w:ind w:left="1298"/>
        <w:rPr>
          <w:sz w:val="22"/>
          <w:szCs w:val="22"/>
        </w:rPr>
      </w:pPr>
    </w:p>
    <w:p w14:paraId="72FCB90A" w14:textId="4AC51B2E" w:rsidR="001910A9" w:rsidRPr="00FF6C29" w:rsidRDefault="007D63A7" w:rsidP="00B43FE9">
      <w:pPr>
        <w:ind w:left="1298"/>
        <w:rPr>
          <w:sz w:val="22"/>
          <w:szCs w:val="22"/>
        </w:rPr>
      </w:pPr>
      <w:r w:rsidRPr="00FF6C29">
        <w:rPr>
          <w:sz w:val="22"/>
          <w:szCs w:val="22"/>
        </w:rPr>
        <w:t xml:space="preserve">Tuomiopiirit ilmenevät oheisesta kartasta (Liite </w:t>
      </w:r>
      <w:r w:rsidR="006F486E" w:rsidRPr="00FF6C29">
        <w:rPr>
          <w:sz w:val="22"/>
          <w:szCs w:val="22"/>
        </w:rPr>
        <w:t>2</w:t>
      </w:r>
      <w:r w:rsidRPr="00FF6C29">
        <w:rPr>
          <w:sz w:val="22"/>
          <w:szCs w:val="22"/>
        </w:rPr>
        <w:t xml:space="preserve">). </w:t>
      </w:r>
    </w:p>
    <w:p w14:paraId="64539A02" w14:textId="77777777" w:rsidR="00623A01" w:rsidRPr="00FF6C29" w:rsidRDefault="00623A01" w:rsidP="00B43FE9">
      <w:pPr>
        <w:ind w:left="1298"/>
        <w:rPr>
          <w:sz w:val="22"/>
          <w:szCs w:val="22"/>
        </w:rPr>
      </w:pPr>
    </w:p>
    <w:p w14:paraId="764835C9" w14:textId="77777777" w:rsidR="00FE4DEA" w:rsidRPr="00FF6C29" w:rsidRDefault="00FE4DEA" w:rsidP="008207D3">
      <w:pPr>
        <w:ind w:left="1298"/>
        <w:rPr>
          <w:sz w:val="22"/>
          <w:szCs w:val="22"/>
        </w:rPr>
      </w:pPr>
      <w:r w:rsidRPr="00FF6C29">
        <w:rPr>
          <w:sz w:val="22"/>
          <w:szCs w:val="22"/>
        </w:rPr>
        <w:t>Tuomioistuinlain 2 luvun 7 §:n mukaan maaoikeutena toimivassa käräjäoikeudessa on jäseninä maaoikeusasioita käsittelevä käräjätuomari (</w:t>
      </w:r>
      <w:r w:rsidRPr="00FF6C29">
        <w:rPr>
          <w:i/>
          <w:sz w:val="22"/>
          <w:szCs w:val="22"/>
        </w:rPr>
        <w:t>maaoikeusasioiden vastuutuomari</w:t>
      </w:r>
      <w:r w:rsidRPr="00FF6C29">
        <w:rPr>
          <w:sz w:val="22"/>
          <w:szCs w:val="22"/>
        </w:rPr>
        <w:t xml:space="preserve">) sekä maaoikeusinsinööri. Maaoikeusasioiden vastuutuomari osallistuu myös käräjäoikeuden muiden asioiden käsittelyyn. Käräjäoikeuden laamanni määrää lisäksi vähintään yhden käräjäoikeuden tuomareista käsittelemään maaoikeusasioita enintään viiden vuoden määräajaksi kerrallaan. </w:t>
      </w:r>
    </w:p>
    <w:p w14:paraId="4B4451E9" w14:textId="77777777" w:rsidR="00FE4DEA" w:rsidRPr="00FF6C29" w:rsidRDefault="00FE4DEA" w:rsidP="008207D3">
      <w:pPr>
        <w:ind w:left="1298"/>
        <w:rPr>
          <w:sz w:val="22"/>
          <w:szCs w:val="22"/>
        </w:rPr>
      </w:pPr>
    </w:p>
    <w:p w14:paraId="17073515" w14:textId="06B09F89" w:rsidR="001910A9" w:rsidRPr="00FF6C29" w:rsidRDefault="00FE4DEA" w:rsidP="008207D3">
      <w:pPr>
        <w:ind w:left="1298"/>
        <w:rPr>
          <w:sz w:val="22"/>
          <w:szCs w:val="22"/>
        </w:rPr>
      </w:pPr>
      <w:r w:rsidRPr="00FF6C29">
        <w:rPr>
          <w:sz w:val="22"/>
          <w:szCs w:val="22"/>
        </w:rPr>
        <w:t xml:space="preserve">Maaoikeusinsinööri on tuomari. Virkaan on säädetty erityiset kelpoisuusvaatimukset (tuomioistuinlaki 10 luku 5 §). </w:t>
      </w:r>
      <w:r w:rsidR="0061346C" w:rsidRPr="00FF6C29">
        <w:rPr>
          <w:sz w:val="22"/>
          <w:szCs w:val="22"/>
        </w:rPr>
        <w:t>Maaoikeuksissa on tällä hetkellä seitsemän maaoikeusinsinööriä</w:t>
      </w:r>
      <w:r w:rsidR="00177CB1" w:rsidRPr="00FF6C29">
        <w:rPr>
          <w:sz w:val="22"/>
          <w:szCs w:val="22"/>
        </w:rPr>
        <w:t xml:space="preserve">, koska </w:t>
      </w:r>
      <w:r w:rsidR="0061346C" w:rsidRPr="00FF6C29">
        <w:rPr>
          <w:sz w:val="22"/>
          <w:szCs w:val="22"/>
        </w:rPr>
        <w:t>Oulun maaoikeuden insinöörin virkaa ei ole t</w:t>
      </w:r>
      <w:r w:rsidR="00177CB1" w:rsidRPr="00FF6C29">
        <w:rPr>
          <w:sz w:val="22"/>
          <w:szCs w:val="22"/>
        </w:rPr>
        <w:t>äytetty</w:t>
      </w:r>
      <w:r w:rsidR="0061346C" w:rsidRPr="00FF6C29">
        <w:rPr>
          <w:sz w:val="22"/>
          <w:szCs w:val="22"/>
        </w:rPr>
        <w:t>. N</w:t>
      </w:r>
      <w:r w:rsidR="00AD6172" w:rsidRPr="00FF6C29">
        <w:rPr>
          <w:sz w:val="22"/>
          <w:szCs w:val="22"/>
        </w:rPr>
        <w:t xml:space="preserve">äistä yli puolet </w:t>
      </w:r>
      <w:r w:rsidR="00827F5E">
        <w:rPr>
          <w:sz w:val="22"/>
          <w:szCs w:val="22"/>
        </w:rPr>
        <w:t xml:space="preserve">eläköityy </w:t>
      </w:r>
      <w:r w:rsidR="0061346C" w:rsidRPr="00FF6C29">
        <w:rPr>
          <w:sz w:val="22"/>
          <w:szCs w:val="22"/>
        </w:rPr>
        <w:t xml:space="preserve">lähivuosina. </w:t>
      </w:r>
    </w:p>
    <w:p w14:paraId="0A8C2D84" w14:textId="77777777" w:rsidR="0061346C" w:rsidRPr="00FF6C29" w:rsidRDefault="0061346C" w:rsidP="008207D3">
      <w:pPr>
        <w:ind w:left="1298"/>
        <w:rPr>
          <w:sz w:val="22"/>
          <w:szCs w:val="22"/>
        </w:rPr>
      </w:pPr>
    </w:p>
    <w:p w14:paraId="3EBACDFC" w14:textId="77777777" w:rsidR="008207D3" w:rsidRPr="00FF6C29" w:rsidRDefault="0061346C" w:rsidP="008207D3">
      <w:pPr>
        <w:ind w:left="1298"/>
        <w:rPr>
          <w:sz w:val="22"/>
          <w:szCs w:val="22"/>
        </w:rPr>
      </w:pPr>
      <w:r w:rsidRPr="00FF6C29">
        <w:rPr>
          <w:sz w:val="22"/>
          <w:szCs w:val="22"/>
        </w:rPr>
        <w:t xml:space="preserve">Tuomioistuinlain 14 luvun 3 §:ssä säädetään maaoikeusinsinöörin velvollisuudesta toimia </w:t>
      </w:r>
      <w:r w:rsidR="00B150BF" w:rsidRPr="00FF6C29">
        <w:rPr>
          <w:sz w:val="22"/>
          <w:szCs w:val="22"/>
        </w:rPr>
        <w:t xml:space="preserve">toisessa maaoikeudessa. Sen mukaan maaoikeusinsinööri voidaan tarvittaessa määrätä käsittelemään maaoikeusasioita myös muussa samaan maaoikeusinsinöörien yhteistoiminta-alueeseen </w:t>
      </w:r>
      <w:r w:rsidR="00B150BF" w:rsidRPr="00FF6C29">
        <w:rPr>
          <w:sz w:val="22"/>
          <w:szCs w:val="22"/>
        </w:rPr>
        <w:lastRenderedPageBreak/>
        <w:t xml:space="preserve">kuuluvassa maaoikeusasioita käsittelevässä käräjäoikeudessa kuin siinä, johon hänet on nimitetty. Määräyksen antaa se käräjäoikeus, johon maaoikeusinsinööri on nimitetty. Maaoikeusinsinöörien yhteistoiminta-alueista säädetään oikeusministeriön asetuksella (889/2016). </w:t>
      </w:r>
      <w:r w:rsidR="008207D3" w:rsidRPr="00FF6C29">
        <w:rPr>
          <w:sz w:val="22"/>
          <w:szCs w:val="22"/>
        </w:rPr>
        <w:t xml:space="preserve">Sen mukaan yhteistoiminta-alueet muodostuvat nykyisin seuraavasti: </w:t>
      </w:r>
    </w:p>
    <w:p w14:paraId="1F7D1CC2" w14:textId="474ADEF7" w:rsidR="008207D3" w:rsidRPr="00FF6C29" w:rsidRDefault="008207D3" w:rsidP="001910A9">
      <w:pPr>
        <w:pStyle w:val="Luettelokappale"/>
        <w:numPr>
          <w:ilvl w:val="0"/>
          <w:numId w:val="38"/>
        </w:numPr>
        <w:rPr>
          <w:sz w:val="22"/>
          <w:szCs w:val="22"/>
        </w:rPr>
      </w:pPr>
      <w:r w:rsidRPr="00FF6C29">
        <w:rPr>
          <w:sz w:val="22"/>
          <w:szCs w:val="22"/>
        </w:rPr>
        <w:t>Kanta-Hämeen, Vantaan</w:t>
      </w:r>
      <w:r w:rsidR="00AB794D">
        <w:rPr>
          <w:rStyle w:val="Alaviitteenviite"/>
          <w:sz w:val="22"/>
          <w:szCs w:val="22"/>
        </w:rPr>
        <w:footnoteReference w:id="2"/>
      </w:r>
      <w:r w:rsidRPr="00FF6C29">
        <w:rPr>
          <w:sz w:val="22"/>
          <w:szCs w:val="22"/>
        </w:rPr>
        <w:t xml:space="preserve"> ja Varsinais-Suomen käräjäoikeuksien maaoikeusinsinöörien yhteistoiminta-alue;  </w:t>
      </w:r>
    </w:p>
    <w:p w14:paraId="1DC4FAA5" w14:textId="77777777" w:rsidR="008207D3" w:rsidRPr="00FF6C29" w:rsidRDefault="008207D3" w:rsidP="001910A9">
      <w:pPr>
        <w:pStyle w:val="Luettelokappale"/>
        <w:numPr>
          <w:ilvl w:val="0"/>
          <w:numId w:val="38"/>
        </w:numPr>
        <w:rPr>
          <w:sz w:val="22"/>
          <w:szCs w:val="22"/>
        </w:rPr>
      </w:pPr>
      <w:r w:rsidRPr="00FF6C29">
        <w:rPr>
          <w:sz w:val="22"/>
          <w:szCs w:val="22"/>
        </w:rPr>
        <w:t xml:space="preserve">Lapin, Oulun ja Pohjanmaan käräjäoikeuksien maaoikeusinsinöörien yhteistoiminta-alue ja </w:t>
      </w:r>
    </w:p>
    <w:p w14:paraId="28D06050" w14:textId="77777777" w:rsidR="008207D3" w:rsidRPr="00FF6C29" w:rsidRDefault="008207D3" w:rsidP="001910A9">
      <w:pPr>
        <w:pStyle w:val="Luettelokappale"/>
        <w:numPr>
          <w:ilvl w:val="0"/>
          <w:numId w:val="38"/>
        </w:numPr>
        <w:rPr>
          <w:sz w:val="22"/>
          <w:szCs w:val="22"/>
        </w:rPr>
      </w:pPr>
      <w:r w:rsidRPr="00FF6C29">
        <w:rPr>
          <w:sz w:val="22"/>
          <w:szCs w:val="22"/>
        </w:rPr>
        <w:t xml:space="preserve">Etelä-Savon ja </w:t>
      </w:r>
      <w:proofErr w:type="spellStart"/>
      <w:r w:rsidRPr="00FF6C29">
        <w:rPr>
          <w:sz w:val="22"/>
          <w:szCs w:val="22"/>
        </w:rPr>
        <w:t>Pohjois</w:t>
      </w:r>
      <w:proofErr w:type="spellEnd"/>
      <w:r w:rsidRPr="00FF6C29">
        <w:rPr>
          <w:sz w:val="22"/>
          <w:szCs w:val="22"/>
        </w:rPr>
        <w:t>-Savon käräjäoikeuksien maaoikeusinsinöörien yhteistoiminta-alue.</w:t>
      </w:r>
    </w:p>
    <w:p w14:paraId="5D0BA4C4" w14:textId="77777777" w:rsidR="008207D3" w:rsidRPr="00FF6C29" w:rsidRDefault="008207D3" w:rsidP="00B150BF">
      <w:pPr>
        <w:ind w:left="1298"/>
        <w:rPr>
          <w:sz w:val="22"/>
          <w:szCs w:val="22"/>
        </w:rPr>
      </w:pPr>
    </w:p>
    <w:p w14:paraId="22BCECE4" w14:textId="66CCDE36" w:rsidR="008207D3" w:rsidRPr="00FF6C29" w:rsidRDefault="001910A9" w:rsidP="00B150BF">
      <w:pPr>
        <w:ind w:left="1298"/>
        <w:rPr>
          <w:sz w:val="22"/>
          <w:szCs w:val="22"/>
        </w:rPr>
      </w:pPr>
      <w:r w:rsidRPr="00FF6C29">
        <w:rPr>
          <w:sz w:val="22"/>
          <w:szCs w:val="22"/>
        </w:rPr>
        <w:t xml:space="preserve">Oikeusministeriö toteaa, että maaoikeudet toimivat nykyisellään varsin hyvin. Asiamäärien vaihtelu huomioon ottaen työmäärän tasainen jako maaoikeuksien välillä on haasteellista. </w:t>
      </w:r>
      <w:r w:rsidR="00FF6C29">
        <w:rPr>
          <w:sz w:val="22"/>
          <w:szCs w:val="22"/>
        </w:rPr>
        <w:t>M</w:t>
      </w:r>
      <w:r w:rsidRPr="00FF6C29">
        <w:rPr>
          <w:sz w:val="22"/>
          <w:szCs w:val="22"/>
        </w:rPr>
        <w:t xml:space="preserve">aaoikeuksien yhdistämisellä ei </w:t>
      </w:r>
      <w:r w:rsidR="00FF6C29">
        <w:rPr>
          <w:sz w:val="22"/>
          <w:szCs w:val="22"/>
        </w:rPr>
        <w:t xml:space="preserve">yksinään </w:t>
      </w:r>
      <w:r w:rsidRPr="00FF6C29">
        <w:rPr>
          <w:sz w:val="22"/>
          <w:szCs w:val="22"/>
        </w:rPr>
        <w:t>voida saavuttaa työmäärän tasaista jakautumista</w:t>
      </w:r>
      <w:r w:rsidR="00FF6C29">
        <w:rPr>
          <w:sz w:val="22"/>
          <w:szCs w:val="22"/>
        </w:rPr>
        <w:t>. T</w:t>
      </w:r>
      <w:r w:rsidR="008207D3" w:rsidRPr="00FF6C29">
        <w:rPr>
          <w:sz w:val="22"/>
          <w:szCs w:val="22"/>
        </w:rPr>
        <w:t xml:space="preserve">yömäärää voidaan tasata </w:t>
      </w:r>
      <w:r w:rsidR="00FF6C29">
        <w:rPr>
          <w:sz w:val="22"/>
          <w:szCs w:val="22"/>
        </w:rPr>
        <w:t xml:space="preserve">myös tarkistamalla tuomiopiirejä ja </w:t>
      </w:r>
      <w:r w:rsidR="008207D3" w:rsidRPr="00FF6C29">
        <w:rPr>
          <w:sz w:val="22"/>
          <w:szCs w:val="22"/>
        </w:rPr>
        <w:t>lisäämällä yhteistoimintaa maaoikeuksien välillä, jolloin vähemmän työllistetyn maaoikeuden insinööri hoitaa toisen maaoikeuden tuomiopiiriin kuuluvia asi</w:t>
      </w:r>
      <w:r w:rsidRPr="00FF6C29">
        <w:rPr>
          <w:sz w:val="22"/>
          <w:szCs w:val="22"/>
        </w:rPr>
        <w:t>oita. Näin on esimerkiksi menetelty Oulun maaoikeudessa, jonka maaoikeusinsinöörin virkaa ei ole täytetty, vaan asiat on hoidettu Lapin ja Pohjanmaan maaoikeusinsinöörien yh</w:t>
      </w:r>
      <w:r w:rsidR="0061346C" w:rsidRPr="00FF6C29">
        <w:rPr>
          <w:sz w:val="22"/>
          <w:szCs w:val="22"/>
        </w:rPr>
        <w:t>t</w:t>
      </w:r>
      <w:r w:rsidRPr="00FF6C29">
        <w:rPr>
          <w:sz w:val="22"/>
          <w:szCs w:val="22"/>
        </w:rPr>
        <w:t xml:space="preserve">eistoiminnalla. </w:t>
      </w:r>
      <w:r w:rsidR="008207D3" w:rsidRPr="00FF6C29">
        <w:rPr>
          <w:sz w:val="22"/>
          <w:szCs w:val="22"/>
        </w:rPr>
        <w:t xml:space="preserve">Oikeusministeriö </w:t>
      </w:r>
      <w:r w:rsidRPr="00FF6C29">
        <w:rPr>
          <w:sz w:val="22"/>
          <w:szCs w:val="22"/>
        </w:rPr>
        <w:t xml:space="preserve">on </w:t>
      </w:r>
      <w:r w:rsidR="008207D3" w:rsidRPr="00FF6C29">
        <w:rPr>
          <w:sz w:val="22"/>
          <w:szCs w:val="22"/>
        </w:rPr>
        <w:t xml:space="preserve">pitänyt perusteltuna, että maaoikeuksien välistä yhteistoimintaa lisätään </w:t>
      </w:r>
      <w:r w:rsidRPr="00FF6C29">
        <w:rPr>
          <w:sz w:val="22"/>
          <w:szCs w:val="22"/>
        </w:rPr>
        <w:t xml:space="preserve">ensinnäkin </w:t>
      </w:r>
      <w:r w:rsidR="008207D3" w:rsidRPr="00FF6C29">
        <w:rPr>
          <w:sz w:val="22"/>
          <w:szCs w:val="22"/>
        </w:rPr>
        <w:t xml:space="preserve">yhteistoiminta-alueita tarkistamalla. </w:t>
      </w:r>
    </w:p>
    <w:p w14:paraId="44D899B4" w14:textId="77777777" w:rsidR="008207D3" w:rsidRPr="00FF6C29" w:rsidRDefault="008207D3" w:rsidP="00B150BF">
      <w:pPr>
        <w:ind w:left="1298"/>
        <w:rPr>
          <w:sz w:val="22"/>
          <w:szCs w:val="22"/>
        </w:rPr>
      </w:pPr>
    </w:p>
    <w:p w14:paraId="448D750B" w14:textId="344B8235" w:rsidR="00820501" w:rsidRPr="00FF6C29" w:rsidRDefault="00122B37" w:rsidP="00B150BF">
      <w:pPr>
        <w:ind w:left="1298"/>
        <w:rPr>
          <w:sz w:val="22"/>
          <w:szCs w:val="22"/>
        </w:rPr>
      </w:pPr>
      <w:r w:rsidRPr="00FF6C29">
        <w:rPr>
          <w:sz w:val="22"/>
          <w:szCs w:val="22"/>
        </w:rPr>
        <w:t>Toiseksi oikeusministeriö on</w:t>
      </w:r>
      <w:r w:rsidR="00177CB1" w:rsidRPr="00FF6C29">
        <w:rPr>
          <w:sz w:val="22"/>
          <w:szCs w:val="22"/>
        </w:rPr>
        <w:t xml:space="preserve"> asian aiemmissa valmisteluvaiheissa </w:t>
      </w:r>
      <w:r w:rsidR="00EF29E7">
        <w:rPr>
          <w:sz w:val="22"/>
          <w:szCs w:val="22"/>
        </w:rPr>
        <w:t xml:space="preserve">arvioinut, että </w:t>
      </w:r>
      <w:r w:rsidRPr="00FF6C29">
        <w:rPr>
          <w:sz w:val="22"/>
          <w:szCs w:val="22"/>
        </w:rPr>
        <w:t>t</w:t>
      </w:r>
      <w:r w:rsidR="00B150BF" w:rsidRPr="00FF6C29">
        <w:rPr>
          <w:sz w:val="22"/>
          <w:szCs w:val="22"/>
        </w:rPr>
        <w:t>uomioistuinten yhteistoimintaa</w:t>
      </w:r>
      <w:r w:rsidR="00EF29E7">
        <w:rPr>
          <w:sz w:val="22"/>
          <w:szCs w:val="22"/>
        </w:rPr>
        <w:t xml:space="preserve"> </w:t>
      </w:r>
      <w:r w:rsidR="00B150BF" w:rsidRPr="00FF6C29">
        <w:rPr>
          <w:sz w:val="22"/>
          <w:szCs w:val="22"/>
        </w:rPr>
        <w:t>maa</w:t>
      </w:r>
      <w:r w:rsidR="00177CB1" w:rsidRPr="00FF6C29">
        <w:rPr>
          <w:sz w:val="22"/>
          <w:szCs w:val="22"/>
        </w:rPr>
        <w:t xml:space="preserve">oikeusasioissa </w:t>
      </w:r>
      <w:r w:rsidR="00EF29E7">
        <w:rPr>
          <w:sz w:val="22"/>
          <w:szCs w:val="22"/>
        </w:rPr>
        <w:t xml:space="preserve">voisi olla perusteltua lisätä </w:t>
      </w:r>
      <w:r w:rsidR="00B150BF" w:rsidRPr="00FF6C29">
        <w:rPr>
          <w:sz w:val="22"/>
          <w:szCs w:val="22"/>
        </w:rPr>
        <w:t>myös muutoin</w:t>
      </w:r>
      <w:r w:rsidRPr="00FF6C29">
        <w:rPr>
          <w:sz w:val="22"/>
          <w:szCs w:val="22"/>
        </w:rPr>
        <w:t>, jotta voidaan huolehtia maaoikeusinsinöörien riittävästä työmäärästä</w:t>
      </w:r>
      <w:r w:rsidR="00B150BF" w:rsidRPr="00FF6C29">
        <w:rPr>
          <w:sz w:val="22"/>
          <w:szCs w:val="22"/>
        </w:rPr>
        <w:t xml:space="preserve">. Tuomioistuinlain 14 luvun 2 §:n perusteella maaoikeusasioiden vastuutuomari ja maaoikeusinsinööri voidaan suostumuksellaan määrätä toimimaan muussakin kuin samaan yhteistoiminta-alueeseen kuuluvassa maaoikeudessa. Määräys voidaan antaa, jos se on perusteltua vastaanottavassa tuomioistuimessa käsiteltävien asioiden laadun, laajuuden tai lukumäärän vuoksi. Tällainen yhteistoiminta-alueen ulkopuolelle suuntautuva määräys voidaan lain mukaan antaa vain asianomaisen henkilön ja tuomioistuinten suostumuksella. Määräyksen antaa hovioikeus. </w:t>
      </w:r>
    </w:p>
    <w:p w14:paraId="1E0CA905" w14:textId="77777777" w:rsidR="00DD1BB6" w:rsidRPr="00FF6C29" w:rsidRDefault="00DD1BB6" w:rsidP="00B150BF">
      <w:pPr>
        <w:ind w:left="1298"/>
        <w:rPr>
          <w:sz w:val="22"/>
          <w:szCs w:val="22"/>
        </w:rPr>
      </w:pPr>
    </w:p>
    <w:p w14:paraId="66BCFA15" w14:textId="13D89857" w:rsidR="00DD1BB6" w:rsidRPr="00FF6C29" w:rsidRDefault="00DD1BB6" w:rsidP="00B150BF">
      <w:pPr>
        <w:ind w:left="1298"/>
        <w:rPr>
          <w:sz w:val="22"/>
          <w:szCs w:val="22"/>
        </w:rPr>
      </w:pPr>
      <w:r w:rsidRPr="00FF6C29">
        <w:rPr>
          <w:sz w:val="22"/>
          <w:szCs w:val="22"/>
        </w:rPr>
        <w:t xml:space="preserve">Kolmanneksi valmistelussa tulee ottaa huomioon </w:t>
      </w:r>
      <w:r w:rsidR="0023575A" w:rsidRPr="00FF6C29">
        <w:rPr>
          <w:sz w:val="22"/>
          <w:szCs w:val="22"/>
        </w:rPr>
        <w:t xml:space="preserve">se, että osaamisen säilyttämisen vuoksi maaoikeusasioita tulee olla kaikilla näitä asioita käsittelevillä riittävästi osaamisen säilyttämiseksi. Näin ollen myös maaoikeusasioiden vastuutuomareiden ja heidän varalla olevien tuomareiden kokonaismäärä tulee olla oikeassa suhteessa asiamäärään. </w:t>
      </w:r>
    </w:p>
    <w:p w14:paraId="01CFFAFF" w14:textId="3BBD7566" w:rsidR="002817D1" w:rsidRPr="00FF6C29" w:rsidRDefault="002817D1" w:rsidP="002817D1">
      <w:pPr>
        <w:pStyle w:val="Otsikko1"/>
      </w:pPr>
      <w:r w:rsidRPr="00FF6C29">
        <w:t>Keskeiset ehdotukset</w:t>
      </w:r>
    </w:p>
    <w:p w14:paraId="6E4D9DE6" w14:textId="7D15A705" w:rsidR="002900BA" w:rsidRPr="00FF6C29" w:rsidRDefault="002900BA" w:rsidP="00827F5E">
      <w:pPr>
        <w:pStyle w:val="Otsikko2"/>
      </w:pPr>
      <w:r w:rsidRPr="00FF6C29">
        <w:t>Maaoikeuksien asiamäärät</w:t>
      </w:r>
    </w:p>
    <w:p w14:paraId="09081D7C" w14:textId="56DF333D" w:rsidR="00422822" w:rsidRDefault="00177CB1" w:rsidP="00E15A56">
      <w:pPr>
        <w:ind w:left="1298"/>
        <w:rPr>
          <w:sz w:val="22"/>
          <w:szCs w:val="22"/>
        </w:rPr>
      </w:pPr>
      <w:r w:rsidRPr="00FF6C29">
        <w:rPr>
          <w:sz w:val="22"/>
          <w:szCs w:val="22"/>
        </w:rPr>
        <w:t>Edellä jo todetulla tavalla m</w:t>
      </w:r>
      <w:r w:rsidR="002817D1" w:rsidRPr="00FF6C29">
        <w:rPr>
          <w:sz w:val="22"/>
          <w:szCs w:val="22"/>
        </w:rPr>
        <w:t xml:space="preserve">aaoikeuksien asiamäärät ovat </w:t>
      </w:r>
      <w:r w:rsidRPr="00FF6C29">
        <w:rPr>
          <w:sz w:val="22"/>
          <w:szCs w:val="22"/>
        </w:rPr>
        <w:t xml:space="preserve">erityisesti </w:t>
      </w:r>
      <w:r w:rsidR="00B04F3C" w:rsidRPr="00FF6C29">
        <w:rPr>
          <w:sz w:val="22"/>
          <w:szCs w:val="22"/>
        </w:rPr>
        <w:t xml:space="preserve">viime vuosina </w:t>
      </w:r>
      <w:r w:rsidR="002817D1" w:rsidRPr="00FF6C29">
        <w:rPr>
          <w:sz w:val="22"/>
          <w:szCs w:val="22"/>
        </w:rPr>
        <w:t>laskeneet</w:t>
      </w:r>
      <w:r w:rsidR="003E713F" w:rsidRPr="00FF6C29">
        <w:rPr>
          <w:sz w:val="22"/>
          <w:szCs w:val="22"/>
        </w:rPr>
        <w:t xml:space="preserve"> merkittävästi</w:t>
      </w:r>
      <w:r w:rsidR="002817D1" w:rsidRPr="00FF6C29">
        <w:rPr>
          <w:sz w:val="22"/>
          <w:szCs w:val="22"/>
        </w:rPr>
        <w:t xml:space="preserve">. </w:t>
      </w:r>
      <w:r w:rsidR="006C6C90" w:rsidRPr="00FF6C29">
        <w:rPr>
          <w:sz w:val="22"/>
          <w:szCs w:val="22"/>
        </w:rPr>
        <w:t>Esimerkiksi vuonna 201</w:t>
      </w:r>
      <w:r w:rsidR="00FF6C29">
        <w:rPr>
          <w:sz w:val="22"/>
          <w:szCs w:val="22"/>
        </w:rPr>
        <w:t>7</w:t>
      </w:r>
      <w:r w:rsidR="006C6C90" w:rsidRPr="00FF6C29">
        <w:rPr>
          <w:sz w:val="22"/>
          <w:szCs w:val="22"/>
        </w:rPr>
        <w:t xml:space="preserve"> saapui vain </w:t>
      </w:r>
      <w:r w:rsidR="00FF6C29">
        <w:rPr>
          <w:sz w:val="22"/>
          <w:szCs w:val="22"/>
        </w:rPr>
        <w:t>388</w:t>
      </w:r>
      <w:r w:rsidR="006C6C90" w:rsidRPr="00FF6C29">
        <w:rPr>
          <w:sz w:val="22"/>
          <w:szCs w:val="22"/>
        </w:rPr>
        <w:t xml:space="preserve"> asiaa, mikä on vain 6</w:t>
      </w:r>
      <w:r w:rsidR="00B95FA9">
        <w:rPr>
          <w:sz w:val="22"/>
          <w:szCs w:val="22"/>
        </w:rPr>
        <w:t>0</w:t>
      </w:r>
      <w:r w:rsidR="006C6C90" w:rsidRPr="00FF6C29">
        <w:rPr>
          <w:sz w:val="22"/>
          <w:szCs w:val="22"/>
        </w:rPr>
        <w:t xml:space="preserve"> </w:t>
      </w:r>
      <w:r w:rsidR="003E713F" w:rsidRPr="00FF6C29">
        <w:rPr>
          <w:sz w:val="22"/>
          <w:szCs w:val="22"/>
        </w:rPr>
        <w:t xml:space="preserve">% </w:t>
      </w:r>
      <w:r w:rsidR="006C6C90" w:rsidRPr="00FF6C29">
        <w:rPr>
          <w:sz w:val="22"/>
          <w:szCs w:val="22"/>
        </w:rPr>
        <w:t xml:space="preserve">vuonna 2012 saapuneiden asioiden määrästä. </w:t>
      </w:r>
      <w:r w:rsidR="003E713F" w:rsidRPr="00FF6C29">
        <w:rPr>
          <w:sz w:val="22"/>
          <w:szCs w:val="22"/>
        </w:rPr>
        <w:t>Maaoikeu</w:t>
      </w:r>
      <w:r w:rsidR="006C6C90" w:rsidRPr="00FF6C29">
        <w:rPr>
          <w:sz w:val="22"/>
          <w:szCs w:val="22"/>
        </w:rPr>
        <w:t xml:space="preserve">ksissa </w:t>
      </w:r>
      <w:r w:rsidR="00FF6C29">
        <w:rPr>
          <w:sz w:val="22"/>
          <w:szCs w:val="22"/>
        </w:rPr>
        <w:t>saapuneiden</w:t>
      </w:r>
      <w:r w:rsidR="006C6C90" w:rsidRPr="00FF6C29">
        <w:rPr>
          <w:sz w:val="22"/>
          <w:szCs w:val="22"/>
        </w:rPr>
        <w:t xml:space="preserve"> asioiden määrä on vielä vuonna 2014 ollut aiempaa vastaavalla tasolla eli 600–700 luokkaa. </w:t>
      </w:r>
      <w:r w:rsidR="00B04F3C" w:rsidRPr="00FF6C29">
        <w:rPr>
          <w:sz w:val="22"/>
          <w:szCs w:val="22"/>
        </w:rPr>
        <w:t xml:space="preserve">Varsinaisia </w:t>
      </w:r>
      <w:r w:rsidR="00FF6C29">
        <w:rPr>
          <w:sz w:val="22"/>
          <w:szCs w:val="22"/>
        </w:rPr>
        <w:t xml:space="preserve">maaoikeusasioita </w:t>
      </w:r>
      <w:r w:rsidR="00B04F3C" w:rsidRPr="00FF6C29">
        <w:rPr>
          <w:sz w:val="22"/>
          <w:szCs w:val="22"/>
        </w:rPr>
        <w:t>näistä on noin kaksi kolmasosaa eli noin 400</w:t>
      </w:r>
      <w:r w:rsidR="00B60699" w:rsidRPr="00FF6C29">
        <w:rPr>
          <w:sz w:val="22"/>
          <w:szCs w:val="22"/>
        </w:rPr>
        <w:t>–</w:t>
      </w:r>
      <w:r w:rsidR="00B04F3C" w:rsidRPr="00FF6C29">
        <w:rPr>
          <w:sz w:val="22"/>
          <w:szCs w:val="22"/>
        </w:rPr>
        <w:t xml:space="preserve">500. </w:t>
      </w:r>
      <w:r w:rsidR="006C6C90" w:rsidRPr="00FF6C29">
        <w:rPr>
          <w:sz w:val="22"/>
          <w:szCs w:val="22"/>
        </w:rPr>
        <w:t>Vuoden 2017 alussa maaoikeuksissa vireillä olleiden asioiden määrä oli 191 (</w:t>
      </w:r>
      <w:r w:rsidR="00422822">
        <w:rPr>
          <w:sz w:val="22"/>
          <w:szCs w:val="22"/>
        </w:rPr>
        <w:t xml:space="preserve">vuoden </w:t>
      </w:r>
      <w:r w:rsidR="0023575A" w:rsidRPr="00FF6C29">
        <w:rPr>
          <w:sz w:val="22"/>
          <w:szCs w:val="22"/>
        </w:rPr>
        <w:t xml:space="preserve">2018 </w:t>
      </w:r>
      <w:r w:rsidR="00422822">
        <w:rPr>
          <w:sz w:val="22"/>
          <w:szCs w:val="22"/>
        </w:rPr>
        <w:t xml:space="preserve">alussa 173 </w:t>
      </w:r>
      <w:r w:rsidR="0023575A" w:rsidRPr="00FF6C29">
        <w:rPr>
          <w:sz w:val="22"/>
          <w:szCs w:val="22"/>
        </w:rPr>
        <w:t xml:space="preserve">ja </w:t>
      </w:r>
      <w:r w:rsidR="006C6C90" w:rsidRPr="00FF6C29">
        <w:rPr>
          <w:sz w:val="22"/>
          <w:szCs w:val="22"/>
        </w:rPr>
        <w:t>vuo</w:t>
      </w:r>
      <w:r w:rsidR="00422822">
        <w:rPr>
          <w:sz w:val="22"/>
          <w:szCs w:val="22"/>
        </w:rPr>
        <w:t xml:space="preserve">den </w:t>
      </w:r>
      <w:r w:rsidR="006C6C90" w:rsidRPr="00FF6C29">
        <w:rPr>
          <w:sz w:val="22"/>
          <w:szCs w:val="22"/>
        </w:rPr>
        <w:t xml:space="preserve">2016 </w:t>
      </w:r>
      <w:r w:rsidR="00422822">
        <w:rPr>
          <w:sz w:val="22"/>
          <w:szCs w:val="22"/>
        </w:rPr>
        <w:t>alussa 191</w:t>
      </w:r>
      <w:r w:rsidR="006C6C90" w:rsidRPr="00FF6C29">
        <w:rPr>
          <w:sz w:val="22"/>
          <w:szCs w:val="22"/>
        </w:rPr>
        <w:t xml:space="preserve">), kun se aiempina vuosina on ollut 300 </w:t>
      </w:r>
      <w:r w:rsidR="00481081" w:rsidRPr="00FF6C29">
        <w:rPr>
          <w:sz w:val="22"/>
          <w:szCs w:val="22"/>
        </w:rPr>
        <w:t xml:space="preserve">tai jopa lähes 400. </w:t>
      </w:r>
    </w:p>
    <w:p w14:paraId="4EBFC744" w14:textId="77777777" w:rsidR="00422822" w:rsidRDefault="00422822" w:rsidP="00E15A56">
      <w:pPr>
        <w:ind w:left="1298"/>
        <w:rPr>
          <w:sz w:val="22"/>
          <w:szCs w:val="22"/>
        </w:rPr>
      </w:pPr>
    </w:p>
    <w:p w14:paraId="22DCAD81" w14:textId="262E0698" w:rsidR="00E15A56" w:rsidRPr="00FF6C29" w:rsidRDefault="00E15A56" w:rsidP="00E15A56">
      <w:pPr>
        <w:ind w:left="1298"/>
        <w:rPr>
          <w:sz w:val="22"/>
          <w:szCs w:val="22"/>
        </w:rPr>
      </w:pPr>
      <w:r w:rsidRPr="00FF6C29">
        <w:rPr>
          <w:sz w:val="22"/>
          <w:szCs w:val="22"/>
        </w:rPr>
        <w:t xml:space="preserve">Maaoikeusasioiden vastuutuomarit käsittelevät myös muita käräjäoikeuden asioita. Näin ollen maaoikeusasioiden määrän vähentyminen ei merkittävästi vaikuta heidän työmääräänsä, jos </w:t>
      </w:r>
      <w:r w:rsidRPr="00FF6C29">
        <w:rPr>
          <w:sz w:val="22"/>
          <w:szCs w:val="22"/>
        </w:rPr>
        <w:lastRenderedPageBreak/>
        <w:t>heille jaetaan vastaavassa määrin muita asioita ratkaistavaksi.</w:t>
      </w:r>
      <w:r w:rsidR="0023575A" w:rsidRPr="00FF6C29">
        <w:rPr>
          <w:sz w:val="22"/>
          <w:szCs w:val="22"/>
        </w:rPr>
        <w:t xml:space="preserve"> Osaamisen kannalta tulee maaoikeusasioita </w:t>
      </w:r>
      <w:r w:rsidR="0023575A" w:rsidRPr="00827F5E">
        <w:rPr>
          <w:sz w:val="22"/>
          <w:szCs w:val="22"/>
        </w:rPr>
        <w:t xml:space="preserve">kuitenkin </w:t>
      </w:r>
      <w:r w:rsidR="0023575A" w:rsidRPr="00FF6C29">
        <w:rPr>
          <w:sz w:val="22"/>
          <w:szCs w:val="22"/>
        </w:rPr>
        <w:t xml:space="preserve">olla riittävästi tuomaria kohti. </w:t>
      </w:r>
      <w:r w:rsidR="00D53C8E" w:rsidRPr="00FF6C29">
        <w:rPr>
          <w:sz w:val="22"/>
          <w:szCs w:val="22"/>
        </w:rPr>
        <w:t xml:space="preserve">Tätä voidaan edistää keskittämällä maaoikeusasioita käsiteltäväksi nykyistä harvempiin tuomioistuimiin. </w:t>
      </w:r>
    </w:p>
    <w:p w14:paraId="06F8EF6F" w14:textId="77777777" w:rsidR="00E15A56" w:rsidRPr="00FF6C29" w:rsidRDefault="00E15A56" w:rsidP="00E15A56">
      <w:pPr>
        <w:ind w:left="1298"/>
        <w:rPr>
          <w:sz w:val="22"/>
          <w:szCs w:val="22"/>
        </w:rPr>
      </w:pPr>
    </w:p>
    <w:p w14:paraId="5FABF0EC" w14:textId="13FAF3E1" w:rsidR="00E15A56" w:rsidRPr="00FF6C29" w:rsidRDefault="00D53C8E" w:rsidP="0078457A">
      <w:pPr>
        <w:ind w:left="1298"/>
        <w:rPr>
          <w:sz w:val="22"/>
          <w:szCs w:val="22"/>
        </w:rPr>
      </w:pPr>
      <w:r w:rsidRPr="00FF6C29">
        <w:rPr>
          <w:sz w:val="22"/>
          <w:szCs w:val="22"/>
        </w:rPr>
        <w:t>A</w:t>
      </w:r>
      <w:r w:rsidR="00E15A56" w:rsidRPr="00FF6C29">
        <w:rPr>
          <w:sz w:val="22"/>
          <w:szCs w:val="22"/>
        </w:rPr>
        <w:t xml:space="preserve">siamäärien väheneminen vaikuttaa suoraan maaoikeusinsinöörien työmäärään. Nykyisillä asiamäärillä </w:t>
      </w:r>
      <w:r w:rsidR="00481081" w:rsidRPr="00FF6C29">
        <w:rPr>
          <w:sz w:val="22"/>
          <w:szCs w:val="22"/>
        </w:rPr>
        <w:t xml:space="preserve">yksi maaoikeusinsinööri käsittelee </w:t>
      </w:r>
      <w:r w:rsidR="00E15A56" w:rsidRPr="00FF6C29">
        <w:rPr>
          <w:sz w:val="22"/>
          <w:szCs w:val="22"/>
        </w:rPr>
        <w:t xml:space="preserve">keskimäärin vain </w:t>
      </w:r>
      <w:r w:rsidR="00481081" w:rsidRPr="00FF6C29">
        <w:rPr>
          <w:sz w:val="22"/>
          <w:szCs w:val="22"/>
        </w:rPr>
        <w:t xml:space="preserve">noin 40 varsinaista maaoikeusasiaa vuodessa (vaihteluväli </w:t>
      </w:r>
      <w:r w:rsidR="00DD6127" w:rsidRPr="00FF6C29">
        <w:rPr>
          <w:sz w:val="22"/>
          <w:szCs w:val="22"/>
        </w:rPr>
        <w:t xml:space="preserve">maaoikeuksittain on ollut </w:t>
      </w:r>
      <w:r w:rsidR="00481081" w:rsidRPr="00FF6C29">
        <w:rPr>
          <w:sz w:val="22"/>
          <w:szCs w:val="22"/>
        </w:rPr>
        <w:t xml:space="preserve">noin </w:t>
      </w:r>
      <w:r w:rsidR="00B60699" w:rsidRPr="00FF6C29">
        <w:rPr>
          <w:sz w:val="22"/>
          <w:szCs w:val="22"/>
        </w:rPr>
        <w:t>20-50</w:t>
      </w:r>
      <w:r w:rsidR="00481081" w:rsidRPr="00FF6C29">
        <w:rPr>
          <w:sz w:val="22"/>
          <w:szCs w:val="22"/>
        </w:rPr>
        <w:t xml:space="preserve">), kun </w:t>
      </w:r>
      <w:r w:rsidR="00E15A56" w:rsidRPr="00FF6C29">
        <w:rPr>
          <w:sz w:val="22"/>
          <w:szCs w:val="22"/>
        </w:rPr>
        <w:t>2010-luvun alussa työmäärä</w:t>
      </w:r>
      <w:r w:rsidR="00DD6127" w:rsidRPr="00FF6C29">
        <w:rPr>
          <w:sz w:val="22"/>
          <w:szCs w:val="22"/>
        </w:rPr>
        <w:t xml:space="preserve"> on ol</w:t>
      </w:r>
      <w:r w:rsidR="00E15A56" w:rsidRPr="00FF6C29">
        <w:rPr>
          <w:sz w:val="22"/>
          <w:szCs w:val="22"/>
        </w:rPr>
        <w:t xml:space="preserve">lut keskimäärin </w:t>
      </w:r>
      <w:r w:rsidR="00B60699" w:rsidRPr="00FF6C29">
        <w:rPr>
          <w:sz w:val="22"/>
          <w:szCs w:val="22"/>
        </w:rPr>
        <w:t xml:space="preserve">noin </w:t>
      </w:r>
      <w:r w:rsidR="00DD6127" w:rsidRPr="00FF6C29">
        <w:rPr>
          <w:sz w:val="22"/>
          <w:szCs w:val="22"/>
        </w:rPr>
        <w:t xml:space="preserve">60 (vaihteluväli </w:t>
      </w:r>
      <w:r w:rsidR="002900BA" w:rsidRPr="00FF6C29">
        <w:rPr>
          <w:sz w:val="22"/>
          <w:szCs w:val="22"/>
        </w:rPr>
        <w:t xml:space="preserve">noin </w:t>
      </w:r>
      <w:r w:rsidR="00B60699" w:rsidRPr="00FF6C29">
        <w:rPr>
          <w:sz w:val="22"/>
          <w:szCs w:val="22"/>
        </w:rPr>
        <w:t>40–80</w:t>
      </w:r>
      <w:r w:rsidR="00DD6127" w:rsidRPr="00FF6C29">
        <w:rPr>
          <w:sz w:val="22"/>
          <w:szCs w:val="22"/>
        </w:rPr>
        <w:t>)</w:t>
      </w:r>
      <w:r w:rsidR="00E15A56" w:rsidRPr="00FF6C29">
        <w:rPr>
          <w:sz w:val="22"/>
          <w:szCs w:val="22"/>
        </w:rPr>
        <w:t xml:space="preserve"> ratkaistua asiaa vuodessa</w:t>
      </w:r>
      <w:r w:rsidR="00DD6127" w:rsidRPr="00FF6C29">
        <w:rPr>
          <w:sz w:val="22"/>
          <w:szCs w:val="22"/>
        </w:rPr>
        <w:t xml:space="preserve">. </w:t>
      </w:r>
      <w:r w:rsidR="0047154C" w:rsidRPr="00FF6C29">
        <w:rPr>
          <w:sz w:val="22"/>
          <w:szCs w:val="22"/>
        </w:rPr>
        <w:t xml:space="preserve">Jo nyt, ja etenkin </w:t>
      </w:r>
      <w:r w:rsidR="003E713F" w:rsidRPr="00FF6C29">
        <w:rPr>
          <w:sz w:val="22"/>
          <w:szCs w:val="22"/>
        </w:rPr>
        <w:t>asiamäär</w:t>
      </w:r>
      <w:r w:rsidR="0047154C" w:rsidRPr="00FF6C29">
        <w:rPr>
          <w:sz w:val="22"/>
          <w:szCs w:val="22"/>
        </w:rPr>
        <w:t xml:space="preserve">ien </w:t>
      </w:r>
      <w:r w:rsidR="003E713F" w:rsidRPr="00FF6C29">
        <w:rPr>
          <w:sz w:val="22"/>
          <w:szCs w:val="22"/>
        </w:rPr>
        <w:t>vähen</w:t>
      </w:r>
      <w:r w:rsidR="0047154C" w:rsidRPr="00FF6C29">
        <w:rPr>
          <w:sz w:val="22"/>
          <w:szCs w:val="22"/>
        </w:rPr>
        <w:t>tyessä</w:t>
      </w:r>
      <w:r w:rsidR="003E713F" w:rsidRPr="00FF6C29">
        <w:rPr>
          <w:sz w:val="22"/>
          <w:szCs w:val="22"/>
        </w:rPr>
        <w:t xml:space="preserve"> edelleen, uhkana on, että maaoikeusinsinööreillä ei ole riittävästi käsiteltäviä asioita. </w:t>
      </w:r>
      <w:r w:rsidR="00E15A56" w:rsidRPr="00FF6C29">
        <w:rPr>
          <w:sz w:val="22"/>
          <w:szCs w:val="22"/>
        </w:rPr>
        <w:t>Maaoikeusasioissa välimatkojen merkitys korostuu, koska niissä järjestetään säännönmukaisesti katselmuksia kiinteistön sijaintipaikkakunnalla. Maaoikeudet järjestävätkin istuntoja muiden käräjäoikeuksien tiloissa, mikä vähentää asianosaisten tarvetta matkustaa. Oikeusministeriön käsityksen mukaan asiamäärät ovat vähentyneet siinä määrin, että maaoikeusinsinöörit kyken</w:t>
      </w:r>
      <w:r w:rsidR="0047154C" w:rsidRPr="00FF6C29">
        <w:rPr>
          <w:sz w:val="22"/>
          <w:szCs w:val="22"/>
        </w:rPr>
        <w:t>isi</w:t>
      </w:r>
      <w:r w:rsidR="00E15A56" w:rsidRPr="00FF6C29">
        <w:rPr>
          <w:sz w:val="22"/>
          <w:szCs w:val="22"/>
        </w:rPr>
        <w:t>vät hoitamaan asioita</w:t>
      </w:r>
      <w:r w:rsidR="0047154C" w:rsidRPr="00FF6C29">
        <w:rPr>
          <w:sz w:val="22"/>
          <w:szCs w:val="22"/>
        </w:rPr>
        <w:t xml:space="preserve"> nykyistä laajemmalla alueella</w:t>
      </w:r>
      <w:r w:rsidR="00E15A56" w:rsidRPr="00FF6C29">
        <w:rPr>
          <w:sz w:val="22"/>
          <w:szCs w:val="22"/>
        </w:rPr>
        <w:t>.</w:t>
      </w:r>
      <w:r w:rsidR="003A4C78" w:rsidRPr="00FF6C29">
        <w:t xml:space="preserve"> </w:t>
      </w:r>
      <w:r w:rsidR="003A4C78" w:rsidRPr="00FF6C29">
        <w:rPr>
          <w:sz w:val="22"/>
          <w:szCs w:val="22"/>
        </w:rPr>
        <w:t>Myös m</w:t>
      </w:r>
      <w:r w:rsidR="002900BA" w:rsidRPr="00FF6C29">
        <w:rPr>
          <w:sz w:val="22"/>
          <w:szCs w:val="22"/>
        </w:rPr>
        <w:t xml:space="preserve">aaoikeusinsinöörit ovat arvioineet asiamäärän kehityksen edellyttävän pitkän tähtäimen kokonaisvaltaista muutostarpeiden arviointia. He ovat yksimielisesti kannattaneet </w:t>
      </w:r>
      <w:r w:rsidR="003A4C78" w:rsidRPr="00FF6C29">
        <w:rPr>
          <w:sz w:val="22"/>
          <w:szCs w:val="22"/>
        </w:rPr>
        <w:t>maaoikeuksien lukumäärän vähentämistä</w:t>
      </w:r>
      <w:r w:rsidR="002900BA" w:rsidRPr="00FF6C29">
        <w:rPr>
          <w:sz w:val="22"/>
          <w:szCs w:val="22"/>
        </w:rPr>
        <w:t xml:space="preserve">. </w:t>
      </w:r>
    </w:p>
    <w:p w14:paraId="3F9ED93C" w14:textId="77777777" w:rsidR="002900BA" w:rsidRPr="00FF6C29" w:rsidRDefault="002900BA" w:rsidP="0078457A">
      <w:pPr>
        <w:ind w:left="1298"/>
        <w:rPr>
          <w:sz w:val="22"/>
          <w:szCs w:val="22"/>
        </w:rPr>
      </w:pPr>
    </w:p>
    <w:p w14:paraId="58A2FC3E" w14:textId="49FF6E24" w:rsidR="003A4C78" w:rsidRPr="00FF6C29" w:rsidRDefault="003E713F" w:rsidP="00E15A56">
      <w:pPr>
        <w:ind w:left="1298"/>
        <w:rPr>
          <w:sz w:val="22"/>
          <w:szCs w:val="22"/>
        </w:rPr>
      </w:pPr>
      <w:r w:rsidRPr="00FF6C29">
        <w:rPr>
          <w:sz w:val="22"/>
          <w:szCs w:val="22"/>
        </w:rPr>
        <w:t xml:space="preserve">Edellä todetun </w:t>
      </w:r>
      <w:r w:rsidR="002817D1" w:rsidRPr="00FF6C29">
        <w:rPr>
          <w:sz w:val="22"/>
          <w:szCs w:val="22"/>
        </w:rPr>
        <w:t>perusteella</w:t>
      </w:r>
      <w:r w:rsidR="00481081" w:rsidRPr="00FF6C29">
        <w:rPr>
          <w:sz w:val="22"/>
          <w:szCs w:val="22"/>
        </w:rPr>
        <w:t xml:space="preserve"> oikeusministeriö katsoo</w:t>
      </w:r>
      <w:r w:rsidR="002817D1" w:rsidRPr="00FF6C29">
        <w:rPr>
          <w:sz w:val="22"/>
          <w:szCs w:val="22"/>
        </w:rPr>
        <w:t xml:space="preserve">, että maaoikeuksien lukumäärän vähentämiselle on olemassa perusteet. </w:t>
      </w:r>
      <w:r w:rsidR="003A4C78" w:rsidRPr="00FF6C29">
        <w:rPr>
          <w:sz w:val="22"/>
          <w:szCs w:val="22"/>
        </w:rPr>
        <w:t>Koska kysymys on merkittävästä asiasta, m</w:t>
      </w:r>
      <w:r w:rsidR="0047154C" w:rsidRPr="00FF6C29">
        <w:rPr>
          <w:sz w:val="22"/>
          <w:szCs w:val="22"/>
        </w:rPr>
        <w:t>aaoikeusasioiden käsittelyn edellyttämien muutostarpeiden selvittäminen tulisi arvioida kokonaisuuten</w:t>
      </w:r>
      <w:r w:rsidR="003A4C78" w:rsidRPr="00FF6C29">
        <w:rPr>
          <w:sz w:val="22"/>
          <w:szCs w:val="22"/>
        </w:rPr>
        <w:t xml:space="preserve">a. </w:t>
      </w:r>
      <w:r w:rsidR="002900BA" w:rsidRPr="00FF6C29">
        <w:rPr>
          <w:sz w:val="22"/>
          <w:szCs w:val="22"/>
        </w:rPr>
        <w:t>Maaoikeuksien asiamäärät ovat laskeneet siinä määrin, että tilapäisjärjestely</w:t>
      </w:r>
      <w:r w:rsidR="00422822">
        <w:rPr>
          <w:sz w:val="22"/>
          <w:szCs w:val="22"/>
        </w:rPr>
        <w:t xml:space="preserve">jen tarve on perusteltua arvioida jo ennen mahdollisen selvityksen käynnistämistä. Näitä toimenpiteitä on arvioitu alla. </w:t>
      </w:r>
    </w:p>
    <w:p w14:paraId="7D06C526" w14:textId="2A807EEF" w:rsidR="003A4C78" w:rsidRPr="00FF6C29" w:rsidRDefault="003E6A37" w:rsidP="00827F5E">
      <w:pPr>
        <w:pStyle w:val="Otsikko2"/>
      </w:pPr>
      <w:r w:rsidRPr="00FF6C29">
        <w:t>Tilapäisjärjestelyjen tarve</w:t>
      </w:r>
    </w:p>
    <w:p w14:paraId="5E972DF1" w14:textId="5EA8E79B" w:rsidR="00D81704" w:rsidRPr="00FF6C29" w:rsidRDefault="0047154C" w:rsidP="003E6A37">
      <w:pPr>
        <w:ind w:left="1298"/>
        <w:rPr>
          <w:sz w:val="22"/>
          <w:szCs w:val="22"/>
        </w:rPr>
      </w:pPr>
      <w:r w:rsidRPr="00FF6C29">
        <w:rPr>
          <w:sz w:val="22"/>
          <w:szCs w:val="22"/>
        </w:rPr>
        <w:t>Edellä todetulla tavalla maaoikeusinsinööreistä yli puolet on eläköitymässä lähivuosina. Etelä-Savon ja Varsinais-Suomen maaoikeusin</w:t>
      </w:r>
      <w:r w:rsidR="000232C9">
        <w:rPr>
          <w:sz w:val="22"/>
          <w:szCs w:val="22"/>
        </w:rPr>
        <w:t>sinöörit jäi</w:t>
      </w:r>
      <w:r w:rsidRPr="00FF6C29">
        <w:rPr>
          <w:sz w:val="22"/>
          <w:szCs w:val="22"/>
        </w:rPr>
        <w:t>vät eläkkeelle keväällä 2018. I</w:t>
      </w:r>
      <w:r w:rsidR="006F486E" w:rsidRPr="00FF6C29">
        <w:rPr>
          <w:sz w:val="22"/>
          <w:szCs w:val="22"/>
        </w:rPr>
        <w:t>nsinöörien määrää vähentämällä ja sitä kautta yhteistoimintaa lisäämällä</w:t>
      </w:r>
      <w:r w:rsidRPr="00FF6C29">
        <w:rPr>
          <w:sz w:val="22"/>
          <w:szCs w:val="22"/>
        </w:rPr>
        <w:t xml:space="preserve"> voitaisiin</w:t>
      </w:r>
      <w:r w:rsidR="006F486E" w:rsidRPr="00FF6C29">
        <w:rPr>
          <w:sz w:val="22"/>
          <w:szCs w:val="22"/>
        </w:rPr>
        <w:t xml:space="preserve"> </w:t>
      </w:r>
      <w:r w:rsidR="00584E72" w:rsidRPr="00FF6C29">
        <w:rPr>
          <w:sz w:val="22"/>
          <w:szCs w:val="22"/>
        </w:rPr>
        <w:t xml:space="preserve">huolehtia siitä, että insinööreillä on riittävästi ratkaistavia asioita </w:t>
      </w:r>
      <w:r w:rsidR="006F486E" w:rsidRPr="00FF6C29">
        <w:rPr>
          <w:sz w:val="22"/>
          <w:szCs w:val="22"/>
        </w:rPr>
        <w:t>ilman</w:t>
      </w:r>
      <w:r w:rsidR="00177CB1" w:rsidRPr="00FF6C29">
        <w:rPr>
          <w:sz w:val="22"/>
          <w:szCs w:val="22"/>
        </w:rPr>
        <w:t>, että maaoikeuksien lukumäärään tarvitsisi puuttua</w:t>
      </w:r>
      <w:r w:rsidR="00B80CF2" w:rsidRPr="00FF6C29">
        <w:rPr>
          <w:sz w:val="22"/>
          <w:szCs w:val="22"/>
        </w:rPr>
        <w:t xml:space="preserve">. </w:t>
      </w:r>
      <w:r w:rsidR="003E6A37" w:rsidRPr="00FF6C29">
        <w:rPr>
          <w:sz w:val="22"/>
          <w:szCs w:val="22"/>
        </w:rPr>
        <w:t>Jos asiamäärät pysyvät nykyisellä tasollaan eli maaoikeuksiin saapuu vuosittain noin 400 asiaa, joista varsinaisia maaoikeusasioita on noin 300, riittäisi viisi maaoikeusinsinööriä niiden käsittelemiseen. Näin olisi siitäkin huolimatta, että yhteistoiminnan laajentuessa myös matkustaminen lisääntyisi. A</w:t>
      </w:r>
      <w:r w:rsidR="0061346C" w:rsidRPr="00FF6C29">
        <w:rPr>
          <w:sz w:val="22"/>
          <w:szCs w:val="22"/>
        </w:rPr>
        <w:t>siamäärien per</w:t>
      </w:r>
      <w:r w:rsidR="00B80CF2" w:rsidRPr="00FF6C29">
        <w:rPr>
          <w:sz w:val="22"/>
          <w:szCs w:val="22"/>
        </w:rPr>
        <w:t xml:space="preserve">usteella </w:t>
      </w:r>
      <w:r w:rsidRPr="00FF6C29">
        <w:rPr>
          <w:sz w:val="22"/>
          <w:szCs w:val="22"/>
        </w:rPr>
        <w:t xml:space="preserve">olisi mahdollista, että </w:t>
      </w:r>
      <w:r w:rsidR="003E6A37" w:rsidRPr="00FF6C29">
        <w:rPr>
          <w:sz w:val="22"/>
          <w:szCs w:val="22"/>
        </w:rPr>
        <w:t xml:space="preserve">edellä mainitut </w:t>
      </w:r>
      <w:r w:rsidR="00481081" w:rsidRPr="00FF6C29">
        <w:rPr>
          <w:sz w:val="22"/>
          <w:szCs w:val="22"/>
        </w:rPr>
        <w:t xml:space="preserve">kaksi vapautuva </w:t>
      </w:r>
      <w:r w:rsidR="0061346C" w:rsidRPr="00FF6C29">
        <w:rPr>
          <w:sz w:val="22"/>
          <w:szCs w:val="22"/>
        </w:rPr>
        <w:t xml:space="preserve">maaoikeusinsinöörin virka </w:t>
      </w:r>
      <w:r w:rsidR="00B80CF2" w:rsidRPr="00FF6C29">
        <w:rPr>
          <w:sz w:val="22"/>
          <w:szCs w:val="22"/>
        </w:rPr>
        <w:t>voi</w:t>
      </w:r>
      <w:r w:rsidR="00310802" w:rsidRPr="00FF6C29">
        <w:rPr>
          <w:sz w:val="22"/>
          <w:szCs w:val="22"/>
        </w:rPr>
        <w:t>taisiin</w:t>
      </w:r>
      <w:r w:rsidR="00B80CF2" w:rsidRPr="00FF6C29">
        <w:rPr>
          <w:sz w:val="22"/>
          <w:szCs w:val="22"/>
        </w:rPr>
        <w:t xml:space="preserve"> jättää </w:t>
      </w:r>
      <w:r w:rsidR="0061346C" w:rsidRPr="00FF6C29">
        <w:rPr>
          <w:sz w:val="22"/>
          <w:szCs w:val="22"/>
        </w:rPr>
        <w:t xml:space="preserve">täyttämättä. </w:t>
      </w:r>
      <w:r w:rsidR="003E6A37" w:rsidRPr="00FF6C29">
        <w:rPr>
          <w:sz w:val="22"/>
          <w:szCs w:val="22"/>
        </w:rPr>
        <w:t xml:space="preserve">Tämä tarkoittaisi, että Oulun maaoikeuden lisäksi myös Etelä-Savon ja Varsinais-Suomen maaoikeuksien asiat hoidettaisiin muiden maaoikeuksien insinöörien välisellä yhteistoiminnalla. </w:t>
      </w:r>
    </w:p>
    <w:p w14:paraId="21DA7533" w14:textId="77777777" w:rsidR="00D81704" w:rsidRPr="00FF6C29" w:rsidRDefault="00D81704" w:rsidP="0078457A">
      <w:pPr>
        <w:ind w:left="1298"/>
        <w:rPr>
          <w:sz w:val="22"/>
          <w:szCs w:val="22"/>
        </w:rPr>
      </w:pPr>
    </w:p>
    <w:p w14:paraId="0DC9EF82" w14:textId="3A34A99F" w:rsidR="00987B26" w:rsidRPr="00FF6C29" w:rsidRDefault="00310802" w:rsidP="0078457A">
      <w:pPr>
        <w:ind w:left="1298"/>
        <w:rPr>
          <w:sz w:val="22"/>
          <w:szCs w:val="22"/>
        </w:rPr>
      </w:pPr>
      <w:r w:rsidRPr="00FF6C29">
        <w:rPr>
          <w:sz w:val="22"/>
          <w:szCs w:val="22"/>
        </w:rPr>
        <w:t>O</w:t>
      </w:r>
      <w:r w:rsidR="003E6A37" w:rsidRPr="00FF6C29">
        <w:rPr>
          <w:sz w:val="22"/>
          <w:szCs w:val="22"/>
        </w:rPr>
        <w:t xml:space="preserve">ngelmallista kuitenkin on, että </w:t>
      </w:r>
      <w:r w:rsidRPr="00FF6C29">
        <w:rPr>
          <w:sz w:val="22"/>
          <w:szCs w:val="22"/>
        </w:rPr>
        <w:t xml:space="preserve">maaoikeuksien asiamäärät eivät jakaudu tasaisesti. </w:t>
      </w:r>
      <w:r w:rsidR="003E6A37" w:rsidRPr="00FF6C29">
        <w:rPr>
          <w:sz w:val="22"/>
          <w:szCs w:val="22"/>
        </w:rPr>
        <w:t>Nykyiset yhteistoiminta-alueet eivät myöskään mahdollista kahdeksan maaoikeuden asioiden tehokasta jakamista viiden insinöörin kesken. Tästä syystä i</w:t>
      </w:r>
      <w:r w:rsidR="00D81704" w:rsidRPr="00FF6C29">
        <w:rPr>
          <w:sz w:val="22"/>
          <w:szCs w:val="22"/>
        </w:rPr>
        <w:t xml:space="preserve">nsinöörien määrän vähentämisen lisäksi myös yhteistoiminta-alueita olisi tarkistettava, jotta työmäärä voitaisiin jakaa </w:t>
      </w:r>
      <w:r w:rsidR="003E6A37" w:rsidRPr="00FF6C29">
        <w:rPr>
          <w:sz w:val="22"/>
          <w:szCs w:val="22"/>
        </w:rPr>
        <w:t xml:space="preserve">tehokkaasti ja mahdollisimman </w:t>
      </w:r>
      <w:r w:rsidR="00D81704" w:rsidRPr="00FF6C29">
        <w:rPr>
          <w:sz w:val="22"/>
          <w:szCs w:val="22"/>
        </w:rPr>
        <w:t xml:space="preserve">tasaisesti insinöörien kesken. </w:t>
      </w:r>
      <w:r w:rsidRPr="00FF6C29">
        <w:rPr>
          <w:sz w:val="22"/>
          <w:szCs w:val="22"/>
        </w:rPr>
        <w:t xml:space="preserve">Yhtenä mahdollisuutena olisi, että </w:t>
      </w:r>
      <w:r w:rsidR="00987B26" w:rsidRPr="00FF6C29">
        <w:rPr>
          <w:sz w:val="22"/>
          <w:szCs w:val="22"/>
        </w:rPr>
        <w:t xml:space="preserve">maaoikeusinsinöörien </w:t>
      </w:r>
      <w:r w:rsidR="0078457A" w:rsidRPr="00FF6C29">
        <w:rPr>
          <w:sz w:val="22"/>
          <w:szCs w:val="22"/>
        </w:rPr>
        <w:t xml:space="preserve">yhteistoiminta-alueet </w:t>
      </w:r>
      <w:r w:rsidR="00987B26" w:rsidRPr="00FF6C29">
        <w:rPr>
          <w:sz w:val="22"/>
          <w:szCs w:val="22"/>
        </w:rPr>
        <w:t>järjestet</w:t>
      </w:r>
      <w:r w:rsidRPr="00FF6C29">
        <w:rPr>
          <w:sz w:val="22"/>
          <w:szCs w:val="22"/>
        </w:rPr>
        <w:t>täisiin</w:t>
      </w:r>
      <w:r w:rsidR="00987B26" w:rsidRPr="00FF6C29">
        <w:rPr>
          <w:sz w:val="22"/>
          <w:szCs w:val="22"/>
        </w:rPr>
        <w:t xml:space="preserve"> </w:t>
      </w:r>
      <w:r w:rsidR="0078457A" w:rsidRPr="00FF6C29">
        <w:rPr>
          <w:sz w:val="22"/>
          <w:szCs w:val="22"/>
        </w:rPr>
        <w:t>nykyistä joustavammik</w:t>
      </w:r>
      <w:r w:rsidR="00987B26" w:rsidRPr="00FF6C29">
        <w:rPr>
          <w:sz w:val="22"/>
          <w:szCs w:val="22"/>
        </w:rPr>
        <w:t>si.</w:t>
      </w:r>
      <w:r w:rsidR="00DD6127" w:rsidRPr="00FF6C29">
        <w:rPr>
          <w:sz w:val="22"/>
          <w:szCs w:val="22"/>
        </w:rPr>
        <w:t xml:space="preserve"> M</w:t>
      </w:r>
      <w:r w:rsidR="008207D3" w:rsidRPr="00FF6C29">
        <w:rPr>
          <w:sz w:val="22"/>
          <w:szCs w:val="22"/>
        </w:rPr>
        <w:t>aaoikeusasioiden asiamäärien vaihtelu huomioon ottaen p</w:t>
      </w:r>
      <w:r w:rsidR="00987B26" w:rsidRPr="00FF6C29">
        <w:rPr>
          <w:sz w:val="22"/>
          <w:szCs w:val="22"/>
        </w:rPr>
        <w:t>erusteltua</w:t>
      </w:r>
      <w:r w:rsidR="003E6A37" w:rsidRPr="00FF6C29">
        <w:rPr>
          <w:sz w:val="22"/>
          <w:szCs w:val="22"/>
        </w:rPr>
        <w:t xml:space="preserve"> voisi olla</w:t>
      </w:r>
      <w:r w:rsidR="00987B26" w:rsidRPr="00FF6C29">
        <w:rPr>
          <w:sz w:val="22"/>
          <w:szCs w:val="22"/>
        </w:rPr>
        <w:t>, et</w:t>
      </w:r>
      <w:r w:rsidR="008207D3" w:rsidRPr="00FF6C29">
        <w:rPr>
          <w:sz w:val="22"/>
          <w:szCs w:val="22"/>
        </w:rPr>
        <w:t>tä yhteistoiminta-alueet</w:t>
      </w:r>
      <w:r w:rsidR="00987B26" w:rsidRPr="00FF6C29">
        <w:rPr>
          <w:sz w:val="22"/>
          <w:szCs w:val="22"/>
        </w:rPr>
        <w:t xml:space="preserve"> olisivat </w:t>
      </w:r>
      <w:r w:rsidR="0078457A" w:rsidRPr="00FF6C29">
        <w:rPr>
          <w:sz w:val="22"/>
          <w:szCs w:val="22"/>
        </w:rPr>
        <w:t>osittain päällekkäisiä</w:t>
      </w:r>
      <w:r w:rsidR="0047154C" w:rsidRPr="00FF6C29">
        <w:rPr>
          <w:sz w:val="22"/>
          <w:szCs w:val="22"/>
        </w:rPr>
        <w:t>. Tällöin m</w:t>
      </w:r>
      <w:r w:rsidR="0078457A" w:rsidRPr="00FF6C29">
        <w:rPr>
          <w:sz w:val="22"/>
          <w:szCs w:val="22"/>
        </w:rPr>
        <w:t>aaoikeusinsinöörit voitaisiin määrätä toimimaan toisessa maaoikeutena toimivassa käräjäoikeudessa</w:t>
      </w:r>
      <w:r w:rsidR="0047154C" w:rsidRPr="00FF6C29">
        <w:rPr>
          <w:sz w:val="22"/>
          <w:szCs w:val="22"/>
        </w:rPr>
        <w:t xml:space="preserve"> esimerkiksi</w:t>
      </w:r>
      <w:r w:rsidR="0078457A" w:rsidRPr="00FF6C29">
        <w:rPr>
          <w:sz w:val="22"/>
          <w:szCs w:val="22"/>
        </w:rPr>
        <w:t xml:space="preserve"> seuraavasti:</w:t>
      </w:r>
    </w:p>
    <w:p w14:paraId="16F60587" w14:textId="77777777" w:rsidR="008207D3" w:rsidRPr="00FF6C29" w:rsidRDefault="008207D3" w:rsidP="008207D3">
      <w:pPr>
        <w:pStyle w:val="Luettelokappale"/>
        <w:numPr>
          <w:ilvl w:val="0"/>
          <w:numId w:val="36"/>
        </w:numPr>
        <w:rPr>
          <w:sz w:val="22"/>
          <w:szCs w:val="22"/>
        </w:rPr>
      </w:pPr>
      <w:r w:rsidRPr="00FF6C29">
        <w:rPr>
          <w:sz w:val="22"/>
          <w:szCs w:val="22"/>
        </w:rPr>
        <w:t xml:space="preserve">Etelä-Savon käräjäoikeuden maaoikeusinsinööri Itä-Uudenmaan, Kanta-Hämeen ja </w:t>
      </w:r>
      <w:proofErr w:type="spellStart"/>
      <w:r w:rsidRPr="00FF6C29">
        <w:rPr>
          <w:sz w:val="22"/>
          <w:szCs w:val="22"/>
        </w:rPr>
        <w:t>Pohjois</w:t>
      </w:r>
      <w:proofErr w:type="spellEnd"/>
      <w:r w:rsidRPr="00FF6C29">
        <w:rPr>
          <w:sz w:val="22"/>
          <w:szCs w:val="22"/>
        </w:rPr>
        <w:t>-Savon käräjäoikeuksissa;</w:t>
      </w:r>
    </w:p>
    <w:p w14:paraId="773EC177" w14:textId="77777777" w:rsidR="008207D3" w:rsidRPr="00FF6C29" w:rsidRDefault="008207D3" w:rsidP="008207D3">
      <w:pPr>
        <w:pStyle w:val="Luettelokappale"/>
        <w:numPr>
          <w:ilvl w:val="0"/>
          <w:numId w:val="36"/>
        </w:numPr>
        <w:rPr>
          <w:sz w:val="22"/>
          <w:szCs w:val="22"/>
        </w:rPr>
      </w:pPr>
      <w:r w:rsidRPr="00FF6C29">
        <w:rPr>
          <w:sz w:val="22"/>
          <w:szCs w:val="22"/>
        </w:rPr>
        <w:lastRenderedPageBreak/>
        <w:t>Itä-Uudenmaan käräjäoikeuden maaoikeusinsinööri Etelä-Savon, Kanta-Hämeen ja Varsinais-Suomen käräjäoikeuksissa;</w:t>
      </w:r>
    </w:p>
    <w:p w14:paraId="3D90DFA0" w14:textId="77777777" w:rsidR="008207D3" w:rsidRPr="00FF6C29" w:rsidRDefault="008207D3" w:rsidP="008207D3">
      <w:pPr>
        <w:pStyle w:val="Luettelokappale"/>
        <w:numPr>
          <w:ilvl w:val="0"/>
          <w:numId w:val="36"/>
        </w:numPr>
        <w:rPr>
          <w:sz w:val="22"/>
          <w:szCs w:val="22"/>
        </w:rPr>
      </w:pPr>
      <w:r w:rsidRPr="00FF6C29">
        <w:rPr>
          <w:sz w:val="22"/>
          <w:szCs w:val="22"/>
        </w:rPr>
        <w:t>Kanta-Hämeen käräjäoikeuden maaoikeusinsinööri Etelä-Savon, Itä-Uudenmaan ja Varsinais-Suomen käräjäoikeuksissa;</w:t>
      </w:r>
    </w:p>
    <w:p w14:paraId="79DFDE74" w14:textId="77777777" w:rsidR="008207D3" w:rsidRPr="00FF6C29" w:rsidRDefault="008207D3" w:rsidP="008207D3">
      <w:pPr>
        <w:pStyle w:val="Luettelokappale"/>
        <w:numPr>
          <w:ilvl w:val="0"/>
          <w:numId w:val="36"/>
        </w:numPr>
        <w:rPr>
          <w:sz w:val="22"/>
          <w:szCs w:val="22"/>
        </w:rPr>
      </w:pPr>
      <w:r w:rsidRPr="00FF6C29">
        <w:rPr>
          <w:sz w:val="22"/>
          <w:szCs w:val="22"/>
        </w:rPr>
        <w:t xml:space="preserve">Lapin käräjäoikeuden maaoikeusinsinööri Oulun, Pohjanmaan ja </w:t>
      </w:r>
      <w:proofErr w:type="spellStart"/>
      <w:r w:rsidRPr="00FF6C29">
        <w:rPr>
          <w:sz w:val="22"/>
          <w:szCs w:val="22"/>
        </w:rPr>
        <w:t>Pohjois</w:t>
      </w:r>
      <w:proofErr w:type="spellEnd"/>
      <w:r w:rsidRPr="00FF6C29">
        <w:rPr>
          <w:sz w:val="22"/>
          <w:szCs w:val="22"/>
        </w:rPr>
        <w:t>-Savon käräjäoikeuksissa;</w:t>
      </w:r>
    </w:p>
    <w:p w14:paraId="1C660679" w14:textId="77777777" w:rsidR="008207D3" w:rsidRPr="00FF6C29" w:rsidRDefault="008207D3" w:rsidP="008207D3">
      <w:pPr>
        <w:pStyle w:val="Luettelokappale"/>
        <w:numPr>
          <w:ilvl w:val="0"/>
          <w:numId w:val="36"/>
        </w:numPr>
        <w:rPr>
          <w:sz w:val="22"/>
          <w:szCs w:val="22"/>
        </w:rPr>
      </w:pPr>
      <w:r w:rsidRPr="00FF6C29">
        <w:rPr>
          <w:sz w:val="22"/>
          <w:szCs w:val="22"/>
        </w:rPr>
        <w:t xml:space="preserve">Oulun käräjäoikeuden maaoikeusinsinööri Lapin, Pohjanmaan ja </w:t>
      </w:r>
      <w:proofErr w:type="spellStart"/>
      <w:r w:rsidRPr="00FF6C29">
        <w:rPr>
          <w:sz w:val="22"/>
          <w:szCs w:val="22"/>
        </w:rPr>
        <w:t>Pohjois</w:t>
      </w:r>
      <w:proofErr w:type="spellEnd"/>
      <w:r w:rsidRPr="00FF6C29">
        <w:rPr>
          <w:sz w:val="22"/>
          <w:szCs w:val="22"/>
        </w:rPr>
        <w:t>-Savon käräjäoikeuksissa;</w:t>
      </w:r>
    </w:p>
    <w:p w14:paraId="11130D07" w14:textId="77777777" w:rsidR="008207D3" w:rsidRPr="00FF6C29" w:rsidRDefault="008207D3" w:rsidP="008207D3">
      <w:pPr>
        <w:pStyle w:val="Luettelokappale"/>
        <w:numPr>
          <w:ilvl w:val="0"/>
          <w:numId w:val="36"/>
        </w:numPr>
        <w:rPr>
          <w:sz w:val="22"/>
          <w:szCs w:val="22"/>
        </w:rPr>
      </w:pPr>
      <w:r w:rsidRPr="00FF6C29">
        <w:rPr>
          <w:sz w:val="22"/>
          <w:szCs w:val="22"/>
        </w:rPr>
        <w:t xml:space="preserve">Pohjanmaan käräjäoikeuden maaoikeusinsinööri Kanta-Hämeen, Oulun ja Varsinais-Suomen käräjäoikeuksissa; </w:t>
      </w:r>
    </w:p>
    <w:p w14:paraId="22E77A72" w14:textId="77777777" w:rsidR="008207D3" w:rsidRPr="00FF6C29" w:rsidRDefault="008207D3" w:rsidP="008207D3">
      <w:pPr>
        <w:pStyle w:val="Luettelokappale"/>
        <w:numPr>
          <w:ilvl w:val="0"/>
          <w:numId w:val="36"/>
        </w:numPr>
        <w:rPr>
          <w:sz w:val="22"/>
          <w:szCs w:val="22"/>
        </w:rPr>
      </w:pPr>
      <w:proofErr w:type="spellStart"/>
      <w:r w:rsidRPr="00FF6C29">
        <w:rPr>
          <w:sz w:val="22"/>
          <w:szCs w:val="22"/>
        </w:rPr>
        <w:t>Pohjois</w:t>
      </w:r>
      <w:proofErr w:type="spellEnd"/>
      <w:r w:rsidRPr="00FF6C29">
        <w:rPr>
          <w:sz w:val="22"/>
          <w:szCs w:val="22"/>
        </w:rPr>
        <w:t xml:space="preserve">-Savon käräjäoikeuden maaoikeusinsinööri Etelä-Savon, Lapin ja Oulun käräjäoikeuksissa ja </w:t>
      </w:r>
    </w:p>
    <w:p w14:paraId="25512408" w14:textId="77777777" w:rsidR="008207D3" w:rsidRPr="00FF6C29" w:rsidRDefault="008207D3" w:rsidP="008207D3">
      <w:pPr>
        <w:pStyle w:val="Luettelokappale"/>
        <w:numPr>
          <w:ilvl w:val="0"/>
          <w:numId w:val="36"/>
        </w:numPr>
        <w:rPr>
          <w:sz w:val="22"/>
          <w:szCs w:val="22"/>
        </w:rPr>
      </w:pPr>
      <w:r w:rsidRPr="00FF6C29">
        <w:rPr>
          <w:sz w:val="22"/>
          <w:szCs w:val="22"/>
        </w:rPr>
        <w:t>Varsinais-Suomen käräjäoikeuden maaoikeusinsinööri Itä-Uudenmaan, Kanta-Hämeen ja Pohjanmaan käräjäoikeuksissa.</w:t>
      </w:r>
    </w:p>
    <w:p w14:paraId="34E01EB9" w14:textId="77777777" w:rsidR="0078457A" w:rsidRPr="00FF6C29" w:rsidRDefault="0078457A" w:rsidP="0078457A">
      <w:pPr>
        <w:ind w:left="1298"/>
        <w:rPr>
          <w:sz w:val="22"/>
          <w:szCs w:val="22"/>
        </w:rPr>
      </w:pPr>
    </w:p>
    <w:p w14:paraId="1507748E" w14:textId="6AFB54F6" w:rsidR="0078457A" w:rsidRPr="00FF6C29" w:rsidRDefault="0047154C" w:rsidP="0078457A">
      <w:pPr>
        <w:ind w:left="1298"/>
        <w:rPr>
          <w:sz w:val="22"/>
          <w:szCs w:val="22"/>
        </w:rPr>
      </w:pPr>
      <w:r w:rsidRPr="00FF6C29">
        <w:rPr>
          <w:sz w:val="22"/>
          <w:szCs w:val="22"/>
        </w:rPr>
        <w:t>Edellä esitetyssä mallissa y</w:t>
      </w:r>
      <w:r w:rsidR="0078457A" w:rsidRPr="00FF6C29">
        <w:rPr>
          <w:sz w:val="22"/>
          <w:szCs w:val="22"/>
        </w:rPr>
        <w:t>hteistoiminnan järjestämise</w:t>
      </w:r>
      <w:r w:rsidRPr="00FF6C29">
        <w:rPr>
          <w:sz w:val="22"/>
          <w:szCs w:val="22"/>
        </w:rPr>
        <w:t xml:space="preserve">ksi </w:t>
      </w:r>
      <w:r w:rsidR="0078457A" w:rsidRPr="00FF6C29">
        <w:rPr>
          <w:sz w:val="22"/>
          <w:szCs w:val="22"/>
        </w:rPr>
        <w:t>on otettu huomioon välimatkat maaoikeuksien toimipaikoista yhteistoiminta-alueeseen kuuluvien muiden maaoikeuksien tuomiopiireihin. Samoin on huomioitu se, että yhteistoiminta perustuu maaoikeusinsinöörien velvollisuuteen toimia toisessa maaoikeudessa silloin, kun se on tarpeellista asioiden käsittelyn kannalta. Tämä huomioon ottaen yhteistoiminta-alu</w:t>
      </w:r>
      <w:r w:rsidRPr="00FF6C29">
        <w:rPr>
          <w:sz w:val="22"/>
          <w:szCs w:val="22"/>
        </w:rPr>
        <w:t xml:space="preserve">eiden ei ole välttämätöntä olla </w:t>
      </w:r>
      <w:r w:rsidR="0078457A" w:rsidRPr="00FF6C29">
        <w:rPr>
          <w:sz w:val="22"/>
          <w:szCs w:val="22"/>
        </w:rPr>
        <w:t>maaoike</w:t>
      </w:r>
      <w:r w:rsidR="00427295" w:rsidRPr="00FF6C29">
        <w:rPr>
          <w:sz w:val="22"/>
          <w:szCs w:val="22"/>
        </w:rPr>
        <w:t xml:space="preserve">uksien kesken täysin yhteneviä, vaan ne </w:t>
      </w:r>
      <w:r w:rsidRPr="00FF6C29">
        <w:rPr>
          <w:sz w:val="22"/>
          <w:szCs w:val="22"/>
        </w:rPr>
        <w:t xml:space="preserve">voitaisiin </w:t>
      </w:r>
      <w:r w:rsidR="00427295" w:rsidRPr="00FF6C29">
        <w:rPr>
          <w:sz w:val="22"/>
          <w:szCs w:val="22"/>
        </w:rPr>
        <w:t>järjestä</w:t>
      </w:r>
      <w:r w:rsidRPr="00FF6C29">
        <w:rPr>
          <w:sz w:val="22"/>
          <w:szCs w:val="22"/>
        </w:rPr>
        <w:t xml:space="preserve">ä </w:t>
      </w:r>
      <w:r w:rsidR="00427295" w:rsidRPr="00FF6C29">
        <w:rPr>
          <w:sz w:val="22"/>
          <w:szCs w:val="22"/>
        </w:rPr>
        <w:t xml:space="preserve">tuomiopiirien laajuus </w:t>
      </w:r>
      <w:r w:rsidR="00C04975" w:rsidRPr="00FF6C29">
        <w:rPr>
          <w:sz w:val="22"/>
          <w:szCs w:val="22"/>
        </w:rPr>
        <w:t xml:space="preserve">ja välimatkat huomioon ottaen. </w:t>
      </w:r>
      <w:r w:rsidRPr="00FF6C29">
        <w:rPr>
          <w:sz w:val="22"/>
          <w:szCs w:val="22"/>
        </w:rPr>
        <w:t>Mallissa k</w:t>
      </w:r>
      <w:r w:rsidR="00C04975" w:rsidRPr="00FF6C29">
        <w:rPr>
          <w:sz w:val="22"/>
          <w:szCs w:val="22"/>
        </w:rPr>
        <w:t>u</w:t>
      </w:r>
      <w:r w:rsidR="00427295" w:rsidRPr="00FF6C29">
        <w:rPr>
          <w:sz w:val="22"/>
          <w:szCs w:val="22"/>
        </w:rPr>
        <w:t>nkin maaoikeuden insinööri voitaisiin määrätä toimimaan sijoituspaikkansa maaoikeuden lisäksi kolmessa muussa maaoikeudessa. Määräyksen a</w:t>
      </w:r>
      <w:r w:rsidR="0061346C" w:rsidRPr="00FF6C29">
        <w:rPr>
          <w:sz w:val="22"/>
          <w:szCs w:val="22"/>
        </w:rPr>
        <w:t>nta</w:t>
      </w:r>
      <w:r w:rsidRPr="00FF6C29">
        <w:rPr>
          <w:sz w:val="22"/>
          <w:szCs w:val="22"/>
        </w:rPr>
        <w:t>isi</w:t>
      </w:r>
      <w:r w:rsidR="0061346C" w:rsidRPr="00FF6C29">
        <w:rPr>
          <w:sz w:val="22"/>
          <w:szCs w:val="22"/>
        </w:rPr>
        <w:t xml:space="preserve"> </w:t>
      </w:r>
      <w:r w:rsidR="00427295" w:rsidRPr="00FF6C29">
        <w:rPr>
          <w:sz w:val="22"/>
          <w:szCs w:val="22"/>
        </w:rPr>
        <w:t>tuomioistuinlain 14 luvun 3 §:n mukaisesti se käräjäoikeus, johon insinööri on nimitetty. M</w:t>
      </w:r>
      <w:r w:rsidR="0061346C" w:rsidRPr="00FF6C29">
        <w:rPr>
          <w:sz w:val="22"/>
          <w:szCs w:val="22"/>
        </w:rPr>
        <w:t>ääräyksen antaminen edellyttä</w:t>
      </w:r>
      <w:r w:rsidRPr="00FF6C29">
        <w:rPr>
          <w:sz w:val="22"/>
          <w:szCs w:val="22"/>
        </w:rPr>
        <w:t>isi</w:t>
      </w:r>
      <w:r w:rsidR="00427295" w:rsidRPr="00FF6C29">
        <w:rPr>
          <w:sz w:val="22"/>
          <w:szCs w:val="22"/>
        </w:rPr>
        <w:t xml:space="preserve"> luonnollisesti vastaanottavan maaoikeuden pyyntöä.</w:t>
      </w:r>
    </w:p>
    <w:p w14:paraId="5A0F1ACA" w14:textId="77777777" w:rsidR="00C04975" w:rsidRPr="00FF6C29" w:rsidRDefault="00C04975" w:rsidP="0078457A">
      <w:pPr>
        <w:ind w:left="1298"/>
        <w:rPr>
          <w:sz w:val="22"/>
          <w:szCs w:val="22"/>
        </w:rPr>
      </w:pPr>
    </w:p>
    <w:p w14:paraId="20B5DD59" w14:textId="47151B61" w:rsidR="00014F4B" w:rsidRPr="00FF6C29" w:rsidRDefault="00C04975" w:rsidP="0078457A">
      <w:pPr>
        <w:ind w:left="1298"/>
        <w:rPr>
          <w:sz w:val="22"/>
          <w:szCs w:val="22"/>
        </w:rPr>
      </w:pPr>
      <w:r w:rsidRPr="00FF6C29">
        <w:rPr>
          <w:sz w:val="22"/>
          <w:szCs w:val="22"/>
        </w:rPr>
        <w:t>Ehdotus ei olisi ristiriidassa perustuslain 103 §:ssä säädetyn tuomareiden riippumattomuuden kanssa. Maaoikeuksien välisessä yhteistoiminnassa ei ole kysymys tuomareiden siirtämisestä toiseen tuomioistuimeen, vaan tilapäisestä toimimisesta toisessa tuomioistuimessa. Edellä todetulla tavalla m</w:t>
      </w:r>
      <w:r w:rsidR="00FA19CC" w:rsidRPr="00FF6C29">
        <w:rPr>
          <w:sz w:val="22"/>
          <w:szCs w:val="22"/>
        </w:rPr>
        <w:t xml:space="preserve">ääräyksen antamisesta säädetään </w:t>
      </w:r>
      <w:r w:rsidRPr="00FF6C29">
        <w:rPr>
          <w:sz w:val="22"/>
          <w:szCs w:val="22"/>
        </w:rPr>
        <w:t xml:space="preserve">laissa. Esityksellä ei myöskään puututtaisi </w:t>
      </w:r>
      <w:r w:rsidR="002F4329" w:rsidRPr="00FF6C29">
        <w:rPr>
          <w:sz w:val="22"/>
          <w:szCs w:val="22"/>
        </w:rPr>
        <w:t xml:space="preserve">perustuslaissa riippumattomille tuomioistuimille säädettyyn tuomiovallan käyttöön. Menettelyssä ei ole kysymys asioiden siirtämisestä maaoikeuksien välillä, vaan maaoikeusinsinöörien asiantuntemuksen hyödyntämisestä </w:t>
      </w:r>
      <w:r w:rsidR="0047154C" w:rsidRPr="00FF6C29">
        <w:rPr>
          <w:sz w:val="22"/>
          <w:szCs w:val="22"/>
        </w:rPr>
        <w:t>aiempaa</w:t>
      </w:r>
      <w:r w:rsidR="002F4329" w:rsidRPr="00FF6C29">
        <w:rPr>
          <w:sz w:val="22"/>
          <w:szCs w:val="22"/>
        </w:rPr>
        <w:t xml:space="preserve"> laajemmalla alueella. Menettely perustu</w:t>
      </w:r>
      <w:r w:rsidR="0047154C" w:rsidRPr="00FF6C29">
        <w:rPr>
          <w:sz w:val="22"/>
          <w:szCs w:val="22"/>
        </w:rPr>
        <w:t>isi</w:t>
      </w:r>
      <w:r w:rsidR="002F4329" w:rsidRPr="00FF6C29">
        <w:rPr>
          <w:sz w:val="22"/>
          <w:szCs w:val="22"/>
        </w:rPr>
        <w:t xml:space="preserve"> tuomioistuinlain säännösten mukaisesti tuomioistuinten yhteistyöhön.</w:t>
      </w:r>
      <w:r w:rsidR="00887CC2" w:rsidRPr="00FF6C29">
        <w:rPr>
          <w:sz w:val="22"/>
          <w:szCs w:val="22"/>
        </w:rPr>
        <w:t xml:space="preserve"> </w:t>
      </w:r>
    </w:p>
    <w:p w14:paraId="6076C291" w14:textId="77777777" w:rsidR="00014F4B" w:rsidRPr="00FF6C29" w:rsidRDefault="00014F4B" w:rsidP="0078457A">
      <w:pPr>
        <w:ind w:left="1298"/>
        <w:rPr>
          <w:sz w:val="22"/>
          <w:szCs w:val="22"/>
        </w:rPr>
      </w:pPr>
    </w:p>
    <w:p w14:paraId="388A7443" w14:textId="6730AF58" w:rsidR="0047154C" w:rsidRPr="00FF6C29" w:rsidRDefault="00014F4B" w:rsidP="0078457A">
      <w:pPr>
        <w:ind w:left="1298"/>
        <w:rPr>
          <w:sz w:val="22"/>
          <w:szCs w:val="22"/>
        </w:rPr>
      </w:pPr>
      <w:r w:rsidRPr="00FF6C29">
        <w:rPr>
          <w:sz w:val="22"/>
          <w:szCs w:val="22"/>
        </w:rPr>
        <w:t xml:space="preserve">Maaoikeusinsinöörien yhteistoimintaa olisi mahdollista lisätä </w:t>
      </w:r>
      <w:r w:rsidR="00573B0C">
        <w:rPr>
          <w:sz w:val="22"/>
          <w:szCs w:val="22"/>
        </w:rPr>
        <w:t>myös tuomioistuinlain 14 l</w:t>
      </w:r>
      <w:r w:rsidRPr="00FF6C29">
        <w:rPr>
          <w:sz w:val="22"/>
          <w:szCs w:val="22"/>
        </w:rPr>
        <w:t xml:space="preserve">uvun 2 §:n perusteella määräämällä insinööri suostumuksellaan toimimaan tilapäisesti toisessa maaoikeudessa. Tällöin määräys voidaan antaa myös muuhun kuin samaan yhteistoiminta-alueeseen kuuluvaan maaoikeuteen, jolloin nykyisten yhteistoiminta-alueiden muuttaminen ei olisi välttämätöntä. </w:t>
      </w:r>
      <w:r w:rsidR="00655AA6" w:rsidRPr="00FF6C29">
        <w:rPr>
          <w:sz w:val="22"/>
          <w:szCs w:val="22"/>
        </w:rPr>
        <w:t xml:space="preserve">Lain esitöiden (HE 7/2016 vp) määräys voidaan antaa tiettyä asiaa varten ja myös yleisemmin enintään vuodeksi kerrallaan. </w:t>
      </w:r>
    </w:p>
    <w:p w14:paraId="7430059A" w14:textId="77777777" w:rsidR="003E6A37" w:rsidRPr="00FF6C29" w:rsidRDefault="003E6A37" w:rsidP="0078457A">
      <w:pPr>
        <w:ind w:left="1298"/>
        <w:rPr>
          <w:sz w:val="22"/>
          <w:szCs w:val="22"/>
        </w:rPr>
      </w:pPr>
    </w:p>
    <w:p w14:paraId="304AA0B7" w14:textId="0BA41C6B" w:rsidR="003E6A37" w:rsidRPr="00FF6C29" w:rsidRDefault="0047154C" w:rsidP="0078457A">
      <w:pPr>
        <w:ind w:left="1298"/>
        <w:rPr>
          <w:sz w:val="22"/>
          <w:szCs w:val="22"/>
        </w:rPr>
      </w:pPr>
      <w:r w:rsidRPr="00FF6C29">
        <w:rPr>
          <w:sz w:val="22"/>
          <w:szCs w:val="22"/>
        </w:rPr>
        <w:t>Edellä es</w:t>
      </w:r>
      <w:r w:rsidR="00014F4B" w:rsidRPr="00FF6C29">
        <w:rPr>
          <w:sz w:val="22"/>
          <w:szCs w:val="22"/>
        </w:rPr>
        <w:t>itetty yhteistoiminnan laajentaminen</w:t>
      </w:r>
      <w:r w:rsidRPr="00FF6C29">
        <w:rPr>
          <w:sz w:val="22"/>
          <w:szCs w:val="22"/>
        </w:rPr>
        <w:t xml:space="preserve"> mahdollistaisi sen, että avoimeksi tul</w:t>
      </w:r>
      <w:r w:rsidR="000232C9">
        <w:rPr>
          <w:sz w:val="22"/>
          <w:szCs w:val="22"/>
        </w:rPr>
        <w:t>leet</w:t>
      </w:r>
      <w:r w:rsidRPr="00FF6C29">
        <w:rPr>
          <w:sz w:val="22"/>
          <w:szCs w:val="22"/>
        </w:rPr>
        <w:t xml:space="preserve"> Etelä-Savon ja Varsinais-Suomen </w:t>
      </w:r>
      <w:r w:rsidR="00D53C8E" w:rsidRPr="00FF6C29">
        <w:rPr>
          <w:sz w:val="22"/>
          <w:szCs w:val="22"/>
        </w:rPr>
        <w:t>insinöörien virat voitaisiin jättää täyttämättä. Näiden maaoikeuksien asiat voitaisiin hoitaa yhteistoiminnalla edellä esitettyjen alueiden mukaisesti</w:t>
      </w:r>
      <w:r w:rsidR="00655AA6" w:rsidRPr="00FF6C29">
        <w:rPr>
          <w:sz w:val="22"/>
          <w:szCs w:val="22"/>
        </w:rPr>
        <w:t xml:space="preserve"> tai määräämällä insinööri toimimaan tilapäisesti toisessa maaoikeudessa</w:t>
      </w:r>
      <w:r w:rsidR="00D53C8E" w:rsidRPr="00FF6C29">
        <w:rPr>
          <w:sz w:val="22"/>
          <w:szCs w:val="22"/>
        </w:rPr>
        <w:t xml:space="preserve">. </w:t>
      </w:r>
      <w:r w:rsidR="00655AA6" w:rsidRPr="00FF6C29">
        <w:rPr>
          <w:sz w:val="22"/>
          <w:szCs w:val="22"/>
        </w:rPr>
        <w:t>Tällaiset j</w:t>
      </w:r>
      <w:r w:rsidR="00D53C8E" w:rsidRPr="00FF6C29">
        <w:rPr>
          <w:sz w:val="22"/>
          <w:szCs w:val="22"/>
        </w:rPr>
        <w:t>ärjestely</w:t>
      </w:r>
      <w:r w:rsidR="00655AA6" w:rsidRPr="00FF6C29">
        <w:rPr>
          <w:sz w:val="22"/>
          <w:szCs w:val="22"/>
        </w:rPr>
        <w:t>t</w:t>
      </w:r>
      <w:r w:rsidR="00D53C8E" w:rsidRPr="00FF6C29">
        <w:rPr>
          <w:sz w:val="22"/>
          <w:szCs w:val="22"/>
        </w:rPr>
        <w:t xml:space="preserve"> </w:t>
      </w:r>
      <w:r w:rsidRPr="00FF6C29">
        <w:rPr>
          <w:sz w:val="22"/>
          <w:szCs w:val="22"/>
        </w:rPr>
        <w:t>lisäisi</w:t>
      </w:r>
      <w:r w:rsidR="00655AA6" w:rsidRPr="00FF6C29">
        <w:rPr>
          <w:sz w:val="22"/>
          <w:szCs w:val="22"/>
        </w:rPr>
        <w:t>vät</w:t>
      </w:r>
      <w:r w:rsidRPr="00FF6C29">
        <w:rPr>
          <w:sz w:val="22"/>
          <w:szCs w:val="22"/>
        </w:rPr>
        <w:t xml:space="preserve"> </w:t>
      </w:r>
      <w:r w:rsidR="00584E72" w:rsidRPr="00FF6C29">
        <w:rPr>
          <w:sz w:val="22"/>
          <w:szCs w:val="22"/>
        </w:rPr>
        <w:t xml:space="preserve">kuitenkin </w:t>
      </w:r>
      <w:r w:rsidR="00655AA6" w:rsidRPr="00FF6C29">
        <w:rPr>
          <w:sz w:val="22"/>
          <w:szCs w:val="22"/>
        </w:rPr>
        <w:t xml:space="preserve">tuomioistuinten </w:t>
      </w:r>
      <w:r w:rsidR="00D53C8E" w:rsidRPr="00FF6C29">
        <w:rPr>
          <w:sz w:val="22"/>
          <w:szCs w:val="22"/>
        </w:rPr>
        <w:t xml:space="preserve">hallinnollista työtä ja insinöörien matkustamista. </w:t>
      </w:r>
      <w:r w:rsidR="00295388" w:rsidRPr="00FF6C29">
        <w:rPr>
          <w:sz w:val="22"/>
          <w:szCs w:val="22"/>
        </w:rPr>
        <w:t>Insinöörin virkojen täyttämättä jättämisellä saavutettavat vuosittaise</w:t>
      </w:r>
      <w:r w:rsidR="00655AA6" w:rsidRPr="00FF6C29">
        <w:rPr>
          <w:sz w:val="22"/>
          <w:szCs w:val="22"/>
        </w:rPr>
        <w:t xml:space="preserve">t säästöt eivät olisi </w:t>
      </w:r>
      <w:r w:rsidR="00295388" w:rsidRPr="00FF6C29">
        <w:rPr>
          <w:sz w:val="22"/>
          <w:szCs w:val="22"/>
        </w:rPr>
        <w:t>merkittäviä. Esimerkiksi kahden maaoikeusinsinöörin viran vähentämisellä voitaisiin saavuttaa arviolta noin 1</w:t>
      </w:r>
      <w:r w:rsidR="002556A9">
        <w:rPr>
          <w:sz w:val="22"/>
          <w:szCs w:val="22"/>
        </w:rPr>
        <w:t>40</w:t>
      </w:r>
      <w:r w:rsidR="00295388" w:rsidRPr="00FF6C29">
        <w:rPr>
          <w:sz w:val="22"/>
          <w:szCs w:val="22"/>
        </w:rPr>
        <w:t xml:space="preserve"> 000–1</w:t>
      </w:r>
      <w:r w:rsidR="002556A9">
        <w:rPr>
          <w:sz w:val="22"/>
          <w:szCs w:val="22"/>
        </w:rPr>
        <w:t>7</w:t>
      </w:r>
      <w:r w:rsidR="00295388" w:rsidRPr="00FF6C29">
        <w:rPr>
          <w:sz w:val="22"/>
          <w:szCs w:val="22"/>
        </w:rPr>
        <w:t xml:space="preserve">0 000 euron vuosittainen säästö palkkakustannuksissa. </w:t>
      </w:r>
      <w:r w:rsidR="00655AA6" w:rsidRPr="00FF6C29">
        <w:rPr>
          <w:sz w:val="22"/>
          <w:szCs w:val="22"/>
        </w:rPr>
        <w:t xml:space="preserve">Yhteistoiminnan laajentaminen ei myöskään </w:t>
      </w:r>
      <w:r w:rsidR="00655AA6" w:rsidRPr="00FF6C29">
        <w:rPr>
          <w:sz w:val="22"/>
          <w:szCs w:val="22"/>
        </w:rPr>
        <w:lastRenderedPageBreak/>
        <w:t xml:space="preserve">edistäisi maaoikeusasioiden vastuutuomareiden osaamisen ylläpitoa, koska heidän käsiteltävänään olevien asioiden määrä ei lisääntyisi. </w:t>
      </w:r>
      <w:r w:rsidR="00D53C8E" w:rsidRPr="00FF6C29">
        <w:rPr>
          <w:sz w:val="22"/>
          <w:szCs w:val="22"/>
        </w:rPr>
        <w:t xml:space="preserve">Oikeusministeriö pitää </w:t>
      </w:r>
      <w:r w:rsidR="003E6A37" w:rsidRPr="00FF6C29">
        <w:rPr>
          <w:sz w:val="22"/>
          <w:szCs w:val="22"/>
        </w:rPr>
        <w:t xml:space="preserve">lisäksi </w:t>
      </w:r>
      <w:r w:rsidR="00D53C8E" w:rsidRPr="00FF6C29">
        <w:rPr>
          <w:sz w:val="22"/>
          <w:szCs w:val="22"/>
        </w:rPr>
        <w:t>tärkeänä, että maaoikeusinsinöörien osaamise</w:t>
      </w:r>
      <w:r w:rsidR="00655AA6" w:rsidRPr="00FF6C29">
        <w:rPr>
          <w:sz w:val="22"/>
          <w:szCs w:val="22"/>
        </w:rPr>
        <w:t xml:space="preserve">n siirtymisestä </w:t>
      </w:r>
      <w:r w:rsidR="00573B0C">
        <w:rPr>
          <w:sz w:val="22"/>
          <w:szCs w:val="22"/>
        </w:rPr>
        <w:t>huolehditaan</w:t>
      </w:r>
      <w:r w:rsidR="00D53C8E" w:rsidRPr="00FF6C29">
        <w:rPr>
          <w:sz w:val="22"/>
          <w:szCs w:val="22"/>
        </w:rPr>
        <w:t>.</w:t>
      </w:r>
      <w:r w:rsidR="00E80C0B" w:rsidRPr="00FF6C29">
        <w:rPr>
          <w:sz w:val="22"/>
          <w:szCs w:val="22"/>
        </w:rPr>
        <w:t xml:space="preserve"> </w:t>
      </w:r>
      <w:r w:rsidR="003E6A37" w:rsidRPr="00FF6C29">
        <w:rPr>
          <w:sz w:val="22"/>
          <w:szCs w:val="22"/>
        </w:rPr>
        <w:t xml:space="preserve">Tämä edellyttää sitä, että </w:t>
      </w:r>
      <w:r w:rsidR="00E80C0B" w:rsidRPr="00FF6C29">
        <w:rPr>
          <w:sz w:val="22"/>
          <w:szCs w:val="22"/>
        </w:rPr>
        <w:t>eläköityvien tilalle rekrytoidaan uusia in</w:t>
      </w:r>
      <w:r w:rsidR="00573B0C">
        <w:rPr>
          <w:sz w:val="22"/>
          <w:szCs w:val="22"/>
        </w:rPr>
        <w:t xml:space="preserve">sinöörejä. </w:t>
      </w:r>
    </w:p>
    <w:p w14:paraId="21640D41" w14:textId="77777777" w:rsidR="003E6A37" w:rsidRPr="00FF6C29" w:rsidRDefault="003E6A37" w:rsidP="0078457A">
      <w:pPr>
        <w:ind w:left="1298"/>
        <w:rPr>
          <w:sz w:val="22"/>
          <w:szCs w:val="22"/>
        </w:rPr>
      </w:pPr>
    </w:p>
    <w:p w14:paraId="1083A1DC" w14:textId="2D7CA946" w:rsidR="00FE4DEA" w:rsidRPr="00FF6C29" w:rsidRDefault="00295388" w:rsidP="0078457A">
      <w:pPr>
        <w:ind w:left="1298"/>
        <w:rPr>
          <w:sz w:val="22"/>
          <w:szCs w:val="22"/>
        </w:rPr>
      </w:pPr>
      <w:r w:rsidRPr="00FF6C29">
        <w:rPr>
          <w:sz w:val="22"/>
          <w:szCs w:val="22"/>
        </w:rPr>
        <w:t>Edellä todettu huomioon ottaen, o</w:t>
      </w:r>
      <w:r w:rsidR="00D81704" w:rsidRPr="00FF6C29">
        <w:rPr>
          <w:sz w:val="22"/>
          <w:szCs w:val="22"/>
        </w:rPr>
        <w:t xml:space="preserve">ikeusministeriö </w:t>
      </w:r>
      <w:r w:rsidR="003E6A37" w:rsidRPr="00FF6C29">
        <w:rPr>
          <w:sz w:val="22"/>
          <w:szCs w:val="22"/>
        </w:rPr>
        <w:t xml:space="preserve">katsoo, että </w:t>
      </w:r>
      <w:r w:rsidRPr="00FF6C29">
        <w:rPr>
          <w:sz w:val="22"/>
          <w:szCs w:val="22"/>
        </w:rPr>
        <w:t>tarve maaoikeusinsinöö</w:t>
      </w:r>
      <w:r w:rsidR="003E6A37" w:rsidRPr="00FF6C29">
        <w:rPr>
          <w:sz w:val="22"/>
          <w:szCs w:val="22"/>
        </w:rPr>
        <w:t xml:space="preserve">rien määrän vähentämiselle ja </w:t>
      </w:r>
      <w:r w:rsidR="00D81704" w:rsidRPr="00FF6C29">
        <w:rPr>
          <w:sz w:val="22"/>
          <w:szCs w:val="22"/>
        </w:rPr>
        <w:t>yhteist</w:t>
      </w:r>
      <w:r w:rsidRPr="00FF6C29">
        <w:rPr>
          <w:sz w:val="22"/>
          <w:szCs w:val="22"/>
        </w:rPr>
        <w:t>oimin</w:t>
      </w:r>
      <w:r w:rsidR="003E6A37" w:rsidRPr="00FF6C29">
        <w:rPr>
          <w:sz w:val="22"/>
          <w:szCs w:val="22"/>
        </w:rPr>
        <w:t xml:space="preserve">nan laajentamiselle </w:t>
      </w:r>
      <w:r w:rsidR="00655AA6" w:rsidRPr="00FF6C29">
        <w:rPr>
          <w:sz w:val="22"/>
          <w:szCs w:val="22"/>
        </w:rPr>
        <w:t>tulisi</w:t>
      </w:r>
      <w:r w:rsidR="003E6A37" w:rsidRPr="00FF6C29">
        <w:rPr>
          <w:sz w:val="22"/>
          <w:szCs w:val="22"/>
        </w:rPr>
        <w:t xml:space="preserve"> selvittää </w:t>
      </w:r>
      <w:r w:rsidRPr="00FF6C29">
        <w:rPr>
          <w:sz w:val="22"/>
          <w:szCs w:val="22"/>
        </w:rPr>
        <w:t>samassa yhteydessä maaoikeuksien lukumäärän arvioinnin kanssa. Painavia perusteita erityisille tilapäisjärjestelyille ei ministeriön näkemyksen mukaan ole, vaan vapautuvat Etelä-Savon ja Varsinais-Suomen maaoikeusinsinöörien virat</w:t>
      </w:r>
      <w:r w:rsidR="002556A9">
        <w:rPr>
          <w:sz w:val="22"/>
          <w:szCs w:val="22"/>
        </w:rPr>
        <w:t xml:space="preserve"> </w:t>
      </w:r>
      <w:r w:rsidR="000232C9">
        <w:rPr>
          <w:sz w:val="22"/>
          <w:szCs w:val="22"/>
        </w:rPr>
        <w:t xml:space="preserve">on </w:t>
      </w:r>
      <w:r w:rsidR="002556A9" w:rsidRPr="002556A9">
        <w:rPr>
          <w:sz w:val="22"/>
          <w:szCs w:val="22"/>
        </w:rPr>
        <w:t xml:space="preserve">tässä vaiheessa </w:t>
      </w:r>
      <w:r w:rsidR="000232C9">
        <w:rPr>
          <w:sz w:val="22"/>
          <w:szCs w:val="22"/>
        </w:rPr>
        <w:t xml:space="preserve">täytetty </w:t>
      </w:r>
      <w:r w:rsidR="002556A9" w:rsidRPr="002556A9">
        <w:rPr>
          <w:sz w:val="22"/>
          <w:szCs w:val="22"/>
        </w:rPr>
        <w:t>määräaikaisesti vuoden 2018 loppuun saakka</w:t>
      </w:r>
      <w:r w:rsidRPr="00FF6C29">
        <w:rPr>
          <w:sz w:val="22"/>
          <w:szCs w:val="22"/>
        </w:rPr>
        <w:t xml:space="preserve">. </w:t>
      </w:r>
    </w:p>
    <w:p w14:paraId="24E52CAC" w14:textId="77777777" w:rsidR="0032641D" w:rsidRPr="00FF6C29" w:rsidRDefault="0032641D" w:rsidP="0078457A">
      <w:pPr>
        <w:ind w:left="1298"/>
        <w:rPr>
          <w:sz w:val="22"/>
          <w:szCs w:val="22"/>
        </w:rPr>
      </w:pPr>
    </w:p>
    <w:p w14:paraId="06EF7B5C" w14:textId="4C5F27A7" w:rsidR="0032641D" w:rsidRPr="00FF6C29" w:rsidRDefault="00310802" w:rsidP="0032641D">
      <w:pPr>
        <w:ind w:left="1298"/>
        <w:rPr>
          <w:sz w:val="22"/>
          <w:szCs w:val="22"/>
        </w:rPr>
      </w:pPr>
      <w:r w:rsidRPr="00FF6C29">
        <w:rPr>
          <w:sz w:val="22"/>
          <w:szCs w:val="22"/>
        </w:rPr>
        <w:t>Oikeusministeriö katsoo myös, että m</w:t>
      </w:r>
      <w:r w:rsidR="0032641D" w:rsidRPr="00FF6C29">
        <w:rPr>
          <w:sz w:val="22"/>
          <w:szCs w:val="22"/>
        </w:rPr>
        <w:t xml:space="preserve">aaoikeuksien tuomiopiirit olisi perusteltua muuttaa vastamaan maakuntajakoa. </w:t>
      </w:r>
      <w:r w:rsidR="006F486E" w:rsidRPr="00FF6C29">
        <w:rPr>
          <w:sz w:val="22"/>
          <w:szCs w:val="22"/>
        </w:rPr>
        <w:t xml:space="preserve">Tämä toteuttamiseksi </w:t>
      </w:r>
      <w:r w:rsidR="0032641D" w:rsidRPr="00FF6C29">
        <w:rPr>
          <w:sz w:val="22"/>
          <w:szCs w:val="22"/>
        </w:rPr>
        <w:t xml:space="preserve">Vantaan </w:t>
      </w:r>
      <w:r w:rsidR="000232C9">
        <w:rPr>
          <w:sz w:val="22"/>
          <w:szCs w:val="22"/>
        </w:rPr>
        <w:t xml:space="preserve">(ja tulevan Itä-Uudenmaan) </w:t>
      </w:r>
      <w:r w:rsidR="0032641D" w:rsidRPr="00FF6C29">
        <w:rPr>
          <w:sz w:val="22"/>
          <w:szCs w:val="22"/>
        </w:rPr>
        <w:t xml:space="preserve">käräjäoikeuden tuomiopiiriin kuuluvat Salon ja Someron kunnat </w:t>
      </w:r>
      <w:r w:rsidR="006F486E" w:rsidRPr="00FF6C29">
        <w:rPr>
          <w:sz w:val="22"/>
          <w:szCs w:val="22"/>
        </w:rPr>
        <w:t xml:space="preserve">tulisi siirtää </w:t>
      </w:r>
      <w:r w:rsidR="0032641D" w:rsidRPr="00FF6C29">
        <w:rPr>
          <w:sz w:val="22"/>
          <w:szCs w:val="22"/>
        </w:rPr>
        <w:t>Varsinais-Suomen käräjäoikeuden tuomiopiiriin. Vastaavasti Lapin käräjäoikeuden tuomiopiiriin kuuluvat Kuusamon, Taivalkosken ja Pudasjärven kunnat</w:t>
      </w:r>
      <w:r w:rsidR="006F486E" w:rsidRPr="00FF6C29">
        <w:rPr>
          <w:sz w:val="22"/>
          <w:szCs w:val="22"/>
        </w:rPr>
        <w:t xml:space="preserve"> tulisi siirtää</w:t>
      </w:r>
      <w:r w:rsidR="0032641D" w:rsidRPr="00FF6C29">
        <w:rPr>
          <w:sz w:val="22"/>
          <w:szCs w:val="22"/>
        </w:rPr>
        <w:t xml:space="preserve"> Oulun käräjäoikeuden tuomiopiiriin. Siirrot tapahtuisivat yhteistoiminta-alueiden sisällä, joten niillä ei olisi merkittävää asiamääriä tasaavaa vaikutusta.</w:t>
      </w:r>
      <w:r w:rsidR="004138AD" w:rsidRPr="00FF6C29">
        <w:rPr>
          <w:sz w:val="22"/>
          <w:szCs w:val="22"/>
        </w:rPr>
        <w:t xml:space="preserve"> </w:t>
      </w:r>
      <w:r w:rsidR="006F486E" w:rsidRPr="00FF6C29">
        <w:rPr>
          <w:sz w:val="22"/>
          <w:szCs w:val="22"/>
        </w:rPr>
        <w:t xml:space="preserve">Näin ollen oikeusministeriö katsoo, että </w:t>
      </w:r>
      <w:r w:rsidR="00D81704" w:rsidRPr="00FF6C29">
        <w:rPr>
          <w:sz w:val="22"/>
          <w:szCs w:val="22"/>
        </w:rPr>
        <w:t xml:space="preserve">myös </w:t>
      </w:r>
      <w:r w:rsidR="006F486E" w:rsidRPr="00FF6C29">
        <w:rPr>
          <w:sz w:val="22"/>
          <w:szCs w:val="22"/>
        </w:rPr>
        <w:t>t</w:t>
      </w:r>
      <w:r w:rsidR="004138AD" w:rsidRPr="00FF6C29">
        <w:rPr>
          <w:sz w:val="22"/>
          <w:szCs w:val="22"/>
        </w:rPr>
        <w:t xml:space="preserve">arve tuomiopiirien tarkistamiselle </w:t>
      </w:r>
      <w:r w:rsidR="006F486E" w:rsidRPr="00FF6C29">
        <w:rPr>
          <w:sz w:val="22"/>
          <w:szCs w:val="22"/>
        </w:rPr>
        <w:t xml:space="preserve">tulisi </w:t>
      </w:r>
      <w:r w:rsidR="004138AD" w:rsidRPr="00FF6C29">
        <w:rPr>
          <w:sz w:val="22"/>
          <w:szCs w:val="22"/>
        </w:rPr>
        <w:t xml:space="preserve">arvioida </w:t>
      </w:r>
      <w:r w:rsidR="003E6A37" w:rsidRPr="00FF6C29">
        <w:rPr>
          <w:sz w:val="22"/>
          <w:szCs w:val="22"/>
        </w:rPr>
        <w:t xml:space="preserve">osana maaoikeusasioiden käsittelyn kehittämistä koskevaa kokonaisselvitystä. </w:t>
      </w:r>
    </w:p>
    <w:p w14:paraId="2C5C26BB" w14:textId="77777777" w:rsidR="001910A9" w:rsidRPr="00FF6C29" w:rsidRDefault="001910A9" w:rsidP="001910A9">
      <w:pPr>
        <w:pStyle w:val="Otsikko1"/>
      </w:pPr>
      <w:r w:rsidRPr="00FF6C29">
        <w:t>Esityksen vaikutukset</w:t>
      </w:r>
    </w:p>
    <w:p w14:paraId="34CDB61C" w14:textId="24103630" w:rsidR="00296EE2" w:rsidRPr="00FF6C29" w:rsidRDefault="00296EE2" w:rsidP="001910A9">
      <w:pPr>
        <w:ind w:left="1298"/>
        <w:rPr>
          <w:sz w:val="22"/>
          <w:szCs w:val="22"/>
        </w:rPr>
      </w:pPr>
      <w:r w:rsidRPr="00FF6C29">
        <w:rPr>
          <w:sz w:val="22"/>
          <w:szCs w:val="22"/>
        </w:rPr>
        <w:t>Toimintoja keskittämällä voidaan saavuttaa säästöjä ja lisätä toiminnan tehokkuutta</w:t>
      </w:r>
      <w:r w:rsidR="0028161D">
        <w:rPr>
          <w:sz w:val="22"/>
          <w:szCs w:val="22"/>
        </w:rPr>
        <w:t>.</w:t>
      </w:r>
      <w:r w:rsidRPr="00FF6C29">
        <w:rPr>
          <w:sz w:val="22"/>
          <w:szCs w:val="22"/>
        </w:rPr>
        <w:t xml:space="preserve"> </w:t>
      </w:r>
      <w:r w:rsidR="001910A9" w:rsidRPr="00FF6C29">
        <w:rPr>
          <w:sz w:val="22"/>
          <w:szCs w:val="22"/>
        </w:rPr>
        <w:t>Maaoikeu</w:t>
      </w:r>
      <w:r w:rsidR="003E6A37" w:rsidRPr="00FF6C29">
        <w:rPr>
          <w:sz w:val="22"/>
          <w:szCs w:val="22"/>
        </w:rPr>
        <w:t xml:space="preserve">ksien </w:t>
      </w:r>
      <w:r w:rsidR="004138AD" w:rsidRPr="00FF6C29">
        <w:rPr>
          <w:sz w:val="22"/>
          <w:szCs w:val="22"/>
        </w:rPr>
        <w:t>lukumäärä</w:t>
      </w:r>
      <w:r w:rsidR="003E6A37" w:rsidRPr="00FF6C29">
        <w:rPr>
          <w:sz w:val="22"/>
          <w:szCs w:val="22"/>
        </w:rPr>
        <w:t xml:space="preserve">ä </w:t>
      </w:r>
      <w:r w:rsidR="004138AD" w:rsidRPr="00FF6C29">
        <w:rPr>
          <w:sz w:val="22"/>
          <w:szCs w:val="22"/>
        </w:rPr>
        <w:t xml:space="preserve">vähentämällä </w:t>
      </w:r>
      <w:r w:rsidR="001910A9" w:rsidRPr="00FF6C29">
        <w:rPr>
          <w:sz w:val="22"/>
          <w:szCs w:val="22"/>
        </w:rPr>
        <w:t xml:space="preserve">voidaan tasata maaoikeuksien työmäärää ja </w:t>
      </w:r>
      <w:r w:rsidR="0028161D">
        <w:rPr>
          <w:sz w:val="22"/>
          <w:szCs w:val="22"/>
        </w:rPr>
        <w:t xml:space="preserve">siten </w:t>
      </w:r>
      <w:r w:rsidR="001910A9" w:rsidRPr="00FF6C29">
        <w:rPr>
          <w:sz w:val="22"/>
          <w:szCs w:val="22"/>
        </w:rPr>
        <w:t xml:space="preserve">tehostaa niiden toimintaa. </w:t>
      </w:r>
      <w:r w:rsidR="0028161D">
        <w:rPr>
          <w:sz w:val="22"/>
          <w:szCs w:val="22"/>
        </w:rPr>
        <w:t>Keskittämisellä</w:t>
      </w:r>
      <w:r w:rsidR="004138AD" w:rsidRPr="00FF6C29">
        <w:rPr>
          <w:sz w:val="22"/>
          <w:szCs w:val="22"/>
        </w:rPr>
        <w:t xml:space="preserve"> </w:t>
      </w:r>
      <w:r w:rsidR="00014F4B" w:rsidRPr="00FF6C29">
        <w:rPr>
          <w:sz w:val="22"/>
          <w:szCs w:val="22"/>
        </w:rPr>
        <w:t xml:space="preserve">maaoikeusasioita käsittelevän henkilöstön </w:t>
      </w:r>
      <w:r w:rsidR="001910A9" w:rsidRPr="00FF6C29">
        <w:rPr>
          <w:sz w:val="22"/>
          <w:szCs w:val="22"/>
        </w:rPr>
        <w:t>työpano</w:t>
      </w:r>
      <w:r w:rsidR="00014F4B" w:rsidRPr="00FF6C29">
        <w:rPr>
          <w:sz w:val="22"/>
          <w:szCs w:val="22"/>
        </w:rPr>
        <w:t>s</w:t>
      </w:r>
      <w:r w:rsidR="001910A9" w:rsidRPr="00FF6C29">
        <w:rPr>
          <w:sz w:val="22"/>
          <w:szCs w:val="22"/>
        </w:rPr>
        <w:t xml:space="preserve"> saadaan hyödynnettyä </w:t>
      </w:r>
      <w:r w:rsidR="00014F4B" w:rsidRPr="00FF6C29">
        <w:rPr>
          <w:sz w:val="22"/>
          <w:szCs w:val="22"/>
        </w:rPr>
        <w:t xml:space="preserve">nykyistä </w:t>
      </w:r>
      <w:r w:rsidR="0028161D">
        <w:rPr>
          <w:sz w:val="22"/>
          <w:szCs w:val="22"/>
        </w:rPr>
        <w:t xml:space="preserve">tarkoituksenmukaisemmin. Näin voidaan huolehtia myös osaamisen säilymisestä, kun asioita ohjautuu riittävästi käsiteltäväksi niin tuomareille kuin insinööreillekin. </w:t>
      </w:r>
    </w:p>
    <w:p w14:paraId="1764458C" w14:textId="77777777" w:rsidR="00296EE2" w:rsidRPr="00FF6C29" w:rsidRDefault="00296EE2" w:rsidP="001910A9">
      <w:pPr>
        <w:ind w:left="1298"/>
        <w:rPr>
          <w:sz w:val="22"/>
          <w:szCs w:val="22"/>
        </w:rPr>
      </w:pPr>
    </w:p>
    <w:p w14:paraId="635FB854" w14:textId="1297AE78" w:rsidR="003A4C78" w:rsidRPr="00FF6C29" w:rsidRDefault="00296EE2" w:rsidP="001910A9">
      <w:pPr>
        <w:ind w:left="1298"/>
        <w:rPr>
          <w:sz w:val="22"/>
          <w:szCs w:val="22"/>
        </w:rPr>
      </w:pPr>
      <w:r w:rsidRPr="00FF6C29">
        <w:rPr>
          <w:sz w:val="22"/>
          <w:szCs w:val="22"/>
        </w:rPr>
        <w:t xml:space="preserve">Maaoikeudet ovat osa käräjäoikeuksia, joten uudistuksella ei ole saavutettavissa toimitilasäästöjä. Uudistuksen säästöt perustuisivat siten maaoikeusasioita käsittelevän henkilöstön määrän vähentämiseen. </w:t>
      </w:r>
      <w:r w:rsidR="0028161D" w:rsidRPr="0028161D">
        <w:rPr>
          <w:sz w:val="22"/>
          <w:szCs w:val="22"/>
        </w:rPr>
        <w:t>Toisaalta tuomiopiirien laajentuminen voi lisätä matkustamisesta aiheutuvaa haittaa ja kustannuksia.</w:t>
      </w:r>
      <w:r w:rsidR="0028161D">
        <w:rPr>
          <w:sz w:val="22"/>
          <w:szCs w:val="22"/>
        </w:rPr>
        <w:t xml:space="preserve"> </w:t>
      </w:r>
      <w:r w:rsidR="00014F4B" w:rsidRPr="00FF6C29">
        <w:rPr>
          <w:sz w:val="22"/>
          <w:szCs w:val="22"/>
        </w:rPr>
        <w:t>Maaoikeuksien luku</w:t>
      </w:r>
      <w:r w:rsidR="0028161D">
        <w:rPr>
          <w:sz w:val="22"/>
          <w:szCs w:val="22"/>
        </w:rPr>
        <w:t xml:space="preserve">määrän vähentämisestä aiheutuvia </w:t>
      </w:r>
      <w:r w:rsidR="00014F4B" w:rsidRPr="00FF6C29">
        <w:rPr>
          <w:sz w:val="22"/>
          <w:szCs w:val="22"/>
        </w:rPr>
        <w:t xml:space="preserve">taloudellisia vaikutuksia ei vielä tässä vaiheessa </w:t>
      </w:r>
      <w:r w:rsidR="0028161D">
        <w:rPr>
          <w:sz w:val="22"/>
          <w:szCs w:val="22"/>
        </w:rPr>
        <w:t xml:space="preserve">ole </w:t>
      </w:r>
      <w:r w:rsidR="00014F4B" w:rsidRPr="00FF6C29">
        <w:rPr>
          <w:sz w:val="22"/>
          <w:szCs w:val="22"/>
        </w:rPr>
        <w:t>mahdollista arvioida</w:t>
      </w:r>
      <w:r w:rsidR="00655AA6" w:rsidRPr="00FF6C29">
        <w:rPr>
          <w:sz w:val="22"/>
          <w:szCs w:val="22"/>
        </w:rPr>
        <w:t xml:space="preserve"> täsmällisesti</w:t>
      </w:r>
      <w:r w:rsidR="00014F4B" w:rsidRPr="00FF6C29">
        <w:rPr>
          <w:sz w:val="22"/>
          <w:szCs w:val="22"/>
        </w:rPr>
        <w:t>, vaan ne tulee selvittää jatkovalmistelussa.</w:t>
      </w:r>
    </w:p>
    <w:p w14:paraId="26AA1ABB" w14:textId="34D9D9CA" w:rsidR="003A4C78" w:rsidRPr="00FF6C29" w:rsidRDefault="003A4C78" w:rsidP="00827F5E">
      <w:pPr>
        <w:pStyle w:val="Otsikko1"/>
      </w:pPr>
      <w:r w:rsidRPr="00FF6C29">
        <w:t>Johtopäätökset</w:t>
      </w:r>
    </w:p>
    <w:p w14:paraId="55F3242D" w14:textId="4AF61C55" w:rsidR="00F63D49" w:rsidRDefault="00014F4B" w:rsidP="00014F4B">
      <w:pPr>
        <w:ind w:left="1298"/>
        <w:rPr>
          <w:sz w:val="22"/>
          <w:szCs w:val="22"/>
        </w:rPr>
      </w:pPr>
      <w:r w:rsidRPr="00FF6C29">
        <w:rPr>
          <w:sz w:val="22"/>
          <w:szCs w:val="22"/>
        </w:rPr>
        <w:t>Edellä esitetty huomioon ottaen o</w:t>
      </w:r>
      <w:r w:rsidR="00893ED5" w:rsidRPr="00FF6C29">
        <w:rPr>
          <w:sz w:val="22"/>
          <w:szCs w:val="22"/>
        </w:rPr>
        <w:t xml:space="preserve">ikeusministeriö pitää </w:t>
      </w:r>
      <w:r w:rsidR="00EF29E7">
        <w:rPr>
          <w:sz w:val="22"/>
          <w:szCs w:val="22"/>
        </w:rPr>
        <w:t xml:space="preserve">perusteltuna, että maaoikeuksien lukumäärää arvioidaan </w:t>
      </w:r>
      <w:r w:rsidR="00893ED5" w:rsidRPr="00FF6C29">
        <w:rPr>
          <w:sz w:val="22"/>
          <w:szCs w:val="22"/>
        </w:rPr>
        <w:t>lähiaikoina</w:t>
      </w:r>
      <w:r w:rsidR="00E15A56" w:rsidRPr="00FF6C29">
        <w:rPr>
          <w:sz w:val="22"/>
          <w:szCs w:val="22"/>
        </w:rPr>
        <w:t xml:space="preserve"> etenkin</w:t>
      </w:r>
      <w:r w:rsidR="00893ED5" w:rsidRPr="00FF6C29">
        <w:rPr>
          <w:sz w:val="22"/>
          <w:szCs w:val="22"/>
        </w:rPr>
        <w:t xml:space="preserve">, jos maaoikeuksien asiamäärät laskevat edelleen. </w:t>
      </w:r>
      <w:r w:rsidR="00E80C0B" w:rsidRPr="00FF6C29">
        <w:rPr>
          <w:sz w:val="22"/>
          <w:szCs w:val="22"/>
        </w:rPr>
        <w:t>Maaoikeusasioiden käsittelyn keskittämistä nykyistä ha</w:t>
      </w:r>
      <w:r w:rsidRPr="00FF6C29">
        <w:rPr>
          <w:sz w:val="22"/>
          <w:szCs w:val="22"/>
        </w:rPr>
        <w:t xml:space="preserve">rvempiin tuomioistuimiin tulee </w:t>
      </w:r>
      <w:r w:rsidR="00E80C0B" w:rsidRPr="00FF6C29">
        <w:rPr>
          <w:sz w:val="22"/>
          <w:szCs w:val="22"/>
        </w:rPr>
        <w:t xml:space="preserve">arvioida kokonaisuutena. </w:t>
      </w:r>
      <w:r w:rsidRPr="00FF6C29">
        <w:rPr>
          <w:sz w:val="22"/>
          <w:szCs w:val="22"/>
        </w:rPr>
        <w:t xml:space="preserve">Asiaa selvittämään olisi </w:t>
      </w:r>
      <w:r w:rsidR="00E80C0B" w:rsidRPr="00FF6C29">
        <w:rPr>
          <w:sz w:val="22"/>
          <w:szCs w:val="22"/>
        </w:rPr>
        <w:t>perusteltua asettaa erillinen työryhmä</w:t>
      </w:r>
      <w:r w:rsidRPr="00FF6C29">
        <w:rPr>
          <w:sz w:val="22"/>
          <w:szCs w:val="22"/>
        </w:rPr>
        <w:t xml:space="preserve">. </w:t>
      </w:r>
      <w:r w:rsidR="00F30219" w:rsidRPr="00FF6C29">
        <w:rPr>
          <w:sz w:val="22"/>
          <w:szCs w:val="22"/>
        </w:rPr>
        <w:t>Tässä yhteydessä selvitettäväksi voisi tulla myös maaoikeusasioiden keskittäminen valtakunnallisesti hoidettavaksi</w:t>
      </w:r>
      <w:r w:rsidR="00E80C0B" w:rsidRPr="00FF6C29">
        <w:rPr>
          <w:sz w:val="22"/>
          <w:szCs w:val="22"/>
        </w:rPr>
        <w:t xml:space="preserve"> (ns. yhden maaoikeuden malli)</w:t>
      </w:r>
      <w:r w:rsidR="00F30219" w:rsidRPr="00FF6C29">
        <w:rPr>
          <w:sz w:val="22"/>
          <w:szCs w:val="22"/>
        </w:rPr>
        <w:t xml:space="preserve">. </w:t>
      </w:r>
      <w:r w:rsidR="00295388" w:rsidRPr="00FF6C29">
        <w:rPr>
          <w:sz w:val="22"/>
          <w:szCs w:val="22"/>
        </w:rPr>
        <w:t>T</w:t>
      </w:r>
      <w:r w:rsidR="00F30219" w:rsidRPr="00FF6C29">
        <w:rPr>
          <w:sz w:val="22"/>
          <w:szCs w:val="22"/>
        </w:rPr>
        <w:t xml:space="preserve">yöryhmän tehtävänä </w:t>
      </w:r>
      <w:r w:rsidR="00DB6191" w:rsidRPr="00FF6C29">
        <w:rPr>
          <w:sz w:val="22"/>
          <w:szCs w:val="22"/>
        </w:rPr>
        <w:t xml:space="preserve">voisi olla selvittää myös mahdollisuuksia luopua erillisistä maaoikeusinsinöörien viroista ja järjestää maaoikeuksissa tarvittava erityisasiantuntemus asiantuntijajäseniä hyödyntämällä. </w:t>
      </w:r>
    </w:p>
    <w:p w14:paraId="1DF42244" w14:textId="77777777" w:rsidR="00F63D49" w:rsidRDefault="00F63D49" w:rsidP="00014F4B">
      <w:pPr>
        <w:ind w:left="1298"/>
        <w:rPr>
          <w:sz w:val="22"/>
          <w:szCs w:val="22"/>
        </w:rPr>
      </w:pPr>
    </w:p>
    <w:p w14:paraId="3237AF99" w14:textId="4CA6A5D2" w:rsidR="00F63D49" w:rsidRDefault="0028161D" w:rsidP="00014F4B">
      <w:pPr>
        <w:ind w:left="1298"/>
        <w:rPr>
          <w:sz w:val="22"/>
          <w:szCs w:val="22"/>
        </w:rPr>
      </w:pPr>
      <w:r>
        <w:rPr>
          <w:sz w:val="22"/>
          <w:szCs w:val="22"/>
        </w:rPr>
        <w:t xml:space="preserve">Oikeusministeriö </w:t>
      </w:r>
      <w:r w:rsidR="00F63D49">
        <w:rPr>
          <w:sz w:val="22"/>
          <w:szCs w:val="22"/>
        </w:rPr>
        <w:t xml:space="preserve">katsoo, että maaoikeuksien toiminta voi jatkua nykyisellään selvityksen ajan. Näin ollen ei ole tarpeen </w:t>
      </w:r>
      <w:r>
        <w:rPr>
          <w:sz w:val="22"/>
          <w:szCs w:val="22"/>
        </w:rPr>
        <w:t xml:space="preserve">ryhtyä vähentämään maaoikeusinsinöörien määrää taikka tarkistamaan maaoikeuksien tuomiopiirejä tai insinöörien yhteistoiminta-alueita </w:t>
      </w:r>
      <w:r w:rsidR="00F63D49">
        <w:rPr>
          <w:sz w:val="22"/>
          <w:szCs w:val="22"/>
        </w:rPr>
        <w:t xml:space="preserve">tilapäisesti. </w:t>
      </w:r>
    </w:p>
    <w:p w14:paraId="6AD028A7" w14:textId="77777777" w:rsidR="00F63D49" w:rsidRDefault="00F63D49" w:rsidP="00014F4B">
      <w:pPr>
        <w:ind w:left="1298"/>
        <w:rPr>
          <w:sz w:val="22"/>
          <w:szCs w:val="22"/>
        </w:rPr>
      </w:pPr>
    </w:p>
    <w:p w14:paraId="57B17864" w14:textId="2D75B9BC" w:rsidR="00893ED5" w:rsidRPr="00FF6C29" w:rsidRDefault="00014F4B" w:rsidP="00014F4B">
      <w:pPr>
        <w:ind w:left="1298"/>
        <w:rPr>
          <w:sz w:val="22"/>
          <w:szCs w:val="22"/>
        </w:rPr>
      </w:pPr>
      <w:r w:rsidRPr="00FF6C29">
        <w:rPr>
          <w:sz w:val="22"/>
          <w:szCs w:val="22"/>
        </w:rPr>
        <w:t xml:space="preserve">Ministeriö pyytää sidosryhmiä </w:t>
      </w:r>
      <w:r w:rsidR="00DB6191" w:rsidRPr="00FF6C29">
        <w:rPr>
          <w:sz w:val="22"/>
          <w:szCs w:val="22"/>
        </w:rPr>
        <w:t xml:space="preserve">ottamaan kantaa tässä </w:t>
      </w:r>
      <w:r w:rsidRPr="00FF6C29">
        <w:rPr>
          <w:sz w:val="22"/>
          <w:szCs w:val="22"/>
        </w:rPr>
        <w:t>arvio</w:t>
      </w:r>
      <w:r w:rsidR="00DB6191" w:rsidRPr="00FF6C29">
        <w:rPr>
          <w:sz w:val="22"/>
          <w:szCs w:val="22"/>
        </w:rPr>
        <w:t xml:space="preserve">muistiossa esiin tuotuihin maaoikeusasioiden käsittelyä koskeviin näkökulmiin ja kehittämistarpeisiin. </w:t>
      </w:r>
      <w:r w:rsidRPr="00FF6C29">
        <w:rPr>
          <w:sz w:val="22"/>
          <w:szCs w:val="22"/>
        </w:rPr>
        <w:t xml:space="preserve">Ministeriö jatkaa maaoikeuksien asiamäärien seuraamista. Tarpeet jatkovalmistelulle, sen sisältö ja aikataulu päätetään muistiosta saadun lausuntopalautteen jälkeen. </w:t>
      </w:r>
    </w:p>
    <w:p w14:paraId="4E64670C" w14:textId="77777777" w:rsidR="001910A9" w:rsidRPr="00FF6C29" w:rsidRDefault="001910A9" w:rsidP="001910A9">
      <w:pPr>
        <w:jc w:val="right"/>
      </w:pPr>
    </w:p>
    <w:p w14:paraId="7CD22593" w14:textId="77777777" w:rsidR="00B54DD4" w:rsidRPr="00FF6C29" w:rsidRDefault="00B54DD4">
      <w:pPr>
        <w:rPr>
          <w:sz w:val="22"/>
          <w:szCs w:val="22"/>
        </w:rPr>
      </w:pPr>
    </w:p>
    <w:p w14:paraId="24F88006" w14:textId="77777777" w:rsidR="0068688F" w:rsidRPr="00FF6C29" w:rsidRDefault="0068688F" w:rsidP="004138AD">
      <w:pPr>
        <w:rPr>
          <w:sz w:val="22"/>
          <w:szCs w:val="22"/>
        </w:rPr>
      </w:pPr>
      <w:r w:rsidRPr="00FF6C29">
        <w:rPr>
          <w:sz w:val="22"/>
          <w:szCs w:val="22"/>
        </w:rPr>
        <w:t>LIITTEET</w:t>
      </w:r>
      <w:r w:rsidRPr="00FF6C29">
        <w:rPr>
          <w:sz w:val="22"/>
          <w:szCs w:val="22"/>
        </w:rPr>
        <w:tab/>
        <w:t xml:space="preserve">LIITE 1: Saapuneet ja ratkaistut </w:t>
      </w:r>
      <w:r w:rsidR="00C04975" w:rsidRPr="00FF6C29">
        <w:rPr>
          <w:sz w:val="22"/>
          <w:szCs w:val="22"/>
        </w:rPr>
        <w:t>maaoikeusasiat 2012–2017</w:t>
      </w:r>
    </w:p>
    <w:p w14:paraId="6C543753" w14:textId="77777777" w:rsidR="0068688F" w:rsidRPr="0039450C" w:rsidRDefault="0068688F" w:rsidP="007D63A7">
      <w:pPr>
        <w:rPr>
          <w:sz w:val="22"/>
          <w:szCs w:val="22"/>
        </w:rPr>
      </w:pPr>
      <w:r w:rsidRPr="00FF6C29">
        <w:rPr>
          <w:sz w:val="22"/>
          <w:szCs w:val="22"/>
        </w:rPr>
        <w:tab/>
        <w:t xml:space="preserve">LIITE </w:t>
      </w:r>
      <w:r w:rsidR="004138AD" w:rsidRPr="00FF6C29">
        <w:rPr>
          <w:sz w:val="22"/>
          <w:szCs w:val="22"/>
        </w:rPr>
        <w:t>2</w:t>
      </w:r>
      <w:r w:rsidRPr="00FF6C29">
        <w:rPr>
          <w:sz w:val="22"/>
          <w:szCs w:val="22"/>
        </w:rPr>
        <w:t xml:space="preserve">: </w:t>
      </w:r>
      <w:r w:rsidR="004138AD" w:rsidRPr="00FF6C29">
        <w:rPr>
          <w:sz w:val="22"/>
          <w:szCs w:val="22"/>
        </w:rPr>
        <w:t xml:space="preserve">Maaoikeuksien </w:t>
      </w:r>
      <w:proofErr w:type="spellStart"/>
      <w:r w:rsidR="004138AD" w:rsidRPr="00FF6C29">
        <w:rPr>
          <w:sz w:val="22"/>
          <w:szCs w:val="22"/>
        </w:rPr>
        <w:t>tuomiopiirit_kartta</w:t>
      </w:r>
      <w:proofErr w:type="spellEnd"/>
    </w:p>
    <w:sectPr w:rsidR="0068688F" w:rsidRPr="0039450C" w:rsidSect="00ED2B4A">
      <w:headerReference w:type="even" r:id="rId11"/>
      <w:headerReference w:type="default" r:id="rId12"/>
      <w:footerReference w:type="even" r:id="rId13"/>
      <w:footerReference w:type="default" r:id="rId14"/>
      <w:headerReference w:type="first" r:id="rId15"/>
      <w:footerReference w:type="first" r:id="rId16"/>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002D" w14:textId="77777777" w:rsidR="00D35BAF" w:rsidRDefault="00D35BAF">
      <w:r>
        <w:separator/>
      </w:r>
    </w:p>
  </w:endnote>
  <w:endnote w:type="continuationSeparator" w:id="0">
    <w:p w14:paraId="0886F6C6" w14:textId="77777777" w:rsidR="00D35BAF" w:rsidRDefault="00D3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5454" w14:textId="77777777" w:rsidR="00177CB1" w:rsidRDefault="00177CB1">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CEEDE2C" w14:textId="77777777" w:rsidR="00177CB1" w:rsidRDefault="00177CB1">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27D6" w14:textId="77777777" w:rsidR="00177CB1" w:rsidRDefault="00177CB1">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177CB1" w:rsidRPr="0048319D" w14:paraId="711A8405" w14:textId="77777777">
      <w:trPr>
        <w:cantSplit/>
        <w:trHeight w:val="360"/>
      </w:trPr>
      <w:tc>
        <w:tcPr>
          <w:tcW w:w="5130" w:type="dxa"/>
          <w:gridSpan w:val="3"/>
          <w:vAlign w:val="bottom"/>
        </w:tcPr>
        <w:p w14:paraId="00891D1B" w14:textId="77777777" w:rsidR="00177CB1" w:rsidRPr="0048319D" w:rsidRDefault="00177CB1">
          <w:pPr>
            <w:pStyle w:val="akptiedostopolku"/>
          </w:pPr>
        </w:p>
      </w:tc>
      <w:tc>
        <w:tcPr>
          <w:tcW w:w="76" w:type="dxa"/>
        </w:tcPr>
        <w:p w14:paraId="272E388D" w14:textId="77777777" w:rsidR="00177CB1" w:rsidRPr="0048319D" w:rsidRDefault="00177CB1">
          <w:pPr>
            <w:pStyle w:val="Alatunniste"/>
            <w:rPr>
              <w:sz w:val="12"/>
            </w:rPr>
          </w:pPr>
        </w:p>
      </w:tc>
      <w:tc>
        <w:tcPr>
          <w:tcW w:w="748" w:type="dxa"/>
        </w:tcPr>
        <w:p w14:paraId="333C455A" w14:textId="77777777" w:rsidR="00177CB1" w:rsidRPr="0048319D" w:rsidRDefault="00177CB1">
          <w:pPr>
            <w:pStyle w:val="Alatunniste"/>
            <w:rPr>
              <w:sz w:val="12"/>
            </w:rPr>
          </w:pPr>
        </w:p>
      </w:tc>
      <w:tc>
        <w:tcPr>
          <w:tcW w:w="1701" w:type="dxa"/>
        </w:tcPr>
        <w:p w14:paraId="2A3D61A7" w14:textId="77777777" w:rsidR="00177CB1" w:rsidRPr="0048319D" w:rsidRDefault="00177CB1">
          <w:pPr>
            <w:pStyle w:val="Alatunniste"/>
            <w:rPr>
              <w:sz w:val="12"/>
            </w:rPr>
          </w:pPr>
        </w:p>
      </w:tc>
      <w:tc>
        <w:tcPr>
          <w:tcW w:w="2268" w:type="dxa"/>
        </w:tcPr>
        <w:p w14:paraId="0FD81E99" w14:textId="77777777" w:rsidR="00177CB1" w:rsidRPr="0048319D" w:rsidRDefault="00177CB1">
          <w:pPr>
            <w:pStyle w:val="Alatunniste"/>
            <w:rPr>
              <w:sz w:val="12"/>
            </w:rPr>
          </w:pPr>
        </w:p>
      </w:tc>
    </w:tr>
    <w:tr w:rsidR="00177CB1" w:rsidRPr="0048319D" w14:paraId="6E796E23" w14:textId="77777777">
      <w:trPr>
        <w:cantSplit/>
      </w:trPr>
      <w:tc>
        <w:tcPr>
          <w:tcW w:w="2835" w:type="dxa"/>
        </w:tcPr>
        <w:p w14:paraId="2147B15C" w14:textId="77777777" w:rsidR="00177CB1" w:rsidRPr="0048319D" w:rsidRDefault="00177CB1">
          <w:pPr>
            <w:pStyle w:val="Alatunniste"/>
            <w:rPr>
              <w:sz w:val="12"/>
            </w:rPr>
          </w:pPr>
        </w:p>
      </w:tc>
      <w:tc>
        <w:tcPr>
          <w:tcW w:w="1701" w:type="dxa"/>
        </w:tcPr>
        <w:p w14:paraId="566BEA1E" w14:textId="77777777" w:rsidR="00177CB1" w:rsidRPr="0048319D" w:rsidRDefault="00177CB1">
          <w:pPr>
            <w:pStyle w:val="Alatunniste"/>
            <w:rPr>
              <w:sz w:val="12"/>
            </w:rPr>
          </w:pPr>
        </w:p>
      </w:tc>
      <w:tc>
        <w:tcPr>
          <w:tcW w:w="1418" w:type="dxa"/>
          <w:gridSpan w:val="3"/>
        </w:tcPr>
        <w:p w14:paraId="0501569F" w14:textId="77777777" w:rsidR="00177CB1" w:rsidRPr="0048319D" w:rsidRDefault="00177CB1">
          <w:pPr>
            <w:pStyle w:val="Alatunniste"/>
            <w:rPr>
              <w:sz w:val="12"/>
            </w:rPr>
          </w:pPr>
        </w:p>
      </w:tc>
      <w:tc>
        <w:tcPr>
          <w:tcW w:w="1701" w:type="dxa"/>
        </w:tcPr>
        <w:p w14:paraId="1F64BD72" w14:textId="77777777" w:rsidR="00177CB1" w:rsidRPr="0048319D" w:rsidRDefault="00177CB1">
          <w:pPr>
            <w:pStyle w:val="Alatunniste"/>
            <w:rPr>
              <w:sz w:val="12"/>
            </w:rPr>
          </w:pPr>
        </w:p>
      </w:tc>
      <w:tc>
        <w:tcPr>
          <w:tcW w:w="2268" w:type="dxa"/>
        </w:tcPr>
        <w:p w14:paraId="76C49447" w14:textId="77777777" w:rsidR="00177CB1" w:rsidRPr="0048319D" w:rsidRDefault="00177CB1">
          <w:pPr>
            <w:pStyle w:val="Alatunniste"/>
            <w:rPr>
              <w:sz w:val="12"/>
            </w:rPr>
          </w:pPr>
        </w:p>
      </w:tc>
    </w:tr>
    <w:tr w:rsidR="00177CB1" w:rsidRPr="0048319D" w14:paraId="1157E6F6" w14:textId="77777777">
      <w:trPr>
        <w:cantSplit/>
      </w:trPr>
      <w:tc>
        <w:tcPr>
          <w:tcW w:w="2835" w:type="dxa"/>
        </w:tcPr>
        <w:p w14:paraId="438328C7" w14:textId="77777777" w:rsidR="00177CB1" w:rsidRPr="0048319D" w:rsidRDefault="00177CB1">
          <w:pPr>
            <w:pStyle w:val="Alatunniste"/>
            <w:rPr>
              <w:sz w:val="18"/>
            </w:rPr>
          </w:pPr>
        </w:p>
      </w:tc>
      <w:tc>
        <w:tcPr>
          <w:tcW w:w="1701" w:type="dxa"/>
        </w:tcPr>
        <w:p w14:paraId="19C04212" w14:textId="77777777" w:rsidR="00177CB1" w:rsidRPr="0048319D" w:rsidRDefault="00177CB1">
          <w:pPr>
            <w:pStyle w:val="Alatunniste"/>
            <w:rPr>
              <w:sz w:val="18"/>
            </w:rPr>
          </w:pPr>
        </w:p>
      </w:tc>
      <w:tc>
        <w:tcPr>
          <w:tcW w:w="1418" w:type="dxa"/>
          <w:gridSpan w:val="3"/>
        </w:tcPr>
        <w:p w14:paraId="7FB375F7" w14:textId="77777777" w:rsidR="00177CB1" w:rsidRPr="0048319D" w:rsidRDefault="00177CB1">
          <w:pPr>
            <w:pStyle w:val="Alatunniste"/>
            <w:rPr>
              <w:sz w:val="18"/>
            </w:rPr>
          </w:pPr>
        </w:p>
      </w:tc>
      <w:tc>
        <w:tcPr>
          <w:tcW w:w="1701" w:type="dxa"/>
        </w:tcPr>
        <w:p w14:paraId="22C1853C" w14:textId="77777777" w:rsidR="00177CB1" w:rsidRPr="0048319D" w:rsidRDefault="00177CB1">
          <w:pPr>
            <w:pStyle w:val="Alatunniste"/>
            <w:rPr>
              <w:sz w:val="18"/>
            </w:rPr>
          </w:pPr>
        </w:p>
      </w:tc>
      <w:tc>
        <w:tcPr>
          <w:tcW w:w="2268" w:type="dxa"/>
        </w:tcPr>
        <w:p w14:paraId="7521160D" w14:textId="77777777" w:rsidR="00177CB1" w:rsidRPr="0048319D" w:rsidRDefault="00177CB1">
          <w:pPr>
            <w:pStyle w:val="Alatunniste"/>
            <w:rPr>
              <w:sz w:val="18"/>
            </w:rPr>
          </w:pPr>
        </w:p>
      </w:tc>
    </w:tr>
  </w:tbl>
  <w:p w14:paraId="7444371E" w14:textId="77777777" w:rsidR="00177CB1" w:rsidRDefault="00177CB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177CB1" w:rsidRPr="0048319D" w14:paraId="43F8C81F" w14:textId="77777777" w:rsidTr="00ED2B4A">
      <w:trPr>
        <w:cantSplit/>
        <w:trHeight w:val="360"/>
      </w:trPr>
      <w:tc>
        <w:tcPr>
          <w:tcW w:w="5130" w:type="dxa"/>
          <w:gridSpan w:val="3"/>
          <w:vAlign w:val="bottom"/>
        </w:tcPr>
        <w:p w14:paraId="1337F310" w14:textId="77777777" w:rsidR="00177CB1" w:rsidRPr="009B04E6" w:rsidRDefault="00177CB1">
          <w:pPr>
            <w:pStyle w:val="akptiedostopolku"/>
          </w:pPr>
        </w:p>
        <w:p w14:paraId="64747305" w14:textId="77777777" w:rsidR="00177CB1" w:rsidRPr="009B04E6" w:rsidRDefault="00177CB1">
          <w:pPr>
            <w:pStyle w:val="akptiedostopolku"/>
          </w:pPr>
        </w:p>
      </w:tc>
      <w:tc>
        <w:tcPr>
          <w:tcW w:w="76" w:type="dxa"/>
        </w:tcPr>
        <w:p w14:paraId="626D6839" w14:textId="77777777" w:rsidR="00177CB1" w:rsidRPr="009B04E6" w:rsidRDefault="00177CB1">
          <w:pPr>
            <w:pStyle w:val="Alatunniste"/>
            <w:rPr>
              <w:sz w:val="12"/>
              <w:lang w:val="sv-SE"/>
            </w:rPr>
          </w:pPr>
        </w:p>
      </w:tc>
      <w:tc>
        <w:tcPr>
          <w:tcW w:w="890" w:type="dxa"/>
        </w:tcPr>
        <w:p w14:paraId="1A4431A5" w14:textId="77777777" w:rsidR="00177CB1" w:rsidRPr="009B04E6" w:rsidRDefault="00177CB1">
          <w:pPr>
            <w:pStyle w:val="Alatunniste"/>
            <w:rPr>
              <w:sz w:val="12"/>
              <w:lang w:val="sv-SE"/>
            </w:rPr>
          </w:pPr>
        </w:p>
      </w:tc>
      <w:tc>
        <w:tcPr>
          <w:tcW w:w="1701" w:type="dxa"/>
        </w:tcPr>
        <w:p w14:paraId="45313FBD" w14:textId="77777777" w:rsidR="00177CB1" w:rsidRPr="009B04E6" w:rsidRDefault="00177CB1">
          <w:pPr>
            <w:pStyle w:val="Alatunniste"/>
            <w:rPr>
              <w:sz w:val="12"/>
              <w:lang w:val="sv-SE"/>
            </w:rPr>
          </w:pPr>
        </w:p>
      </w:tc>
      <w:tc>
        <w:tcPr>
          <w:tcW w:w="2126" w:type="dxa"/>
        </w:tcPr>
        <w:p w14:paraId="0D67035D" w14:textId="77777777" w:rsidR="00177CB1" w:rsidRPr="009B04E6" w:rsidRDefault="00177CB1">
          <w:pPr>
            <w:pStyle w:val="Alatunniste"/>
            <w:rPr>
              <w:sz w:val="12"/>
              <w:lang w:val="sv-SE"/>
            </w:rPr>
          </w:pPr>
        </w:p>
      </w:tc>
    </w:tr>
    <w:tr w:rsidR="00177CB1" w:rsidRPr="009B04E6" w14:paraId="0141855E" w14:textId="77777777" w:rsidTr="00ED2B4A">
      <w:trPr>
        <w:cantSplit/>
      </w:trPr>
      <w:tc>
        <w:tcPr>
          <w:tcW w:w="2127" w:type="dxa"/>
          <w:shd w:val="clear" w:color="auto" w:fill="auto"/>
          <w:tcMar>
            <w:left w:w="57" w:type="dxa"/>
            <w:right w:w="57" w:type="dxa"/>
          </w:tcMar>
        </w:tcPr>
        <w:p w14:paraId="3A223616" w14:textId="77777777" w:rsidR="00177CB1" w:rsidRPr="00A02446" w:rsidRDefault="00177CB1">
          <w:pPr>
            <w:pStyle w:val="Alatunniste"/>
            <w:rPr>
              <w:b/>
              <w:sz w:val="18"/>
              <w:szCs w:val="18"/>
              <w:lang w:val="sv-SE"/>
            </w:rPr>
          </w:pPr>
        </w:p>
      </w:tc>
      <w:tc>
        <w:tcPr>
          <w:tcW w:w="2409" w:type="dxa"/>
          <w:shd w:val="clear" w:color="auto" w:fill="auto"/>
          <w:tcMar>
            <w:left w:w="57" w:type="dxa"/>
            <w:right w:w="57" w:type="dxa"/>
          </w:tcMar>
        </w:tcPr>
        <w:p w14:paraId="4D81C840" w14:textId="77777777" w:rsidR="00177CB1" w:rsidRPr="00A02446" w:rsidRDefault="00177CB1">
          <w:pPr>
            <w:pStyle w:val="Alatunniste"/>
            <w:rPr>
              <w:b/>
              <w:sz w:val="18"/>
              <w:szCs w:val="18"/>
              <w:lang w:val="sv-SE"/>
            </w:rPr>
          </w:pPr>
        </w:p>
      </w:tc>
      <w:tc>
        <w:tcPr>
          <w:tcW w:w="1560" w:type="dxa"/>
          <w:gridSpan w:val="3"/>
          <w:shd w:val="clear" w:color="auto" w:fill="auto"/>
          <w:tcMar>
            <w:left w:w="57" w:type="dxa"/>
            <w:right w:w="57" w:type="dxa"/>
          </w:tcMar>
        </w:tcPr>
        <w:p w14:paraId="06EC2C6D" w14:textId="77777777" w:rsidR="00177CB1" w:rsidRPr="00A02446" w:rsidRDefault="00177CB1">
          <w:pPr>
            <w:pStyle w:val="Alatunniste"/>
            <w:rPr>
              <w:b/>
              <w:sz w:val="18"/>
              <w:szCs w:val="18"/>
              <w:lang w:val="sv-SE"/>
            </w:rPr>
          </w:pPr>
        </w:p>
      </w:tc>
      <w:tc>
        <w:tcPr>
          <w:tcW w:w="1701" w:type="dxa"/>
          <w:shd w:val="clear" w:color="auto" w:fill="auto"/>
          <w:tcMar>
            <w:left w:w="57" w:type="dxa"/>
            <w:right w:w="57" w:type="dxa"/>
          </w:tcMar>
        </w:tcPr>
        <w:p w14:paraId="2D70F7AA" w14:textId="77777777" w:rsidR="00177CB1" w:rsidRPr="00A02446" w:rsidRDefault="00177CB1">
          <w:pPr>
            <w:pStyle w:val="Alatunniste"/>
            <w:rPr>
              <w:b/>
              <w:sz w:val="18"/>
              <w:szCs w:val="18"/>
              <w:lang w:val="sv-SE"/>
            </w:rPr>
          </w:pPr>
        </w:p>
      </w:tc>
      <w:tc>
        <w:tcPr>
          <w:tcW w:w="2126" w:type="dxa"/>
          <w:shd w:val="clear" w:color="auto" w:fill="auto"/>
          <w:tcMar>
            <w:left w:w="57" w:type="dxa"/>
            <w:right w:w="57" w:type="dxa"/>
          </w:tcMar>
        </w:tcPr>
        <w:p w14:paraId="61D9F2B9" w14:textId="77777777" w:rsidR="00177CB1" w:rsidRPr="00A02446" w:rsidRDefault="00177CB1">
          <w:pPr>
            <w:pStyle w:val="Alatunniste"/>
            <w:rPr>
              <w:b/>
              <w:sz w:val="18"/>
              <w:szCs w:val="18"/>
              <w:lang w:val="sv-SE"/>
            </w:rPr>
          </w:pPr>
        </w:p>
      </w:tc>
    </w:tr>
    <w:tr w:rsidR="00177CB1" w:rsidRPr="009B04E6" w14:paraId="5EA93E95" w14:textId="77777777" w:rsidTr="00ED2B4A">
      <w:trPr>
        <w:cantSplit/>
      </w:trPr>
      <w:tc>
        <w:tcPr>
          <w:tcW w:w="2127" w:type="dxa"/>
          <w:shd w:val="clear" w:color="auto" w:fill="auto"/>
          <w:tcMar>
            <w:left w:w="57" w:type="dxa"/>
            <w:right w:w="57" w:type="dxa"/>
          </w:tcMar>
        </w:tcPr>
        <w:p w14:paraId="49A618AD" w14:textId="77777777" w:rsidR="00177CB1" w:rsidRPr="00A02446" w:rsidRDefault="00177CB1">
          <w:pPr>
            <w:pStyle w:val="Alatunniste"/>
            <w:rPr>
              <w:sz w:val="18"/>
              <w:szCs w:val="18"/>
              <w:lang w:val="sv-SE"/>
            </w:rPr>
          </w:pPr>
        </w:p>
      </w:tc>
      <w:tc>
        <w:tcPr>
          <w:tcW w:w="2409" w:type="dxa"/>
          <w:shd w:val="clear" w:color="auto" w:fill="auto"/>
          <w:tcMar>
            <w:left w:w="57" w:type="dxa"/>
            <w:right w:w="57" w:type="dxa"/>
          </w:tcMar>
        </w:tcPr>
        <w:p w14:paraId="040D812A" w14:textId="77777777" w:rsidR="00177CB1" w:rsidRPr="00A02446" w:rsidRDefault="00177CB1">
          <w:pPr>
            <w:pStyle w:val="Alatunniste"/>
            <w:rPr>
              <w:sz w:val="18"/>
              <w:szCs w:val="18"/>
              <w:lang w:val="sv-SE"/>
            </w:rPr>
          </w:pPr>
        </w:p>
      </w:tc>
      <w:tc>
        <w:tcPr>
          <w:tcW w:w="1560" w:type="dxa"/>
          <w:gridSpan w:val="3"/>
          <w:shd w:val="clear" w:color="auto" w:fill="auto"/>
          <w:tcMar>
            <w:left w:w="57" w:type="dxa"/>
            <w:right w:w="57" w:type="dxa"/>
          </w:tcMar>
        </w:tcPr>
        <w:p w14:paraId="1520DECF" w14:textId="77777777" w:rsidR="00177CB1" w:rsidRPr="00A02446" w:rsidRDefault="00177CB1">
          <w:pPr>
            <w:pStyle w:val="Alatunniste"/>
            <w:rPr>
              <w:sz w:val="18"/>
              <w:szCs w:val="18"/>
              <w:lang w:val="sv-SE"/>
            </w:rPr>
          </w:pPr>
        </w:p>
      </w:tc>
      <w:tc>
        <w:tcPr>
          <w:tcW w:w="1701" w:type="dxa"/>
          <w:shd w:val="clear" w:color="auto" w:fill="auto"/>
          <w:tcMar>
            <w:left w:w="57" w:type="dxa"/>
            <w:right w:w="57" w:type="dxa"/>
          </w:tcMar>
        </w:tcPr>
        <w:p w14:paraId="291067AB" w14:textId="77777777" w:rsidR="00177CB1" w:rsidRPr="00A02446" w:rsidRDefault="00177CB1">
          <w:pPr>
            <w:pStyle w:val="Alatunniste"/>
            <w:rPr>
              <w:sz w:val="18"/>
              <w:szCs w:val="18"/>
              <w:lang w:val="sv-SE"/>
            </w:rPr>
          </w:pPr>
        </w:p>
      </w:tc>
      <w:tc>
        <w:tcPr>
          <w:tcW w:w="2126" w:type="dxa"/>
          <w:shd w:val="clear" w:color="auto" w:fill="auto"/>
          <w:tcMar>
            <w:left w:w="57" w:type="dxa"/>
            <w:right w:w="57" w:type="dxa"/>
          </w:tcMar>
        </w:tcPr>
        <w:p w14:paraId="7565D4FF" w14:textId="77777777" w:rsidR="00177CB1" w:rsidRPr="00A02446" w:rsidRDefault="00177CB1">
          <w:pPr>
            <w:pStyle w:val="Alatunniste"/>
            <w:rPr>
              <w:sz w:val="18"/>
              <w:szCs w:val="18"/>
              <w:lang w:val="sv-SE"/>
            </w:rPr>
          </w:pPr>
        </w:p>
      </w:tc>
    </w:tr>
    <w:tr w:rsidR="00177CB1" w:rsidRPr="009B04E6" w14:paraId="224F41E0" w14:textId="77777777" w:rsidTr="00ED2B4A">
      <w:trPr>
        <w:cantSplit/>
      </w:trPr>
      <w:tc>
        <w:tcPr>
          <w:tcW w:w="2127" w:type="dxa"/>
          <w:shd w:val="clear" w:color="auto" w:fill="auto"/>
          <w:tcMar>
            <w:left w:w="57" w:type="dxa"/>
            <w:right w:w="57" w:type="dxa"/>
          </w:tcMar>
        </w:tcPr>
        <w:p w14:paraId="1DD2D563" w14:textId="77777777" w:rsidR="00177CB1" w:rsidRPr="00A02446" w:rsidRDefault="00177CB1">
          <w:pPr>
            <w:pStyle w:val="Alatunniste"/>
            <w:rPr>
              <w:sz w:val="18"/>
              <w:szCs w:val="18"/>
              <w:lang w:val="sv-SE"/>
            </w:rPr>
          </w:pPr>
        </w:p>
      </w:tc>
      <w:tc>
        <w:tcPr>
          <w:tcW w:w="2409" w:type="dxa"/>
          <w:shd w:val="clear" w:color="auto" w:fill="auto"/>
          <w:tcMar>
            <w:left w:w="57" w:type="dxa"/>
            <w:right w:w="57" w:type="dxa"/>
          </w:tcMar>
        </w:tcPr>
        <w:p w14:paraId="3C510916" w14:textId="77777777" w:rsidR="00177CB1" w:rsidRPr="00A02446" w:rsidRDefault="00177CB1">
          <w:pPr>
            <w:pStyle w:val="Alatunniste"/>
            <w:rPr>
              <w:sz w:val="18"/>
              <w:szCs w:val="18"/>
              <w:lang w:val="sv-SE"/>
            </w:rPr>
          </w:pPr>
        </w:p>
      </w:tc>
      <w:tc>
        <w:tcPr>
          <w:tcW w:w="1560" w:type="dxa"/>
          <w:gridSpan w:val="3"/>
          <w:shd w:val="clear" w:color="auto" w:fill="auto"/>
          <w:tcMar>
            <w:left w:w="57" w:type="dxa"/>
            <w:right w:w="57" w:type="dxa"/>
          </w:tcMar>
        </w:tcPr>
        <w:p w14:paraId="0BD66DD5" w14:textId="77777777" w:rsidR="00177CB1" w:rsidRPr="00A02446" w:rsidRDefault="00177CB1">
          <w:pPr>
            <w:pStyle w:val="Alatunniste"/>
            <w:rPr>
              <w:sz w:val="18"/>
              <w:szCs w:val="18"/>
              <w:lang w:val="sv-SE"/>
            </w:rPr>
          </w:pPr>
        </w:p>
      </w:tc>
      <w:tc>
        <w:tcPr>
          <w:tcW w:w="1701" w:type="dxa"/>
          <w:shd w:val="clear" w:color="auto" w:fill="auto"/>
          <w:tcMar>
            <w:left w:w="57" w:type="dxa"/>
            <w:right w:w="57" w:type="dxa"/>
          </w:tcMar>
        </w:tcPr>
        <w:p w14:paraId="3C4039E1" w14:textId="77777777" w:rsidR="00177CB1" w:rsidRPr="00A02446" w:rsidRDefault="00177CB1">
          <w:pPr>
            <w:pStyle w:val="Alatunniste"/>
            <w:rPr>
              <w:sz w:val="18"/>
              <w:szCs w:val="18"/>
              <w:lang w:val="sv-SE"/>
            </w:rPr>
          </w:pPr>
        </w:p>
      </w:tc>
      <w:tc>
        <w:tcPr>
          <w:tcW w:w="2126" w:type="dxa"/>
          <w:shd w:val="clear" w:color="auto" w:fill="auto"/>
          <w:tcMar>
            <w:left w:w="57" w:type="dxa"/>
            <w:right w:w="57" w:type="dxa"/>
          </w:tcMar>
        </w:tcPr>
        <w:p w14:paraId="06F93ABE" w14:textId="77777777" w:rsidR="00177CB1" w:rsidRPr="00A02446" w:rsidRDefault="00177CB1">
          <w:pPr>
            <w:pStyle w:val="Alatunniste"/>
            <w:rPr>
              <w:sz w:val="18"/>
              <w:szCs w:val="18"/>
              <w:lang w:val="sv-SE"/>
            </w:rPr>
          </w:pPr>
        </w:p>
      </w:tc>
    </w:tr>
    <w:tr w:rsidR="00177CB1" w:rsidRPr="009B04E6" w14:paraId="037E00B4" w14:textId="77777777" w:rsidTr="00285B02">
      <w:trPr>
        <w:cantSplit/>
      </w:trPr>
      <w:tc>
        <w:tcPr>
          <w:tcW w:w="2127" w:type="dxa"/>
        </w:tcPr>
        <w:p w14:paraId="559EE05A" w14:textId="77777777" w:rsidR="00177CB1" w:rsidRPr="009B04E6" w:rsidRDefault="00177CB1">
          <w:pPr>
            <w:pStyle w:val="Alatunniste"/>
            <w:rPr>
              <w:lang w:val="sv-SE"/>
            </w:rPr>
          </w:pPr>
        </w:p>
      </w:tc>
      <w:tc>
        <w:tcPr>
          <w:tcW w:w="2409" w:type="dxa"/>
        </w:tcPr>
        <w:p w14:paraId="4B11BC74" w14:textId="77777777" w:rsidR="00177CB1" w:rsidRPr="009B04E6" w:rsidRDefault="00177CB1">
          <w:pPr>
            <w:pStyle w:val="Alatunniste"/>
            <w:rPr>
              <w:lang w:val="sv-SE"/>
            </w:rPr>
          </w:pPr>
        </w:p>
      </w:tc>
      <w:tc>
        <w:tcPr>
          <w:tcW w:w="1560" w:type="dxa"/>
          <w:gridSpan w:val="3"/>
          <w:tcBorders>
            <w:left w:val="nil"/>
          </w:tcBorders>
        </w:tcPr>
        <w:p w14:paraId="02778D3B" w14:textId="77777777" w:rsidR="00177CB1" w:rsidRPr="009B04E6" w:rsidRDefault="00177CB1">
          <w:pPr>
            <w:pStyle w:val="Alatunniste"/>
            <w:rPr>
              <w:lang w:val="sv-SE"/>
            </w:rPr>
          </w:pPr>
        </w:p>
      </w:tc>
      <w:tc>
        <w:tcPr>
          <w:tcW w:w="1701" w:type="dxa"/>
        </w:tcPr>
        <w:p w14:paraId="3F71B0CE" w14:textId="77777777" w:rsidR="00177CB1" w:rsidRPr="009B04E6" w:rsidRDefault="00177CB1">
          <w:pPr>
            <w:pStyle w:val="Alatunniste"/>
            <w:rPr>
              <w:lang w:val="sv-SE"/>
            </w:rPr>
          </w:pPr>
        </w:p>
      </w:tc>
      <w:tc>
        <w:tcPr>
          <w:tcW w:w="2126" w:type="dxa"/>
        </w:tcPr>
        <w:p w14:paraId="0798944D" w14:textId="77777777" w:rsidR="00177CB1" w:rsidRPr="009B04E6" w:rsidRDefault="00177CB1">
          <w:pPr>
            <w:pStyle w:val="Alatunniste"/>
            <w:rPr>
              <w:lang w:val="sv-SE"/>
            </w:rPr>
          </w:pPr>
        </w:p>
      </w:tc>
    </w:tr>
    <w:tr w:rsidR="00177CB1" w:rsidRPr="009B04E6" w14:paraId="7A3E1AEE" w14:textId="77777777" w:rsidTr="00B37BF8">
      <w:trPr>
        <w:cantSplit/>
      </w:trPr>
      <w:tc>
        <w:tcPr>
          <w:tcW w:w="2127" w:type="dxa"/>
        </w:tcPr>
        <w:p w14:paraId="13EDABBF" w14:textId="77777777" w:rsidR="00177CB1" w:rsidRPr="009B04E6" w:rsidRDefault="00177CB1">
          <w:pPr>
            <w:pStyle w:val="Alatunniste"/>
            <w:rPr>
              <w:lang w:val="sv-SE"/>
            </w:rPr>
          </w:pPr>
        </w:p>
      </w:tc>
      <w:tc>
        <w:tcPr>
          <w:tcW w:w="2409" w:type="dxa"/>
        </w:tcPr>
        <w:p w14:paraId="1FE27443" w14:textId="77777777" w:rsidR="00177CB1" w:rsidRPr="009B04E6" w:rsidRDefault="00177CB1">
          <w:pPr>
            <w:pStyle w:val="Alatunniste"/>
            <w:rPr>
              <w:lang w:val="sv-SE"/>
            </w:rPr>
          </w:pPr>
        </w:p>
      </w:tc>
      <w:tc>
        <w:tcPr>
          <w:tcW w:w="1560" w:type="dxa"/>
          <w:gridSpan w:val="3"/>
        </w:tcPr>
        <w:p w14:paraId="4D92F8D1" w14:textId="77777777" w:rsidR="00177CB1" w:rsidRPr="009B04E6" w:rsidRDefault="00177CB1">
          <w:pPr>
            <w:pStyle w:val="Alatunniste"/>
            <w:rPr>
              <w:lang w:val="sv-SE"/>
            </w:rPr>
          </w:pPr>
        </w:p>
      </w:tc>
      <w:tc>
        <w:tcPr>
          <w:tcW w:w="1701" w:type="dxa"/>
        </w:tcPr>
        <w:p w14:paraId="1A6058E6" w14:textId="77777777" w:rsidR="00177CB1" w:rsidRPr="009B04E6" w:rsidRDefault="00177CB1">
          <w:pPr>
            <w:pStyle w:val="Alatunniste"/>
            <w:rPr>
              <w:lang w:val="sv-SE"/>
            </w:rPr>
          </w:pPr>
        </w:p>
      </w:tc>
      <w:tc>
        <w:tcPr>
          <w:tcW w:w="2126" w:type="dxa"/>
        </w:tcPr>
        <w:p w14:paraId="7D3F2367" w14:textId="77777777" w:rsidR="00177CB1" w:rsidRPr="009B04E6" w:rsidRDefault="00177CB1">
          <w:pPr>
            <w:pStyle w:val="Alatunniste"/>
            <w:rPr>
              <w:lang w:val="sv-SE"/>
            </w:rPr>
          </w:pPr>
        </w:p>
      </w:tc>
    </w:tr>
  </w:tbl>
  <w:p w14:paraId="3B9C07AF" w14:textId="77777777" w:rsidR="00177CB1" w:rsidRPr="009B04E6" w:rsidRDefault="00177CB1">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39740" w14:textId="77777777" w:rsidR="00D35BAF" w:rsidRDefault="00D35BAF">
      <w:r>
        <w:separator/>
      </w:r>
    </w:p>
  </w:footnote>
  <w:footnote w:type="continuationSeparator" w:id="0">
    <w:p w14:paraId="1D4068C4" w14:textId="77777777" w:rsidR="00D35BAF" w:rsidRDefault="00D35BAF">
      <w:r>
        <w:continuationSeparator/>
      </w:r>
    </w:p>
  </w:footnote>
  <w:footnote w:id="1">
    <w:p w14:paraId="3C86E743" w14:textId="0CAF778E" w:rsidR="006606F6" w:rsidRDefault="006606F6">
      <w:pPr>
        <w:pStyle w:val="Alaviitteenteksti"/>
      </w:pPr>
      <w:r>
        <w:rPr>
          <w:rStyle w:val="Alaviitteenviite"/>
        </w:rPr>
        <w:footnoteRef/>
      </w:r>
      <w:r>
        <w:t xml:space="preserve"> Sama koskee 1.1.2019 aloittavaa uutta Itä-Uudenmaan käräjäoikeutta. Ks. Valtioneuvoston asetus </w:t>
      </w:r>
      <w:hyperlink r:id="rId1" w:history="1">
        <w:r w:rsidRPr="00876BB8">
          <w:rPr>
            <w:rStyle w:val="Hyperlinkki"/>
          </w:rPr>
          <w:t>1022/2017</w:t>
        </w:r>
      </w:hyperlink>
      <w:r>
        <w:t xml:space="preserve">. </w:t>
      </w:r>
    </w:p>
  </w:footnote>
  <w:footnote w:id="2">
    <w:p w14:paraId="1E58921C" w14:textId="7EDD3EE3" w:rsidR="00AB794D" w:rsidRDefault="00AB794D">
      <w:pPr>
        <w:pStyle w:val="Alaviitteenteksti"/>
      </w:pPr>
      <w:r>
        <w:rPr>
          <w:rStyle w:val="Alaviitteenviite"/>
        </w:rPr>
        <w:footnoteRef/>
      </w:r>
      <w:r>
        <w:t xml:space="preserve"> Sama koskee 1.1.2019 aloittavaa uutta Itä-Uudenmaan käräjäoikeutta. Ks. oikeusministeriön asetus </w:t>
      </w:r>
      <w:hyperlink r:id="rId2" w:history="1">
        <w:r w:rsidRPr="00876BB8">
          <w:rPr>
            <w:rStyle w:val="Hyperlinkki"/>
          </w:rPr>
          <w:t>1032/2017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B9D59" w14:textId="77777777" w:rsidR="00AB20A1" w:rsidRDefault="00AB20A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177CB1" w:rsidRPr="0048319D" w14:paraId="578A3D90" w14:textId="77777777">
      <w:trPr>
        <w:cantSplit/>
        <w:trHeight w:hRule="exact" w:val="20"/>
      </w:trPr>
      <w:tc>
        <w:tcPr>
          <w:tcW w:w="5216" w:type="dxa"/>
        </w:tcPr>
        <w:p w14:paraId="2E411655" w14:textId="77777777" w:rsidR="00177CB1" w:rsidRPr="0048319D" w:rsidRDefault="00177CB1" w:rsidP="00483C2E">
          <w:pPr>
            <w:pStyle w:val="akpylatunniste"/>
          </w:pPr>
        </w:p>
      </w:tc>
      <w:tc>
        <w:tcPr>
          <w:tcW w:w="56" w:type="dxa"/>
        </w:tcPr>
        <w:p w14:paraId="12027B78" w14:textId="77777777" w:rsidR="00177CB1" w:rsidRPr="0048319D" w:rsidRDefault="00177CB1" w:rsidP="00483C2E">
          <w:pPr>
            <w:pStyle w:val="akpylatunniste"/>
          </w:pPr>
        </w:p>
      </w:tc>
      <w:tc>
        <w:tcPr>
          <w:tcW w:w="2608" w:type="dxa"/>
        </w:tcPr>
        <w:p w14:paraId="0447741A" w14:textId="77777777" w:rsidR="00177CB1" w:rsidRPr="0048319D" w:rsidRDefault="00177CB1" w:rsidP="00483C2E">
          <w:pPr>
            <w:pStyle w:val="akpylatunniste"/>
          </w:pPr>
        </w:p>
      </w:tc>
      <w:tc>
        <w:tcPr>
          <w:tcW w:w="1805" w:type="dxa"/>
          <w:gridSpan w:val="2"/>
        </w:tcPr>
        <w:p w14:paraId="443DC430" w14:textId="77777777" w:rsidR="00177CB1" w:rsidRPr="0048319D" w:rsidRDefault="00177CB1" w:rsidP="00483C2E">
          <w:pPr>
            <w:pStyle w:val="akpylatunniste"/>
          </w:pPr>
          <w:r w:rsidRPr="0048319D">
            <w:rPr>
              <w:rStyle w:val="akptunnus"/>
            </w:rPr>
            <w:t xml:space="preserve">  </w:t>
          </w:r>
        </w:p>
      </w:tc>
      <w:tc>
        <w:tcPr>
          <w:tcW w:w="663" w:type="dxa"/>
        </w:tcPr>
        <w:p w14:paraId="109C4EDD" w14:textId="77777777" w:rsidR="00177CB1" w:rsidRPr="0048319D" w:rsidRDefault="00177CB1" w:rsidP="00483C2E">
          <w:pPr>
            <w:pStyle w:val="akpylatunniste"/>
          </w:pPr>
        </w:p>
      </w:tc>
    </w:tr>
    <w:tr w:rsidR="00177CB1" w:rsidRPr="0048319D" w14:paraId="6D84C73C" w14:textId="77777777">
      <w:trPr>
        <w:cantSplit/>
        <w:trHeight w:val="280"/>
      </w:trPr>
      <w:tc>
        <w:tcPr>
          <w:tcW w:w="5216" w:type="dxa"/>
          <w:vMerge w:val="restart"/>
          <w:vAlign w:val="center"/>
        </w:tcPr>
        <w:p w14:paraId="6D68AFE0" w14:textId="77777777" w:rsidR="00177CB1" w:rsidRPr="0048319D" w:rsidRDefault="00177CB1" w:rsidP="00483C2E">
          <w:pPr>
            <w:pStyle w:val="akpylatunniste"/>
          </w:pPr>
        </w:p>
      </w:tc>
      <w:tc>
        <w:tcPr>
          <w:tcW w:w="56" w:type="dxa"/>
        </w:tcPr>
        <w:p w14:paraId="64301A29" w14:textId="77777777" w:rsidR="00177CB1" w:rsidRPr="0048319D" w:rsidRDefault="00177CB1" w:rsidP="00483C2E">
          <w:pPr>
            <w:pStyle w:val="akpylatunniste"/>
          </w:pPr>
        </w:p>
      </w:tc>
      <w:tc>
        <w:tcPr>
          <w:tcW w:w="2608" w:type="dxa"/>
        </w:tcPr>
        <w:p w14:paraId="2468856A" w14:textId="77777777" w:rsidR="00177CB1" w:rsidRPr="0048319D" w:rsidRDefault="00177CB1" w:rsidP="00483C2E">
          <w:pPr>
            <w:pStyle w:val="akpylatunniste"/>
          </w:pPr>
        </w:p>
      </w:tc>
      <w:tc>
        <w:tcPr>
          <w:tcW w:w="1304" w:type="dxa"/>
        </w:tcPr>
        <w:p w14:paraId="58D30A46" w14:textId="77777777" w:rsidR="00177CB1" w:rsidRPr="0048319D" w:rsidRDefault="00177CB1" w:rsidP="00483C2E">
          <w:pPr>
            <w:pStyle w:val="akpylatunniste"/>
          </w:pPr>
        </w:p>
      </w:tc>
      <w:tc>
        <w:tcPr>
          <w:tcW w:w="1164" w:type="dxa"/>
          <w:gridSpan w:val="2"/>
        </w:tcPr>
        <w:p w14:paraId="333E064F" w14:textId="55506EAC" w:rsidR="00177CB1" w:rsidRPr="0048319D" w:rsidRDefault="00177CB1"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AB20A1">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AB20A1">
            <w:rPr>
              <w:rStyle w:val="Sivunumero"/>
            </w:rPr>
            <w:t>8</w:t>
          </w:r>
          <w:r w:rsidRPr="0048319D">
            <w:rPr>
              <w:rStyle w:val="Sivunumero"/>
              <w:noProof w:val="0"/>
            </w:rPr>
            <w:fldChar w:fldCharType="end"/>
          </w:r>
          <w:r w:rsidRPr="0048319D">
            <w:rPr>
              <w:rStyle w:val="Sivunumero"/>
              <w:noProof w:val="0"/>
            </w:rPr>
            <w:t>)</w:t>
          </w:r>
        </w:p>
      </w:tc>
    </w:tr>
    <w:tr w:rsidR="00177CB1" w:rsidRPr="0048319D" w14:paraId="68BA4B0E" w14:textId="77777777">
      <w:trPr>
        <w:cantSplit/>
        <w:trHeight w:val="230"/>
      </w:trPr>
      <w:tc>
        <w:tcPr>
          <w:tcW w:w="5216" w:type="dxa"/>
          <w:vMerge/>
        </w:tcPr>
        <w:p w14:paraId="19DC2E07" w14:textId="77777777" w:rsidR="00177CB1" w:rsidRPr="0048319D" w:rsidRDefault="00177CB1" w:rsidP="00483C2E">
          <w:pPr>
            <w:pStyle w:val="akpylatunniste"/>
          </w:pPr>
        </w:p>
      </w:tc>
      <w:tc>
        <w:tcPr>
          <w:tcW w:w="56" w:type="dxa"/>
        </w:tcPr>
        <w:p w14:paraId="2EDE854E" w14:textId="77777777" w:rsidR="00177CB1" w:rsidRPr="0048319D" w:rsidRDefault="00177CB1" w:rsidP="00483C2E">
          <w:pPr>
            <w:pStyle w:val="akpylatunniste"/>
          </w:pPr>
        </w:p>
      </w:tc>
      <w:tc>
        <w:tcPr>
          <w:tcW w:w="2608" w:type="dxa"/>
        </w:tcPr>
        <w:p w14:paraId="29ACD51C" w14:textId="77777777" w:rsidR="00177CB1" w:rsidRPr="0048319D" w:rsidRDefault="00177CB1" w:rsidP="00483C2E">
          <w:pPr>
            <w:pStyle w:val="akpylatunniste"/>
          </w:pPr>
        </w:p>
      </w:tc>
      <w:tc>
        <w:tcPr>
          <w:tcW w:w="1304" w:type="dxa"/>
        </w:tcPr>
        <w:p w14:paraId="6678497E" w14:textId="77777777" w:rsidR="00177CB1" w:rsidRPr="0048319D" w:rsidRDefault="00177CB1" w:rsidP="00483C2E">
          <w:pPr>
            <w:pStyle w:val="akpylatunniste"/>
          </w:pPr>
        </w:p>
      </w:tc>
      <w:tc>
        <w:tcPr>
          <w:tcW w:w="1164" w:type="dxa"/>
          <w:gridSpan w:val="2"/>
        </w:tcPr>
        <w:p w14:paraId="2FA85B10" w14:textId="77777777" w:rsidR="00177CB1" w:rsidRPr="0048319D" w:rsidRDefault="00177CB1" w:rsidP="00483C2E">
          <w:pPr>
            <w:pStyle w:val="akpylatunniste"/>
          </w:pPr>
        </w:p>
      </w:tc>
    </w:tr>
  </w:tbl>
  <w:p w14:paraId="4DDE348C" w14:textId="77777777" w:rsidR="00177CB1" w:rsidRDefault="00177CB1">
    <w:pPr>
      <w:pStyle w:val="Yltunniste"/>
    </w:pPr>
  </w:p>
  <w:p w14:paraId="6092BE3E" w14:textId="77777777" w:rsidR="00177CB1" w:rsidRDefault="00177CB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177CB1" w:rsidRPr="0048319D" w14:paraId="044F9565" w14:textId="77777777" w:rsidTr="006E0973">
      <w:trPr>
        <w:cantSplit/>
        <w:trHeight w:hRule="exact" w:val="57"/>
      </w:trPr>
      <w:tc>
        <w:tcPr>
          <w:tcW w:w="5201" w:type="dxa"/>
        </w:tcPr>
        <w:p w14:paraId="365C4131" w14:textId="77777777" w:rsidR="00177CB1" w:rsidRPr="0008094E" w:rsidRDefault="00177CB1" w:rsidP="00483C2E">
          <w:pPr>
            <w:pStyle w:val="akpylatunniste"/>
          </w:pPr>
        </w:p>
      </w:tc>
      <w:tc>
        <w:tcPr>
          <w:tcW w:w="66" w:type="dxa"/>
          <w:gridSpan w:val="2"/>
        </w:tcPr>
        <w:p w14:paraId="0C3DD756" w14:textId="77777777" w:rsidR="00177CB1" w:rsidRPr="0008094E" w:rsidRDefault="00177CB1" w:rsidP="00483C2E">
          <w:pPr>
            <w:pStyle w:val="akpylatunniste"/>
          </w:pPr>
        </w:p>
      </w:tc>
      <w:tc>
        <w:tcPr>
          <w:tcW w:w="2599" w:type="dxa"/>
          <w:vAlign w:val="bottom"/>
        </w:tcPr>
        <w:p w14:paraId="3B7AAC40" w14:textId="77777777" w:rsidR="00177CB1" w:rsidRPr="0008094E" w:rsidRDefault="00177CB1" w:rsidP="00483C2E">
          <w:pPr>
            <w:pStyle w:val="akpylatunniste"/>
          </w:pPr>
        </w:p>
      </w:tc>
      <w:tc>
        <w:tcPr>
          <w:tcW w:w="1301" w:type="dxa"/>
        </w:tcPr>
        <w:p w14:paraId="6C2EDAF4" w14:textId="77777777" w:rsidR="00177CB1" w:rsidRPr="0008094E" w:rsidRDefault="00177CB1" w:rsidP="00483C2E">
          <w:pPr>
            <w:pStyle w:val="akpylatunniste"/>
          </w:pPr>
        </w:p>
      </w:tc>
      <w:tc>
        <w:tcPr>
          <w:tcW w:w="1196" w:type="dxa"/>
          <w:gridSpan w:val="4"/>
        </w:tcPr>
        <w:p w14:paraId="5C92BC53" w14:textId="77777777" w:rsidR="00177CB1" w:rsidRPr="0008094E" w:rsidRDefault="00177CB1" w:rsidP="00483C2E">
          <w:pPr>
            <w:pStyle w:val="akpylatunniste"/>
          </w:pPr>
        </w:p>
      </w:tc>
    </w:tr>
    <w:tr w:rsidR="00177CB1" w:rsidRPr="0048319D" w14:paraId="41135D05" w14:textId="77777777" w:rsidTr="006E0973">
      <w:trPr>
        <w:cantSplit/>
        <w:trHeight w:hRule="exact" w:val="936"/>
      </w:trPr>
      <w:tc>
        <w:tcPr>
          <w:tcW w:w="5237" w:type="dxa"/>
          <w:gridSpan w:val="2"/>
          <w:vMerge w:val="restart"/>
        </w:tcPr>
        <w:p w14:paraId="7C2303FA" w14:textId="77777777" w:rsidR="00177CB1" w:rsidRPr="00ED2B4A" w:rsidRDefault="00177CB1" w:rsidP="00483C2E">
          <w:pPr>
            <w:pStyle w:val="akpylatunniste"/>
            <w:rPr>
              <w:sz w:val="26"/>
            </w:rPr>
          </w:pPr>
          <w:r>
            <w:rPr>
              <w:lang w:eastAsia="fi-FI"/>
            </w:rPr>
            <w:drawing>
              <wp:inline distT="0" distB="0" distL="0" distR="0" wp14:anchorId="618B4C2F" wp14:editId="37F69C30">
                <wp:extent cx="2301240" cy="525780"/>
                <wp:effectExtent l="0" t="0" r="3810" b="762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25780"/>
                        </a:xfrm>
                        <a:prstGeom prst="rect">
                          <a:avLst/>
                        </a:prstGeom>
                        <a:noFill/>
                        <a:ln>
                          <a:noFill/>
                        </a:ln>
                      </pic:spPr>
                    </pic:pic>
                  </a:graphicData>
                </a:graphic>
              </wp:inline>
            </w:drawing>
          </w:r>
        </w:p>
      </w:tc>
      <w:tc>
        <w:tcPr>
          <w:tcW w:w="30" w:type="dxa"/>
        </w:tcPr>
        <w:p w14:paraId="665C882D" w14:textId="77777777" w:rsidR="00177CB1" w:rsidRPr="00483C2E" w:rsidRDefault="00177CB1" w:rsidP="00483C2E">
          <w:pPr>
            <w:pStyle w:val="akpylatunniste"/>
          </w:pPr>
        </w:p>
      </w:tc>
      <w:tc>
        <w:tcPr>
          <w:tcW w:w="2599" w:type="dxa"/>
          <w:vAlign w:val="bottom"/>
        </w:tcPr>
        <w:p w14:paraId="06E11805" w14:textId="77777777" w:rsidR="00177CB1" w:rsidRPr="00483C2E" w:rsidRDefault="00177CB1" w:rsidP="00483C2E">
          <w:pPr>
            <w:pStyle w:val="akpylatunniste"/>
            <w:rPr>
              <w:rStyle w:val="akpatyyppi"/>
            </w:rPr>
          </w:pPr>
        </w:p>
      </w:tc>
      <w:tc>
        <w:tcPr>
          <w:tcW w:w="1301" w:type="dxa"/>
        </w:tcPr>
        <w:p w14:paraId="046319FD" w14:textId="77777777" w:rsidR="00177CB1" w:rsidRPr="00483C2E" w:rsidRDefault="00177CB1" w:rsidP="00ED2B4A">
          <w:pPr>
            <w:pStyle w:val="akpylatunniste"/>
          </w:pPr>
          <w:r>
            <w:rPr>
              <w:rStyle w:val="akptunniste"/>
            </w:rPr>
            <w:t xml:space="preserve"> </w:t>
          </w:r>
          <w:r>
            <w:rPr>
              <w:rStyle w:val="akptunnus"/>
            </w:rPr>
            <w:t xml:space="preserve"> </w:t>
          </w:r>
        </w:p>
      </w:tc>
      <w:tc>
        <w:tcPr>
          <w:tcW w:w="1196" w:type="dxa"/>
          <w:gridSpan w:val="4"/>
        </w:tcPr>
        <w:p w14:paraId="68E8ABCA" w14:textId="77777777" w:rsidR="00177CB1" w:rsidRPr="00483C2E" w:rsidRDefault="00177CB1" w:rsidP="00483C2E">
          <w:pPr>
            <w:pStyle w:val="akpylatunniste"/>
          </w:pPr>
        </w:p>
      </w:tc>
    </w:tr>
    <w:tr w:rsidR="00177CB1" w:rsidRPr="0048319D" w14:paraId="032FEB4C" w14:textId="77777777" w:rsidTr="006E0973">
      <w:trPr>
        <w:cantSplit/>
        <w:trHeight w:val="369"/>
      </w:trPr>
      <w:tc>
        <w:tcPr>
          <w:tcW w:w="5237" w:type="dxa"/>
          <w:gridSpan w:val="2"/>
          <w:vMerge/>
        </w:tcPr>
        <w:p w14:paraId="1EE44D3A" w14:textId="77777777" w:rsidR="00177CB1" w:rsidRPr="00483C2E" w:rsidRDefault="00177CB1" w:rsidP="00483C2E">
          <w:pPr>
            <w:pStyle w:val="akpylatunniste"/>
          </w:pPr>
        </w:p>
      </w:tc>
      <w:tc>
        <w:tcPr>
          <w:tcW w:w="30" w:type="dxa"/>
        </w:tcPr>
        <w:p w14:paraId="37737DB1" w14:textId="77777777" w:rsidR="00177CB1" w:rsidRPr="00483C2E" w:rsidRDefault="00177CB1" w:rsidP="00483C2E">
          <w:pPr>
            <w:pStyle w:val="akpylatunniste"/>
          </w:pPr>
        </w:p>
      </w:tc>
      <w:tc>
        <w:tcPr>
          <w:tcW w:w="2597" w:type="dxa"/>
          <w:vAlign w:val="bottom"/>
        </w:tcPr>
        <w:p w14:paraId="64A9BE0C" w14:textId="77777777" w:rsidR="00177CB1" w:rsidRPr="00483C2E" w:rsidRDefault="00177CB1" w:rsidP="00ED2B4A">
          <w:pPr>
            <w:pStyle w:val="akpylatunniste"/>
          </w:pPr>
          <w:r>
            <w:rPr>
              <w:rStyle w:val="akpatyyppi"/>
            </w:rPr>
            <w:t>ARVIOMUISTIO</w:t>
          </w:r>
        </w:p>
      </w:tc>
      <w:tc>
        <w:tcPr>
          <w:tcW w:w="1373" w:type="dxa"/>
          <w:vAlign w:val="bottom"/>
        </w:tcPr>
        <w:p w14:paraId="5EECCEE3" w14:textId="779935F2" w:rsidR="00177CB1" w:rsidRPr="00483C2E" w:rsidRDefault="000232C9" w:rsidP="00ED2B4A">
          <w:pPr>
            <w:pStyle w:val="akpylatunniste"/>
          </w:pPr>
          <w:r w:rsidRPr="000232C9">
            <w:t>LUONNOS</w:t>
          </w:r>
        </w:p>
      </w:tc>
      <w:tc>
        <w:tcPr>
          <w:tcW w:w="1196" w:type="dxa"/>
          <w:gridSpan w:val="4"/>
          <w:vAlign w:val="bottom"/>
        </w:tcPr>
        <w:p w14:paraId="3DC9D652" w14:textId="77777777" w:rsidR="00177CB1" w:rsidRPr="00483C2E" w:rsidRDefault="00177CB1" w:rsidP="00483C2E">
          <w:pPr>
            <w:pStyle w:val="akpylatunniste"/>
          </w:pPr>
        </w:p>
      </w:tc>
    </w:tr>
    <w:tr w:rsidR="00177CB1" w:rsidRPr="0048319D" w14:paraId="6173C316" w14:textId="77777777" w:rsidTr="006E0973">
      <w:trPr>
        <w:cantSplit/>
        <w:trHeight w:val="230"/>
      </w:trPr>
      <w:tc>
        <w:tcPr>
          <w:tcW w:w="5237" w:type="dxa"/>
          <w:gridSpan w:val="2"/>
          <w:vAlign w:val="bottom"/>
        </w:tcPr>
        <w:p w14:paraId="60627E7A" w14:textId="77777777" w:rsidR="00177CB1" w:rsidRPr="00483C2E" w:rsidRDefault="00177CB1" w:rsidP="00483C2E">
          <w:pPr>
            <w:pStyle w:val="akpylatunniste"/>
          </w:pPr>
          <w:r>
            <w:t>Oikeushallinto-osasto</w:t>
          </w:r>
        </w:p>
      </w:tc>
      <w:tc>
        <w:tcPr>
          <w:tcW w:w="30" w:type="dxa"/>
          <w:vAlign w:val="bottom"/>
        </w:tcPr>
        <w:p w14:paraId="3D9AED2F" w14:textId="77777777" w:rsidR="00177CB1" w:rsidRPr="00483C2E" w:rsidRDefault="00177CB1" w:rsidP="00483C2E">
          <w:pPr>
            <w:pStyle w:val="akpylatunniste"/>
          </w:pPr>
        </w:p>
      </w:tc>
      <w:tc>
        <w:tcPr>
          <w:tcW w:w="2599" w:type="dxa"/>
          <w:vAlign w:val="bottom"/>
        </w:tcPr>
        <w:p w14:paraId="7B89ECE7" w14:textId="796BE3D0" w:rsidR="00177CB1" w:rsidRPr="00483C2E" w:rsidRDefault="00177CB1" w:rsidP="00483C2E">
          <w:pPr>
            <w:pStyle w:val="akpylatunniste"/>
            <w:rPr>
              <w:rStyle w:val="akppaivays"/>
            </w:rPr>
          </w:pPr>
        </w:p>
      </w:tc>
      <w:tc>
        <w:tcPr>
          <w:tcW w:w="2467" w:type="dxa"/>
          <w:gridSpan w:val="4"/>
          <w:vAlign w:val="bottom"/>
        </w:tcPr>
        <w:p w14:paraId="75524909" w14:textId="77777777" w:rsidR="00177CB1" w:rsidRPr="00483C2E" w:rsidRDefault="00177CB1" w:rsidP="00483C2E">
          <w:pPr>
            <w:pStyle w:val="akpylatunniste"/>
            <w:rPr>
              <w:rStyle w:val="akptunniste"/>
            </w:rPr>
          </w:pPr>
        </w:p>
      </w:tc>
      <w:tc>
        <w:tcPr>
          <w:tcW w:w="30" w:type="dxa"/>
        </w:tcPr>
        <w:p w14:paraId="70C8C67E" w14:textId="77777777" w:rsidR="00177CB1" w:rsidRPr="00483C2E" w:rsidRDefault="00177CB1" w:rsidP="00483C2E">
          <w:pPr>
            <w:pStyle w:val="akpylatunniste"/>
          </w:pPr>
        </w:p>
      </w:tc>
    </w:tr>
    <w:tr w:rsidR="00177CB1" w:rsidRPr="0048319D" w14:paraId="292AF44C" w14:textId="77777777" w:rsidTr="006E0973">
      <w:trPr>
        <w:cantSplit/>
        <w:trHeight w:val="280"/>
      </w:trPr>
      <w:tc>
        <w:tcPr>
          <w:tcW w:w="5237" w:type="dxa"/>
          <w:gridSpan w:val="2"/>
        </w:tcPr>
        <w:p w14:paraId="311011D0" w14:textId="77777777" w:rsidR="00177CB1" w:rsidRDefault="00177CB1" w:rsidP="00ED2B4A">
          <w:pPr>
            <w:pStyle w:val="akpyksikko"/>
          </w:pPr>
          <w:r>
            <w:t>Tuomioistuinyksikkö</w:t>
          </w:r>
        </w:p>
        <w:p w14:paraId="508824D7" w14:textId="77777777" w:rsidR="00177CB1" w:rsidRPr="00483C2E" w:rsidRDefault="00177CB1" w:rsidP="00ED2B4A">
          <w:pPr>
            <w:pStyle w:val="akpyksikko"/>
          </w:pPr>
          <w:r>
            <w:t>Hallitussihteeri Jennimari Huovinen</w:t>
          </w:r>
        </w:p>
      </w:tc>
      <w:tc>
        <w:tcPr>
          <w:tcW w:w="30" w:type="dxa"/>
        </w:tcPr>
        <w:p w14:paraId="11FA2280" w14:textId="77777777" w:rsidR="00177CB1" w:rsidRPr="00483C2E" w:rsidRDefault="00177CB1" w:rsidP="00483C2E">
          <w:pPr>
            <w:pStyle w:val="akpylatunniste"/>
          </w:pPr>
        </w:p>
      </w:tc>
      <w:tc>
        <w:tcPr>
          <w:tcW w:w="2599" w:type="dxa"/>
        </w:tcPr>
        <w:p w14:paraId="440A4C89" w14:textId="59C69557" w:rsidR="00177CB1" w:rsidRPr="00483C2E" w:rsidRDefault="00AB20A1" w:rsidP="000232C9">
          <w:pPr>
            <w:pStyle w:val="akpylatunniste"/>
          </w:pPr>
          <w:r>
            <w:rPr>
              <w:rStyle w:val="akppaivays"/>
            </w:rPr>
            <w:t>6</w:t>
          </w:r>
          <w:r w:rsidR="000232C9">
            <w:rPr>
              <w:rStyle w:val="akppaivays"/>
            </w:rPr>
            <w:t>.7.</w:t>
          </w:r>
          <w:r w:rsidR="00B04F3C">
            <w:rPr>
              <w:rStyle w:val="akppaivays"/>
            </w:rPr>
            <w:t>2018</w:t>
          </w:r>
        </w:p>
      </w:tc>
      <w:tc>
        <w:tcPr>
          <w:tcW w:w="2442" w:type="dxa"/>
          <w:gridSpan w:val="3"/>
        </w:tcPr>
        <w:p w14:paraId="5A26FAE9" w14:textId="3EAB6B48" w:rsidR="00177CB1" w:rsidRPr="00483C2E" w:rsidRDefault="00AB20A1" w:rsidP="00ED2B4A">
          <w:pPr>
            <w:pStyle w:val="akpylatunniste"/>
          </w:pPr>
          <w:r>
            <w:t>VN/3633/2018</w:t>
          </w:r>
          <w:bookmarkStart w:id="0" w:name="_GoBack"/>
          <w:bookmarkEnd w:id="0"/>
        </w:p>
      </w:tc>
      <w:tc>
        <w:tcPr>
          <w:tcW w:w="55" w:type="dxa"/>
          <w:gridSpan w:val="2"/>
        </w:tcPr>
        <w:p w14:paraId="2474A000" w14:textId="77777777" w:rsidR="00177CB1" w:rsidRPr="00483C2E" w:rsidRDefault="00177CB1" w:rsidP="00483C2E">
          <w:pPr>
            <w:pStyle w:val="akpylatunniste"/>
          </w:pPr>
        </w:p>
      </w:tc>
    </w:tr>
    <w:tr w:rsidR="00177CB1" w:rsidRPr="0048319D" w14:paraId="2C03E317" w14:textId="77777777" w:rsidTr="006E0973">
      <w:trPr>
        <w:cantSplit/>
        <w:trHeight w:hRule="exact" w:val="340"/>
      </w:trPr>
      <w:tc>
        <w:tcPr>
          <w:tcW w:w="5237" w:type="dxa"/>
          <w:gridSpan w:val="2"/>
        </w:tcPr>
        <w:p w14:paraId="6FEAC858" w14:textId="77777777" w:rsidR="00177CB1" w:rsidRPr="00483C2E" w:rsidRDefault="00177CB1" w:rsidP="00ED2B4A">
          <w:pPr>
            <w:pStyle w:val="akpylatunniste"/>
          </w:pPr>
          <w:r>
            <w:rPr>
              <w:rStyle w:val="akplaatija"/>
            </w:rPr>
            <w:t xml:space="preserve"> </w:t>
          </w:r>
        </w:p>
      </w:tc>
      <w:tc>
        <w:tcPr>
          <w:tcW w:w="30" w:type="dxa"/>
        </w:tcPr>
        <w:p w14:paraId="1D14D5C7" w14:textId="77777777" w:rsidR="00177CB1" w:rsidRPr="00483C2E" w:rsidRDefault="00177CB1" w:rsidP="00483C2E">
          <w:pPr>
            <w:pStyle w:val="akpylatunniste"/>
          </w:pPr>
        </w:p>
      </w:tc>
      <w:tc>
        <w:tcPr>
          <w:tcW w:w="2599" w:type="dxa"/>
        </w:tcPr>
        <w:p w14:paraId="4359E5DF" w14:textId="77777777" w:rsidR="00177CB1" w:rsidRPr="00483C2E" w:rsidRDefault="00177CB1" w:rsidP="00483C2E">
          <w:pPr>
            <w:pStyle w:val="akpylatunniste"/>
          </w:pPr>
        </w:p>
      </w:tc>
      <w:tc>
        <w:tcPr>
          <w:tcW w:w="2037" w:type="dxa"/>
          <w:gridSpan w:val="2"/>
        </w:tcPr>
        <w:p w14:paraId="6AD466CA" w14:textId="77777777" w:rsidR="00177CB1" w:rsidRPr="00483C2E" w:rsidRDefault="00177CB1" w:rsidP="00483C2E">
          <w:pPr>
            <w:pStyle w:val="akpylatunniste"/>
          </w:pPr>
          <w:r>
            <w:t xml:space="preserve"> </w:t>
          </w:r>
        </w:p>
      </w:tc>
      <w:tc>
        <w:tcPr>
          <w:tcW w:w="460" w:type="dxa"/>
          <w:gridSpan w:val="3"/>
        </w:tcPr>
        <w:p w14:paraId="717837DC" w14:textId="77777777" w:rsidR="00177CB1" w:rsidRPr="00483C2E" w:rsidRDefault="00177CB1" w:rsidP="00483C2E">
          <w:pPr>
            <w:pStyle w:val="akpylatunniste"/>
          </w:pPr>
        </w:p>
      </w:tc>
    </w:tr>
  </w:tbl>
  <w:p w14:paraId="2C2BC00D" w14:textId="77777777" w:rsidR="00177CB1" w:rsidRDefault="00177CB1">
    <w:pPr>
      <w:pStyle w:val="Yltunniste"/>
    </w:pPr>
  </w:p>
  <w:p w14:paraId="25736C45" w14:textId="77777777" w:rsidR="00177CB1" w:rsidRDefault="00177CB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2314750"/>
    <w:multiLevelType w:val="hybridMultilevel"/>
    <w:tmpl w:val="E5928EC6"/>
    <w:lvl w:ilvl="0" w:tplc="D2B2A3A8">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2" w15:restartNumberingAfterBreak="0">
    <w:nsid w:val="03E76715"/>
    <w:multiLevelType w:val="hybridMultilevel"/>
    <w:tmpl w:val="CA966D3A"/>
    <w:lvl w:ilvl="0" w:tplc="C160032A">
      <w:numFmt w:val="bullet"/>
      <w:lvlText w:val="−"/>
      <w:lvlJc w:val="left"/>
      <w:pPr>
        <w:ind w:left="3892" w:hanging="1296"/>
      </w:pPr>
      <w:rPr>
        <w:rFonts w:ascii="Calibri" w:eastAsia="Times New Roman" w:hAnsi="Calibri" w:cs="Times New Roman" w:hint="default"/>
      </w:rPr>
    </w:lvl>
    <w:lvl w:ilvl="1" w:tplc="040B0003">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3" w15:restartNumberingAfterBreak="0">
    <w:nsid w:val="08BA664D"/>
    <w:multiLevelType w:val="hybridMultilevel"/>
    <w:tmpl w:val="BDCA92BA"/>
    <w:lvl w:ilvl="0" w:tplc="C160032A">
      <w:numFmt w:val="bullet"/>
      <w:lvlText w:val="−"/>
      <w:lvlJc w:val="left"/>
      <w:pPr>
        <w:ind w:left="2594" w:hanging="1296"/>
      </w:pPr>
      <w:rPr>
        <w:rFonts w:ascii="Calibri" w:eastAsia="Times New Roman" w:hAnsi="Calibri" w:cs="Times New Roman" w:hint="default"/>
      </w:rPr>
    </w:lvl>
    <w:lvl w:ilvl="1" w:tplc="040B0003" w:tentative="1">
      <w:start w:val="1"/>
      <w:numFmt w:val="bullet"/>
      <w:lvlText w:val="o"/>
      <w:lvlJc w:val="left"/>
      <w:pPr>
        <w:ind w:left="2378" w:hanging="360"/>
      </w:pPr>
      <w:rPr>
        <w:rFonts w:ascii="Courier New" w:hAnsi="Courier New" w:cs="Courier New" w:hint="default"/>
      </w:rPr>
    </w:lvl>
    <w:lvl w:ilvl="2" w:tplc="040B0005" w:tentative="1">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4"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5" w15:restartNumberingAfterBreak="0">
    <w:nsid w:val="12CE1D28"/>
    <w:multiLevelType w:val="hybridMultilevel"/>
    <w:tmpl w:val="9412F94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37B13B4"/>
    <w:multiLevelType w:val="hybridMultilevel"/>
    <w:tmpl w:val="1E7A9CF6"/>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E722323"/>
    <w:multiLevelType w:val="hybridMultilevel"/>
    <w:tmpl w:val="3DFC3D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9"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0" w15:restartNumberingAfterBreak="0">
    <w:nsid w:val="2E1346CD"/>
    <w:multiLevelType w:val="hybridMultilevel"/>
    <w:tmpl w:val="F9F6DF90"/>
    <w:lvl w:ilvl="0" w:tplc="D2B2A3A8">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1"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2" w15:restartNumberingAfterBreak="0">
    <w:nsid w:val="4552151F"/>
    <w:multiLevelType w:val="hybridMultilevel"/>
    <w:tmpl w:val="E56C1790"/>
    <w:lvl w:ilvl="0" w:tplc="D2B2A3A8">
      <w:start w:val="1"/>
      <w:numFmt w:val="decimal"/>
      <w:lvlText w:val="%1)"/>
      <w:lvlJc w:val="left"/>
      <w:pPr>
        <w:ind w:left="2956" w:hanging="360"/>
      </w:pPr>
      <w:rPr>
        <w:rFonts w:hint="default"/>
      </w:r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13"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4" w15:restartNumberingAfterBreak="0">
    <w:nsid w:val="4BDF79D2"/>
    <w:multiLevelType w:val="hybridMultilevel"/>
    <w:tmpl w:val="7E12E6F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835286C"/>
    <w:multiLevelType w:val="hybridMultilevel"/>
    <w:tmpl w:val="05F01AA8"/>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C0C104A"/>
    <w:multiLevelType w:val="hybridMultilevel"/>
    <w:tmpl w:val="29888FF4"/>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8" w15:restartNumberingAfterBreak="0">
    <w:nsid w:val="5E69231B"/>
    <w:multiLevelType w:val="hybridMultilevel"/>
    <w:tmpl w:val="1DF498A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8205DBE"/>
    <w:multiLevelType w:val="hybridMultilevel"/>
    <w:tmpl w:val="2F984FDC"/>
    <w:lvl w:ilvl="0" w:tplc="040B000F">
      <w:start w:val="1"/>
      <w:numFmt w:val="decimal"/>
      <w:lvlText w:val="%1."/>
      <w:lvlJc w:val="left"/>
      <w:pPr>
        <w:ind w:left="2018" w:hanging="360"/>
      </w:p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20" w15:restartNumberingAfterBreak="0">
    <w:nsid w:val="72FF03D5"/>
    <w:multiLevelType w:val="hybridMultilevel"/>
    <w:tmpl w:val="54DAC4DA"/>
    <w:lvl w:ilvl="0" w:tplc="F156141E">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53A7D6E"/>
    <w:multiLevelType w:val="hybridMultilevel"/>
    <w:tmpl w:val="0DCEFE7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E240F9D"/>
    <w:multiLevelType w:val="hybridMultilevel"/>
    <w:tmpl w:val="6C6A80A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7E334CF3"/>
    <w:multiLevelType w:val="hybridMultilevel"/>
    <w:tmpl w:val="97984500"/>
    <w:lvl w:ilvl="0" w:tplc="040B0001">
      <w:start w:val="1"/>
      <w:numFmt w:val="bullet"/>
      <w:lvlText w:val=""/>
      <w:lvlJc w:val="left"/>
      <w:pPr>
        <w:ind w:left="2018" w:hanging="360"/>
      </w:pPr>
      <w:rPr>
        <w:rFonts w:ascii="Symbol" w:hAnsi="Symbol" w:hint="default"/>
      </w:rPr>
    </w:lvl>
    <w:lvl w:ilvl="1" w:tplc="040B0003" w:tentative="1">
      <w:start w:val="1"/>
      <w:numFmt w:val="bullet"/>
      <w:lvlText w:val="o"/>
      <w:lvlJc w:val="left"/>
      <w:pPr>
        <w:ind w:left="2738" w:hanging="360"/>
      </w:pPr>
      <w:rPr>
        <w:rFonts w:ascii="Courier New" w:hAnsi="Courier New" w:cs="Courier New"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num w:numId="1">
    <w:abstractNumId w:val="9"/>
  </w:num>
  <w:num w:numId="2">
    <w:abstractNumId w:val="8"/>
  </w:num>
  <w:num w:numId="3">
    <w:abstractNumId w:val="17"/>
  </w:num>
  <w:num w:numId="4">
    <w:abstractNumId w:val="4"/>
  </w:num>
  <w:num w:numId="5">
    <w:abstractNumId w:val="13"/>
  </w:num>
  <w:num w:numId="6">
    <w:abstractNumId w:val="1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8"/>
  </w:num>
  <w:num w:numId="23">
    <w:abstractNumId w:val="5"/>
  </w:num>
  <w:num w:numId="24">
    <w:abstractNumId w:val="22"/>
  </w:num>
  <w:num w:numId="25">
    <w:abstractNumId w:val="7"/>
  </w:num>
  <w:num w:numId="26">
    <w:abstractNumId w:val="16"/>
  </w:num>
  <w:num w:numId="27">
    <w:abstractNumId w:val="20"/>
  </w:num>
  <w:num w:numId="28">
    <w:abstractNumId w:val="15"/>
  </w:num>
  <w:num w:numId="29">
    <w:abstractNumId w:val="21"/>
  </w:num>
  <w:num w:numId="30">
    <w:abstractNumId w:val="6"/>
  </w:num>
  <w:num w:numId="31">
    <w:abstractNumId w:val="14"/>
  </w:num>
  <w:num w:numId="32">
    <w:abstractNumId w:val="23"/>
  </w:num>
  <w:num w:numId="33">
    <w:abstractNumId w:val="3"/>
  </w:num>
  <w:num w:numId="34">
    <w:abstractNumId w:val="2"/>
  </w:num>
  <w:num w:numId="35">
    <w:abstractNumId w:val="19"/>
  </w:num>
  <w:num w:numId="36">
    <w:abstractNumId w:val="10"/>
  </w:num>
  <w:num w:numId="37">
    <w:abstractNumId w:val="1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4A"/>
    <w:rsid w:val="0001116B"/>
    <w:rsid w:val="00011F92"/>
    <w:rsid w:val="00014F4B"/>
    <w:rsid w:val="00022F0F"/>
    <w:rsid w:val="000232C9"/>
    <w:rsid w:val="000306FF"/>
    <w:rsid w:val="0003277B"/>
    <w:rsid w:val="000353A8"/>
    <w:rsid w:val="000419C5"/>
    <w:rsid w:val="00042F66"/>
    <w:rsid w:val="00044619"/>
    <w:rsid w:val="00053C8A"/>
    <w:rsid w:val="00053CD9"/>
    <w:rsid w:val="00055695"/>
    <w:rsid w:val="000576AA"/>
    <w:rsid w:val="00057907"/>
    <w:rsid w:val="000618A4"/>
    <w:rsid w:val="00064AD4"/>
    <w:rsid w:val="0006660B"/>
    <w:rsid w:val="00080554"/>
    <w:rsid w:val="0008094E"/>
    <w:rsid w:val="00082FBB"/>
    <w:rsid w:val="00086985"/>
    <w:rsid w:val="00091069"/>
    <w:rsid w:val="000943E3"/>
    <w:rsid w:val="00096B37"/>
    <w:rsid w:val="000A04FB"/>
    <w:rsid w:val="000A2229"/>
    <w:rsid w:val="000A5B61"/>
    <w:rsid w:val="000A63DB"/>
    <w:rsid w:val="000A65C7"/>
    <w:rsid w:val="000B44F9"/>
    <w:rsid w:val="000B53A2"/>
    <w:rsid w:val="000B7460"/>
    <w:rsid w:val="000B7C9A"/>
    <w:rsid w:val="000C0234"/>
    <w:rsid w:val="000C3F2A"/>
    <w:rsid w:val="000C62EC"/>
    <w:rsid w:val="000E1FAB"/>
    <w:rsid w:val="000E4DDC"/>
    <w:rsid w:val="000E6C18"/>
    <w:rsid w:val="000F00AA"/>
    <w:rsid w:val="000F6F05"/>
    <w:rsid w:val="00102B71"/>
    <w:rsid w:val="00103367"/>
    <w:rsid w:val="001060CE"/>
    <w:rsid w:val="00111590"/>
    <w:rsid w:val="00122B37"/>
    <w:rsid w:val="00123F09"/>
    <w:rsid w:val="001328DC"/>
    <w:rsid w:val="00145BEF"/>
    <w:rsid w:val="00145CEF"/>
    <w:rsid w:val="001472D2"/>
    <w:rsid w:val="00151DB3"/>
    <w:rsid w:val="00152AEC"/>
    <w:rsid w:val="00157D9F"/>
    <w:rsid w:val="001627E8"/>
    <w:rsid w:val="00163BD0"/>
    <w:rsid w:val="0017385E"/>
    <w:rsid w:val="00175BB4"/>
    <w:rsid w:val="00177CB1"/>
    <w:rsid w:val="0018063E"/>
    <w:rsid w:val="00181A6F"/>
    <w:rsid w:val="001855C7"/>
    <w:rsid w:val="001910A9"/>
    <w:rsid w:val="00192F8D"/>
    <w:rsid w:val="001931FF"/>
    <w:rsid w:val="00195C17"/>
    <w:rsid w:val="00196E84"/>
    <w:rsid w:val="001A16EF"/>
    <w:rsid w:val="001A4995"/>
    <w:rsid w:val="001B36A4"/>
    <w:rsid w:val="001C1B5E"/>
    <w:rsid w:val="001C1E08"/>
    <w:rsid w:val="001C6BE8"/>
    <w:rsid w:val="001D02B3"/>
    <w:rsid w:val="001D18F1"/>
    <w:rsid w:val="001D6795"/>
    <w:rsid w:val="001D679B"/>
    <w:rsid w:val="001E798D"/>
    <w:rsid w:val="001F3280"/>
    <w:rsid w:val="002050D6"/>
    <w:rsid w:val="00212836"/>
    <w:rsid w:val="00213B4F"/>
    <w:rsid w:val="00215F23"/>
    <w:rsid w:val="00220BF5"/>
    <w:rsid w:val="00226FA5"/>
    <w:rsid w:val="00230B87"/>
    <w:rsid w:val="0023575A"/>
    <w:rsid w:val="002367DE"/>
    <w:rsid w:val="00236E93"/>
    <w:rsid w:val="00241E10"/>
    <w:rsid w:val="0024248C"/>
    <w:rsid w:val="00242670"/>
    <w:rsid w:val="00244E0C"/>
    <w:rsid w:val="002465C1"/>
    <w:rsid w:val="00250AAC"/>
    <w:rsid w:val="00250BC8"/>
    <w:rsid w:val="002556A9"/>
    <w:rsid w:val="0026784D"/>
    <w:rsid w:val="00267D2C"/>
    <w:rsid w:val="0027294E"/>
    <w:rsid w:val="00273116"/>
    <w:rsid w:val="00273C54"/>
    <w:rsid w:val="0027536E"/>
    <w:rsid w:val="00275BAA"/>
    <w:rsid w:val="0028161D"/>
    <w:rsid w:val="002817D1"/>
    <w:rsid w:val="002854A0"/>
    <w:rsid w:val="00285B02"/>
    <w:rsid w:val="00286811"/>
    <w:rsid w:val="002900BA"/>
    <w:rsid w:val="00292824"/>
    <w:rsid w:val="00295388"/>
    <w:rsid w:val="00296EE2"/>
    <w:rsid w:val="002A1584"/>
    <w:rsid w:val="002A3274"/>
    <w:rsid w:val="002A39CB"/>
    <w:rsid w:val="002A4C74"/>
    <w:rsid w:val="002A6E21"/>
    <w:rsid w:val="002A78FB"/>
    <w:rsid w:val="002B5319"/>
    <w:rsid w:val="002B5677"/>
    <w:rsid w:val="002C7E04"/>
    <w:rsid w:val="002D44AE"/>
    <w:rsid w:val="002F152B"/>
    <w:rsid w:val="002F30B8"/>
    <w:rsid w:val="002F4329"/>
    <w:rsid w:val="002F519A"/>
    <w:rsid w:val="002F61E4"/>
    <w:rsid w:val="002F6CE6"/>
    <w:rsid w:val="003023CB"/>
    <w:rsid w:val="003025A0"/>
    <w:rsid w:val="0030477B"/>
    <w:rsid w:val="00305F8F"/>
    <w:rsid w:val="00310802"/>
    <w:rsid w:val="00311BDF"/>
    <w:rsid w:val="00311C09"/>
    <w:rsid w:val="00316FD5"/>
    <w:rsid w:val="00320834"/>
    <w:rsid w:val="0032641D"/>
    <w:rsid w:val="00332E4D"/>
    <w:rsid w:val="00340C3A"/>
    <w:rsid w:val="00346B5F"/>
    <w:rsid w:val="003509F5"/>
    <w:rsid w:val="00351805"/>
    <w:rsid w:val="00351ECB"/>
    <w:rsid w:val="00353BE5"/>
    <w:rsid w:val="0035428C"/>
    <w:rsid w:val="0035730C"/>
    <w:rsid w:val="00361C1C"/>
    <w:rsid w:val="003636CA"/>
    <w:rsid w:val="0037297D"/>
    <w:rsid w:val="00377E10"/>
    <w:rsid w:val="00386E57"/>
    <w:rsid w:val="0039370B"/>
    <w:rsid w:val="0039450C"/>
    <w:rsid w:val="00394B36"/>
    <w:rsid w:val="00394D2A"/>
    <w:rsid w:val="00395068"/>
    <w:rsid w:val="00396839"/>
    <w:rsid w:val="003A4C78"/>
    <w:rsid w:val="003A572B"/>
    <w:rsid w:val="003A7138"/>
    <w:rsid w:val="003B06FD"/>
    <w:rsid w:val="003B2258"/>
    <w:rsid w:val="003B2856"/>
    <w:rsid w:val="003B7B74"/>
    <w:rsid w:val="003C0B35"/>
    <w:rsid w:val="003C7E79"/>
    <w:rsid w:val="003E0B62"/>
    <w:rsid w:val="003E35C6"/>
    <w:rsid w:val="003E6937"/>
    <w:rsid w:val="003E6A37"/>
    <w:rsid w:val="003E713F"/>
    <w:rsid w:val="003F2843"/>
    <w:rsid w:val="003F3458"/>
    <w:rsid w:val="003F3A6C"/>
    <w:rsid w:val="003F61D9"/>
    <w:rsid w:val="00400895"/>
    <w:rsid w:val="004138AD"/>
    <w:rsid w:val="00421709"/>
    <w:rsid w:val="00422822"/>
    <w:rsid w:val="004235A1"/>
    <w:rsid w:val="004241A5"/>
    <w:rsid w:val="0042494B"/>
    <w:rsid w:val="00424F5E"/>
    <w:rsid w:val="00427295"/>
    <w:rsid w:val="00432218"/>
    <w:rsid w:val="00441D89"/>
    <w:rsid w:val="00441FFB"/>
    <w:rsid w:val="00445591"/>
    <w:rsid w:val="0044670A"/>
    <w:rsid w:val="00450E93"/>
    <w:rsid w:val="0045504D"/>
    <w:rsid w:val="00457571"/>
    <w:rsid w:val="00464574"/>
    <w:rsid w:val="0047154C"/>
    <w:rsid w:val="00472155"/>
    <w:rsid w:val="004721B2"/>
    <w:rsid w:val="00472F06"/>
    <w:rsid w:val="004757F6"/>
    <w:rsid w:val="00477F9E"/>
    <w:rsid w:val="00481035"/>
    <w:rsid w:val="00481081"/>
    <w:rsid w:val="00481319"/>
    <w:rsid w:val="0048319D"/>
    <w:rsid w:val="00483C2E"/>
    <w:rsid w:val="00486B6D"/>
    <w:rsid w:val="004917D2"/>
    <w:rsid w:val="00492A83"/>
    <w:rsid w:val="00493462"/>
    <w:rsid w:val="00493A8B"/>
    <w:rsid w:val="004A1098"/>
    <w:rsid w:val="004A711B"/>
    <w:rsid w:val="004B05F8"/>
    <w:rsid w:val="004B4BE9"/>
    <w:rsid w:val="004B4C5E"/>
    <w:rsid w:val="004B76AC"/>
    <w:rsid w:val="004C47C4"/>
    <w:rsid w:val="004C6883"/>
    <w:rsid w:val="004D0304"/>
    <w:rsid w:val="004E04B3"/>
    <w:rsid w:val="004F5ABF"/>
    <w:rsid w:val="005003CC"/>
    <w:rsid w:val="005011B9"/>
    <w:rsid w:val="00501D4C"/>
    <w:rsid w:val="00506632"/>
    <w:rsid w:val="0051176D"/>
    <w:rsid w:val="005117F6"/>
    <w:rsid w:val="00515F40"/>
    <w:rsid w:val="00524AFE"/>
    <w:rsid w:val="005268C7"/>
    <w:rsid w:val="005333B5"/>
    <w:rsid w:val="00534C75"/>
    <w:rsid w:val="005366A8"/>
    <w:rsid w:val="00537379"/>
    <w:rsid w:val="00537B82"/>
    <w:rsid w:val="00541832"/>
    <w:rsid w:val="00541D57"/>
    <w:rsid w:val="0054468F"/>
    <w:rsid w:val="00550B8A"/>
    <w:rsid w:val="00552D9A"/>
    <w:rsid w:val="00552FC6"/>
    <w:rsid w:val="00554B56"/>
    <w:rsid w:val="00555628"/>
    <w:rsid w:val="00562A2B"/>
    <w:rsid w:val="00562F86"/>
    <w:rsid w:val="00564E43"/>
    <w:rsid w:val="00570D2D"/>
    <w:rsid w:val="00573B0C"/>
    <w:rsid w:val="00573FAB"/>
    <w:rsid w:val="00574A58"/>
    <w:rsid w:val="005752CD"/>
    <w:rsid w:val="00584E72"/>
    <w:rsid w:val="00590195"/>
    <w:rsid w:val="00592D7C"/>
    <w:rsid w:val="005974B1"/>
    <w:rsid w:val="005A0A8D"/>
    <w:rsid w:val="005A1D73"/>
    <w:rsid w:val="005B2E1A"/>
    <w:rsid w:val="005D34F9"/>
    <w:rsid w:val="005E352F"/>
    <w:rsid w:val="005E76F5"/>
    <w:rsid w:val="005F17E1"/>
    <w:rsid w:val="005F19BC"/>
    <w:rsid w:val="005F4128"/>
    <w:rsid w:val="005F5537"/>
    <w:rsid w:val="005F5C79"/>
    <w:rsid w:val="00606381"/>
    <w:rsid w:val="00612E29"/>
    <w:rsid w:val="0061346C"/>
    <w:rsid w:val="00616F08"/>
    <w:rsid w:val="00621DC3"/>
    <w:rsid w:val="00621EDD"/>
    <w:rsid w:val="006236B1"/>
    <w:rsid w:val="00623A01"/>
    <w:rsid w:val="006339F1"/>
    <w:rsid w:val="00636A61"/>
    <w:rsid w:val="0064008B"/>
    <w:rsid w:val="00644236"/>
    <w:rsid w:val="00644DA4"/>
    <w:rsid w:val="00650DAC"/>
    <w:rsid w:val="0065427C"/>
    <w:rsid w:val="00655AA6"/>
    <w:rsid w:val="006606F6"/>
    <w:rsid w:val="00662A04"/>
    <w:rsid w:val="00672122"/>
    <w:rsid w:val="006742FB"/>
    <w:rsid w:val="00674E2A"/>
    <w:rsid w:val="00675972"/>
    <w:rsid w:val="00676842"/>
    <w:rsid w:val="00683E09"/>
    <w:rsid w:val="00686305"/>
    <w:rsid w:val="0068688F"/>
    <w:rsid w:val="006874CC"/>
    <w:rsid w:val="00687BF5"/>
    <w:rsid w:val="00687D4C"/>
    <w:rsid w:val="006920BB"/>
    <w:rsid w:val="006965EC"/>
    <w:rsid w:val="00696750"/>
    <w:rsid w:val="006A0397"/>
    <w:rsid w:val="006A2ECD"/>
    <w:rsid w:val="006A6D29"/>
    <w:rsid w:val="006A6E18"/>
    <w:rsid w:val="006A7127"/>
    <w:rsid w:val="006A7B29"/>
    <w:rsid w:val="006B1CC4"/>
    <w:rsid w:val="006B1DAD"/>
    <w:rsid w:val="006C2740"/>
    <w:rsid w:val="006C6C90"/>
    <w:rsid w:val="006D6B53"/>
    <w:rsid w:val="006E0973"/>
    <w:rsid w:val="006E09DA"/>
    <w:rsid w:val="006E1894"/>
    <w:rsid w:val="006E1F4F"/>
    <w:rsid w:val="006F2034"/>
    <w:rsid w:val="006F486E"/>
    <w:rsid w:val="006F5C49"/>
    <w:rsid w:val="006F7119"/>
    <w:rsid w:val="006F7E1F"/>
    <w:rsid w:val="0070160F"/>
    <w:rsid w:val="00702ACB"/>
    <w:rsid w:val="00703F98"/>
    <w:rsid w:val="007111DC"/>
    <w:rsid w:val="00713416"/>
    <w:rsid w:val="00717E6C"/>
    <w:rsid w:val="00722459"/>
    <w:rsid w:val="00726155"/>
    <w:rsid w:val="00735098"/>
    <w:rsid w:val="00736749"/>
    <w:rsid w:val="00737677"/>
    <w:rsid w:val="00737CAC"/>
    <w:rsid w:val="00741E40"/>
    <w:rsid w:val="007442F1"/>
    <w:rsid w:val="00746A03"/>
    <w:rsid w:val="00760793"/>
    <w:rsid w:val="00774A2B"/>
    <w:rsid w:val="00776D1C"/>
    <w:rsid w:val="0078457A"/>
    <w:rsid w:val="00786DAC"/>
    <w:rsid w:val="00797FC0"/>
    <w:rsid w:val="007A04EF"/>
    <w:rsid w:val="007A0C10"/>
    <w:rsid w:val="007A6CE0"/>
    <w:rsid w:val="007B12B6"/>
    <w:rsid w:val="007B5BFB"/>
    <w:rsid w:val="007B65B0"/>
    <w:rsid w:val="007C4129"/>
    <w:rsid w:val="007C48CB"/>
    <w:rsid w:val="007C5288"/>
    <w:rsid w:val="007C57E2"/>
    <w:rsid w:val="007C6BED"/>
    <w:rsid w:val="007D0F6A"/>
    <w:rsid w:val="007D1B10"/>
    <w:rsid w:val="007D53FE"/>
    <w:rsid w:val="007D63A7"/>
    <w:rsid w:val="007D6635"/>
    <w:rsid w:val="007E28E6"/>
    <w:rsid w:val="007E4E23"/>
    <w:rsid w:val="007E6EE4"/>
    <w:rsid w:val="007F49A7"/>
    <w:rsid w:val="007F4C2F"/>
    <w:rsid w:val="007F74E6"/>
    <w:rsid w:val="00801AC5"/>
    <w:rsid w:val="008024C5"/>
    <w:rsid w:val="00804D3C"/>
    <w:rsid w:val="0080534D"/>
    <w:rsid w:val="0080745C"/>
    <w:rsid w:val="0081313D"/>
    <w:rsid w:val="00815EB3"/>
    <w:rsid w:val="00817D7D"/>
    <w:rsid w:val="00820501"/>
    <w:rsid w:val="008207D3"/>
    <w:rsid w:val="00822B5F"/>
    <w:rsid w:val="00826DF7"/>
    <w:rsid w:val="00827F5E"/>
    <w:rsid w:val="00834AAC"/>
    <w:rsid w:val="0084045F"/>
    <w:rsid w:val="00845053"/>
    <w:rsid w:val="0084598F"/>
    <w:rsid w:val="008501E6"/>
    <w:rsid w:val="00853C03"/>
    <w:rsid w:val="00854199"/>
    <w:rsid w:val="00854ADA"/>
    <w:rsid w:val="0086345E"/>
    <w:rsid w:val="00865E24"/>
    <w:rsid w:val="0086667E"/>
    <w:rsid w:val="00866B05"/>
    <w:rsid w:val="0086742D"/>
    <w:rsid w:val="008674EF"/>
    <w:rsid w:val="0087389D"/>
    <w:rsid w:val="00876BB8"/>
    <w:rsid w:val="008875F9"/>
    <w:rsid w:val="00887CC2"/>
    <w:rsid w:val="00893ED5"/>
    <w:rsid w:val="00894235"/>
    <w:rsid w:val="00894C4F"/>
    <w:rsid w:val="00895156"/>
    <w:rsid w:val="008A346D"/>
    <w:rsid w:val="008A5F0E"/>
    <w:rsid w:val="008B0A53"/>
    <w:rsid w:val="008B0DCE"/>
    <w:rsid w:val="008B6D76"/>
    <w:rsid w:val="008C0794"/>
    <w:rsid w:val="008C2BED"/>
    <w:rsid w:val="008C2FEB"/>
    <w:rsid w:val="008D0169"/>
    <w:rsid w:val="008D33EF"/>
    <w:rsid w:val="008D4A08"/>
    <w:rsid w:val="008D76D4"/>
    <w:rsid w:val="008E0422"/>
    <w:rsid w:val="008E3342"/>
    <w:rsid w:val="008E423F"/>
    <w:rsid w:val="008E5963"/>
    <w:rsid w:val="008F07AC"/>
    <w:rsid w:val="008F1625"/>
    <w:rsid w:val="00910927"/>
    <w:rsid w:val="00913FA6"/>
    <w:rsid w:val="009164C8"/>
    <w:rsid w:val="00916849"/>
    <w:rsid w:val="00917EAD"/>
    <w:rsid w:val="0092423A"/>
    <w:rsid w:val="00924B2A"/>
    <w:rsid w:val="00926123"/>
    <w:rsid w:val="00930B38"/>
    <w:rsid w:val="009347BF"/>
    <w:rsid w:val="00934BBF"/>
    <w:rsid w:val="009420C4"/>
    <w:rsid w:val="00942D59"/>
    <w:rsid w:val="00943F34"/>
    <w:rsid w:val="00945F79"/>
    <w:rsid w:val="009476FC"/>
    <w:rsid w:val="0095743D"/>
    <w:rsid w:val="00960C4E"/>
    <w:rsid w:val="00963F5B"/>
    <w:rsid w:val="009644D4"/>
    <w:rsid w:val="009667F9"/>
    <w:rsid w:val="00983B6E"/>
    <w:rsid w:val="00987B26"/>
    <w:rsid w:val="00992877"/>
    <w:rsid w:val="00995601"/>
    <w:rsid w:val="009A1678"/>
    <w:rsid w:val="009A4A2B"/>
    <w:rsid w:val="009A7546"/>
    <w:rsid w:val="009B04E6"/>
    <w:rsid w:val="009B2A3E"/>
    <w:rsid w:val="009C1BAD"/>
    <w:rsid w:val="009C62B9"/>
    <w:rsid w:val="009C698D"/>
    <w:rsid w:val="009D18CC"/>
    <w:rsid w:val="009D3502"/>
    <w:rsid w:val="009D4BA8"/>
    <w:rsid w:val="009E60EA"/>
    <w:rsid w:val="009E6EEE"/>
    <w:rsid w:val="009E6F8D"/>
    <w:rsid w:val="009F620E"/>
    <w:rsid w:val="009F6C39"/>
    <w:rsid w:val="00A00BAD"/>
    <w:rsid w:val="00A0136D"/>
    <w:rsid w:val="00A02446"/>
    <w:rsid w:val="00A03177"/>
    <w:rsid w:val="00A0486F"/>
    <w:rsid w:val="00A04943"/>
    <w:rsid w:val="00A063F8"/>
    <w:rsid w:val="00A10B8F"/>
    <w:rsid w:val="00A12413"/>
    <w:rsid w:val="00A1258F"/>
    <w:rsid w:val="00A21B7A"/>
    <w:rsid w:val="00A25AF4"/>
    <w:rsid w:val="00A275A5"/>
    <w:rsid w:val="00A3153F"/>
    <w:rsid w:val="00A3420E"/>
    <w:rsid w:val="00A36E0D"/>
    <w:rsid w:val="00A401C7"/>
    <w:rsid w:val="00A412D3"/>
    <w:rsid w:val="00A52C5C"/>
    <w:rsid w:val="00A52E6C"/>
    <w:rsid w:val="00A557FD"/>
    <w:rsid w:val="00A64084"/>
    <w:rsid w:val="00A70EA8"/>
    <w:rsid w:val="00A73975"/>
    <w:rsid w:val="00A8063A"/>
    <w:rsid w:val="00A82011"/>
    <w:rsid w:val="00A86597"/>
    <w:rsid w:val="00A8784C"/>
    <w:rsid w:val="00A9657D"/>
    <w:rsid w:val="00AA0131"/>
    <w:rsid w:val="00AA344F"/>
    <w:rsid w:val="00AA4A89"/>
    <w:rsid w:val="00AA7E93"/>
    <w:rsid w:val="00AB20A1"/>
    <w:rsid w:val="00AB244B"/>
    <w:rsid w:val="00AB3EBC"/>
    <w:rsid w:val="00AB4160"/>
    <w:rsid w:val="00AB794D"/>
    <w:rsid w:val="00AC6F5C"/>
    <w:rsid w:val="00AD6172"/>
    <w:rsid w:val="00AE12BD"/>
    <w:rsid w:val="00AE13C3"/>
    <w:rsid w:val="00AF2D45"/>
    <w:rsid w:val="00AF3334"/>
    <w:rsid w:val="00B01ED5"/>
    <w:rsid w:val="00B04F3C"/>
    <w:rsid w:val="00B0693C"/>
    <w:rsid w:val="00B07FC9"/>
    <w:rsid w:val="00B139B9"/>
    <w:rsid w:val="00B150BF"/>
    <w:rsid w:val="00B1533C"/>
    <w:rsid w:val="00B15A2E"/>
    <w:rsid w:val="00B24DA5"/>
    <w:rsid w:val="00B26C89"/>
    <w:rsid w:val="00B34FF8"/>
    <w:rsid w:val="00B366CA"/>
    <w:rsid w:val="00B37BF8"/>
    <w:rsid w:val="00B412F6"/>
    <w:rsid w:val="00B4160F"/>
    <w:rsid w:val="00B43FE9"/>
    <w:rsid w:val="00B45E5F"/>
    <w:rsid w:val="00B502A6"/>
    <w:rsid w:val="00B54DD4"/>
    <w:rsid w:val="00B555A8"/>
    <w:rsid w:val="00B60699"/>
    <w:rsid w:val="00B61202"/>
    <w:rsid w:val="00B61E47"/>
    <w:rsid w:val="00B66782"/>
    <w:rsid w:val="00B702E4"/>
    <w:rsid w:val="00B76C2F"/>
    <w:rsid w:val="00B80CF2"/>
    <w:rsid w:val="00B82F9E"/>
    <w:rsid w:val="00B85181"/>
    <w:rsid w:val="00B95FA9"/>
    <w:rsid w:val="00BA09B4"/>
    <w:rsid w:val="00BA3C65"/>
    <w:rsid w:val="00BA56D8"/>
    <w:rsid w:val="00BA57AE"/>
    <w:rsid w:val="00BA7521"/>
    <w:rsid w:val="00BA7766"/>
    <w:rsid w:val="00BB172A"/>
    <w:rsid w:val="00BD2B84"/>
    <w:rsid w:val="00BD4DC0"/>
    <w:rsid w:val="00BD4F15"/>
    <w:rsid w:val="00BD634C"/>
    <w:rsid w:val="00BE287E"/>
    <w:rsid w:val="00BE758E"/>
    <w:rsid w:val="00BF1769"/>
    <w:rsid w:val="00BF28F3"/>
    <w:rsid w:val="00BF585F"/>
    <w:rsid w:val="00C04975"/>
    <w:rsid w:val="00C14819"/>
    <w:rsid w:val="00C16FDE"/>
    <w:rsid w:val="00C219EE"/>
    <w:rsid w:val="00C23534"/>
    <w:rsid w:val="00C30ED4"/>
    <w:rsid w:val="00C36873"/>
    <w:rsid w:val="00C513DC"/>
    <w:rsid w:val="00C55925"/>
    <w:rsid w:val="00C56544"/>
    <w:rsid w:val="00C56B3F"/>
    <w:rsid w:val="00C60909"/>
    <w:rsid w:val="00C72854"/>
    <w:rsid w:val="00C77C5B"/>
    <w:rsid w:val="00C820C4"/>
    <w:rsid w:val="00C8497D"/>
    <w:rsid w:val="00C8708E"/>
    <w:rsid w:val="00C92DA0"/>
    <w:rsid w:val="00C92E5C"/>
    <w:rsid w:val="00CA7F99"/>
    <w:rsid w:val="00CB0760"/>
    <w:rsid w:val="00CB1EAB"/>
    <w:rsid w:val="00CB380D"/>
    <w:rsid w:val="00CC2D99"/>
    <w:rsid w:val="00CC424A"/>
    <w:rsid w:val="00CD6719"/>
    <w:rsid w:val="00CE0DA4"/>
    <w:rsid w:val="00CE1940"/>
    <w:rsid w:val="00CE3EEA"/>
    <w:rsid w:val="00CF14EF"/>
    <w:rsid w:val="00CF4711"/>
    <w:rsid w:val="00D01222"/>
    <w:rsid w:val="00D015D3"/>
    <w:rsid w:val="00D046BF"/>
    <w:rsid w:val="00D05BDD"/>
    <w:rsid w:val="00D06FF8"/>
    <w:rsid w:val="00D1275B"/>
    <w:rsid w:val="00D157C3"/>
    <w:rsid w:val="00D1648C"/>
    <w:rsid w:val="00D1784F"/>
    <w:rsid w:val="00D2439C"/>
    <w:rsid w:val="00D26D27"/>
    <w:rsid w:val="00D35BAF"/>
    <w:rsid w:val="00D477D2"/>
    <w:rsid w:val="00D50681"/>
    <w:rsid w:val="00D512F4"/>
    <w:rsid w:val="00D528BF"/>
    <w:rsid w:val="00D52C95"/>
    <w:rsid w:val="00D53C8E"/>
    <w:rsid w:val="00D5595C"/>
    <w:rsid w:val="00D57261"/>
    <w:rsid w:val="00D62CE2"/>
    <w:rsid w:val="00D62FDF"/>
    <w:rsid w:val="00D63441"/>
    <w:rsid w:val="00D6357C"/>
    <w:rsid w:val="00D638ED"/>
    <w:rsid w:val="00D771DB"/>
    <w:rsid w:val="00D81704"/>
    <w:rsid w:val="00D853F1"/>
    <w:rsid w:val="00D87657"/>
    <w:rsid w:val="00D91DAC"/>
    <w:rsid w:val="00DA0B00"/>
    <w:rsid w:val="00DB2ABB"/>
    <w:rsid w:val="00DB4A30"/>
    <w:rsid w:val="00DB611D"/>
    <w:rsid w:val="00DB6191"/>
    <w:rsid w:val="00DC1626"/>
    <w:rsid w:val="00DC34F7"/>
    <w:rsid w:val="00DC47E8"/>
    <w:rsid w:val="00DC5075"/>
    <w:rsid w:val="00DC649E"/>
    <w:rsid w:val="00DD0535"/>
    <w:rsid w:val="00DD1BB6"/>
    <w:rsid w:val="00DD6127"/>
    <w:rsid w:val="00DE1FD1"/>
    <w:rsid w:val="00DE563D"/>
    <w:rsid w:val="00DE7EB1"/>
    <w:rsid w:val="00DF5E29"/>
    <w:rsid w:val="00DF66B7"/>
    <w:rsid w:val="00E00A3E"/>
    <w:rsid w:val="00E040F2"/>
    <w:rsid w:val="00E1199A"/>
    <w:rsid w:val="00E140FD"/>
    <w:rsid w:val="00E15A56"/>
    <w:rsid w:val="00E177C7"/>
    <w:rsid w:val="00E21093"/>
    <w:rsid w:val="00E30DF6"/>
    <w:rsid w:val="00E31B83"/>
    <w:rsid w:val="00E3536E"/>
    <w:rsid w:val="00E45D67"/>
    <w:rsid w:val="00E5375D"/>
    <w:rsid w:val="00E558A8"/>
    <w:rsid w:val="00E63A0D"/>
    <w:rsid w:val="00E6555A"/>
    <w:rsid w:val="00E70AA1"/>
    <w:rsid w:val="00E73024"/>
    <w:rsid w:val="00E75CC4"/>
    <w:rsid w:val="00E80504"/>
    <w:rsid w:val="00E80C0B"/>
    <w:rsid w:val="00E81409"/>
    <w:rsid w:val="00E93278"/>
    <w:rsid w:val="00E9526F"/>
    <w:rsid w:val="00EA0538"/>
    <w:rsid w:val="00EA20B1"/>
    <w:rsid w:val="00EA23C7"/>
    <w:rsid w:val="00EA4337"/>
    <w:rsid w:val="00EA74B5"/>
    <w:rsid w:val="00EB3799"/>
    <w:rsid w:val="00EB4699"/>
    <w:rsid w:val="00EB6759"/>
    <w:rsid w:val="00EC1593"/>
    <w:rsid w:val="00EC2A2D"/>
    <w:rsid w:val="00ED2B4A"/>
    <w:rsid w:val="00EE0AAB"/>
    <w:rsid w:val="00EE0E76"/>
    <w:rsid w:val="00EE2F72"/>
    <w:rsid w:val="00EF29E7"/>
    <w:rsid w:val="00EF59BF"/>
    <w:rsid w:val="00F07E37"/>
    <w:rsid w:val="00F07EE3"/>
    <w:rsid w:val="00F121BB"/>
    <w:rsid w:val="00F127C3"/>
    <w:rsid w:val="00F12F81"/>
    <w:rsid w:val="00F14374"/>
    <w:rsid w:val="00F23859"/>
    <w:rsid w:val="00F30219"/>
    <w:rsid w:val="00F30925"/>
    <w:rsid w:val="00F418EB"/>
    <w:rsid w:val="00F4197C"/>
    <w:rsid w:val="00F42190"/>
    <w:rsid w:val="00F43546"/>
    <w:rsid w:val="00F43567"/>
    <w:rsid w:val="00F441D9"/>
    <w:rsid w:val="00F529D8"/>
    <w:rsid w:val="00F62D84"/>
    <w:rsid w:val="00F63D49"/>
    <w:rsid w:val="00F679E1"/>
    <w:rsid w:val="00F71FFD"/>
    <w:rsid w:val="00F809CF"/>
    <w:rsid w:val="00F81875"/>
    <w:rsid w:val="00F87A79"/>
    <w:rsid w:val="00F93F92"/>
    <w:rsid w:val="00F946EE"/>
    <w:rsid w:val="00FA0446"/>
    <w:rsid w:val="00FA19CC"/>
    <w:rsid w:val="00FA1F7D"/>
    <w:rsid w:val="00FA2549"/>
    <w:rsid w:val="00FA4942"/>
    <w:rsid w:val="00FA4BBD"/>
    <w:rsid w:val="00FA6A38"/>
    <w:rsid w:val="00FB4E6B"/>
    <w:rsid w:val="00FB74A9"/>
    <w:rsid w:val="00FC0D96"/>
    <w:rsid w:val="00FC2C4A"/>
    <w:rsid w:val="00FC57CC"/>
    <w:rsid w:val="00FC6197"/>
    <w:rsid w:val="00FD0500"/>
    <w:rsid w:val="00FD4024"/>
    <w:rsid w:val="00FE4DEA"/>
    <w:rsid w:val="00FF5E7F"/>
    <w:rsid w:val="00FF61EB"/>
    <w:rsid w:val="00FF6869"/>
    <w:rsid w:val="00FF6C29"/>
    <w:rsid w:val="00FF6E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38081B8E"/>
  <w15:docId w15:val="{86021CF3-F88F-494D-ADA8-C58B2E03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D2B4A"/>
    <w:rPr>
      <w:rFonts w:ascii="Tahoma" w:hAnsi="Tahoma" w:cs="Tahoma"/>
      <w:sz w:val="16"/>
      <w:szCs w:val="16"/>
    </w:rPr>
  </w:style>
  <w:style w:type="character" w:customStyle="1" w:styleId="SelitetekstiChar">
    <w:name w:val="Seliteteksti Char"/>
    <w:basedOn w:val="Kappaleenoletusfontti"/>
    <w:link w:val="Seliteteksti"/>
    <w:rsid w:val="00ED2B4A"/>
    <w:rPr>
      <w:rFonts w:ascii="Tahoma" w:hAnsi="Tahoma" w:cs="Tahoma"/>
      <w:sz w:val="16"/>
      <w:szCs w:val="16"/>
      <w:lang w:eastAsia="en-US"/>
    </w:rPr>
  </w:style>
  <w:style w:type="character" w:styleId="Hyperlinkki">
    <w:name w:val="Hyperlink"/>
    <w:basedOn w:val="Kappaleenoletusfontti"/>
    <w:rsid w:val="005366A8"/>
    <w:rPr>
      <w:color w:val="0000FF" w:themeColor="hyperlink"/>
      <w:u w:val="single"/>
    </w:rPr>
  </w:style>
  <w:style w:type="paragraph" w:styleId="Alaviitteenteksti">
    <w:name w:val="footnote text"/>
    <w:basedOn w:val="Normaali"/>
    <w:link w:val="AlaviitteentekstiChar"/>
    <w:rsid w:val="005366A8"/>
  </w:style>
  <w:style w:type="character" w:customStyle="1" w:styleId="AlaviitteentekstiChar">
    <w:name w:val="Alaviitteen teksti Char"/>
    <w:basedOn w:val="Kappaleenoletusfontti"/>
    <w:link w:val="Alaviitteenteksti"/>
    <w:rsid w:val="005366A8"/>
    <w:rPr>
      <w:rFonts w:ascii="Calibri" w:hAnsi="Calibri"/>
      <w:lang w:eastAsia="en-US"/>
    </w:rPr>
  </w:style>
  <w:style w:type="character" w:styleId="Alaviitteenviite">
    <w:name w:val="footnote reference"/>
    <w:basedOn w:val="Kappaleenoletusfontti"/>
    <w:rsid w:val="005366A8"/>
    <w:rPr>
      <w:vertAlign w:val="superscript"/>
    </w:rPr>
  </w:style>
  <w:style w:type="character" w:styleId="AvattuHyperlinkki">
    <w:name w:val="FollowedHyperlink"/>
    <w:basedOn w:val="Kappaleenoletusfontti"/>
    <w:rsid w:val="005366A8"/>
    <w:rPr>
      <w:color w:val="800080" w:themeColor="followedHyperlink"/>
      <w:u w:val="single"/>
    </w:rPr>
  </w:style>
  <w:style w:type="paragraph" w:styleId="Luettelokappale">
    <w:name w:val="List Paragraph"/>
    <w:basedOn w:val="Normaali"/>
    <w:uiPriority w:val="34"/>
    <w:qFormat/>
    <w:rsid w:val="000943E3"/>
    <w:pPr>
      <w:ind w:left="720"/>
      <w:contextualSpacing/>
    </w:pPr>
  </w:style>
  <w:style w:type="character" w:styleId="Kommentinviite">
    <w:name w:val="annotation reference"/>
    <w:basedOn w:val="Kappaleenoletusfontti"/>
    <w:rsid w:val="00826DF7"/>
    <w:rPr>
      <w:sz w:val="16"/>
      <w:szCs w:val="16"/>
    </w:rPr>
  </w:style>
  <w:style w:type="paragraph" w:styleId="Kommentinteksti">
    <w:name w:val="annotation text"/>
    <w:basedOn w:val="Normaali"/>
    <w:link w:val="KommentintekstiChar"/>
    <w:rsid w:val="00826DF7"/>
  </w:style>
  <w:style w:type="character" w:customStyle="1" w:styleId="KommentintekstiChar">
    <w:name w:val="Kommentin teksti Char"/>
    <w:basedOn w:val="Kappaleenoletusfontti"/>
    <w:link w:val="Kommentinteksti"/>
    <w:rsid w:val="00826DF7"/>
    <w:rPr>
      <w:rFonts w:ascii="Calibri" w:hAnsi="Calibri"/>
      <w:lang w:eastAsia="en-US"/>
    </w:rPr>
  </w:style>
  <w:style w:type="paragraph" w:styleId="Kommentinotsikko">
    <w:name w:val="annotation subject"/>
    <w:basedOn w:val="Kommentinteksti"/>
    <w:next w:val="Kommentinteksti"/>
    <w:link w:val="KommentinotsikkoChar"/>
    <w:rsid w:val="00826DF7"/>
    <w:rPr>
      <w:b/>
      <w:bCs/>
    </w:rPr>
  </w:style>
  <w:style w:type="character" w:customStyle="1" w:styleId="KommentinotsikkoChar">
    <w:name w:val="Kommentin otsikko Char"/>
    <w:basedOn w:val="KommentintekstiChar"/>
    <w:link w:val="Kommentinotsikko"/>
    <w:rsid w:val="00826DF7"/>
    <w:rPr>
      <w:rFonts w:ascii="Calibri" w:hAnsi="Calibri"/>
      <w:b/>
      <w:bCs/>
      <w:lang w:eastAsia="en-US"/>
    </w:rPr>
  </w:style>
  <w:style w:type="paragraph" w:styleId="Muutos">
    <w:name w:val="Revision"/>
    <w:hidden/>
    <w:uiPriority w:val="99"/>
    <w:semiHidden/>
    <w:rsid w:val="00D53C8E"/>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631">
      <w:bodyDiv w:val="1"/>
      <w:marLeft w:val="0"/>
      <w:marRight w:val="0"/>
      <w:marTop w:val="0"/>
      <w:marBottom w:val="0"/>
      <w:divBdr>
        <w:top w:val="none" w:sz="0" w:space="0" w:color="auto"/>
        <w:left w:val="none" w:sz="0" w:space="0" w:color="auto"/>
        <w:bottom w:val="none" w:sz="0" w:space="0" w:color="auto"/>
        <w:right w:val="none" w:sz="0" w:space="0" w:color="auto"/>
      </w:divBdr>
    </w:div>
    <w:div w:id="261693329">
      <w:bodyDiv w:val="1"/>
      <w:marLeft w:val="0"/>
      <w:marRight w:val="0"/>
      <w:marTop w:val="0"/>
      <w:marBottom w:val="0"/>
      <w:divBdr>
        <w:top w:val="none" w:sz="0" w:space="0" w:color="auto"/>
        <w:left w:val="none" w:sz="0" w:space="0" w:color="auto"/>
        <w:bottom w:val="none" w:sz="0" w:space="0" w:color="auto"/>
        <w:right w:val="none" w:sz="0" w:space="0" w:color="auto"/>
      </w:divBdr>
    </w:div>
    <w:div w:id="9736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ikeusministerio.fi/fi/index/valmisteilla/lakihankkeet/oikeudenkayntijaoikeuslaitos/karajaoikeusverkostonjatkokehittamine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ikeusministerio.fi/fi/index/julkaisut/julkaisuarkisto/1434360436583/Files/lausuntotiiv_Summaariset_26s.pdf" TargetMode="External"/><Relationship Id="rId4" Type="http://schemas.openxmlformats.org/officeDocument/2006/relationships/settings" Target="settings.xml"/><Relationship Id="rId9" Type="http://schemas.openxmlformats.org/officeDocument/2006/relationships/hyperlink" Target="http://oikeusministerio.fi/fi/index/julkaisut/julkaisuarkisto/1413962450704/Files/OMSO_52_2014_selvitysmiehet_156_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inlex.fi/fi/laki/alkup/2017/20171032" TargetMode="External"/><Relationship Id="rId1" Type="http://schemas.openxmlformats.org/officeDocument/2006/relationships/hyperlink" Target="https://www.finlex.fi/fi/laki/alkup/2017/2017102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7923-0B54-4174-A030-BB0E76FD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8</Pages>
  <Words>2404</Words>
  <Characters>21693</Characters>
  <Application>Microsoft Office Word</Application>
  <DocSecurity>0</DocSecurity>
  <Lines>748</Lines>
  <Paragraphs>290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Huovinen Jennimari</dc:creator>
  <cp:lastModifiedBy>Huovinen Jennimari</cp:lastModifiedBy>
  <cp:revision>18</cp:revision>
  <cp:lastPrinted>2018-01-09T09:44:00Z</cp:lastPrinted>
  <dcterms:created xsi:type="dcterms:W3CDTF">2018-01-08T13:12:00Z</dcterms:created>
  <dcterms:modified xsi:type="dcterms:W3CDTF">2018-07-03T08:52:00Z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Tuomioistuinyksikkö</vt:lpwstr>
  </property>
  <property fmtid="{D5CDD505-2E9C-101B-9397-08002B2CF9AE}" pid="6" name="DC.X-DocumentType">
    <vt:lpwstr>MUISTIO</vt:lpwstr>
  </property>
  <property fmtid="{D5CDD505-2E9C-101B-9397-08002B2CF9AE}" pid="7" name="DC.Language">
    <vt:lpwstr>fi</vt:lpwstr>
  </property>
  <property fmtid="{D5CDD505-2E9C-101B-9397-08002B2CF9AE}" pid="8" name="DC.Date.Created">
    <vt:lpwstr>20160616</vt:lpwstr>
  </property>
  <property fmtid="{D5CDD505-2E9C-101B-9397-08002B2CF9AE}" pid="9" name="DC.Identifier">
    <vt:lpwstr/>
  </property>
  <property fmtid="{D5CDD505-2E9C-101B-9397-08002B2CF9AE}" pid="10" name="DC.Identifier.Type">
    <vt:lpwstr/>
  </property>
  <property fmtid="{D5CDD505-2E9C-101B-9397-08002B2CF9AE}" pid="11" name="DC.Creator.PersonalName">
    <vt:lpwstr>jmh</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jmh</vt:lpwstr>
  </property>
  <property fmtid="{D5CDD505-2E9C-101B-9397-08002B2CF9AE}" pid="21" name="DC.Identifier.FilePath">
    <vt:lpwstr/>
  </property>
  <property fmtid="{D5CDD505-2E9C-101B-9397-08002B2CF9AE}" pid="22" name="DC.Title">
    <vt:lpwstr>KÄRÄJÄOIKEUKSIEN TUOMIOPIIRIT ERITYISASIARYHMISSÄ</vt:lpwstr>
  </property>
</Properties>
</file>