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437291" w:rsidRPr="007978DF" w14:paraId="6FBFEE25" w14:textId="77777777" w:rsidTr="00A720FE">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674C6DD8" w14:textId="77777777" w:rsidR="00437291" w:rsidRPr="0017214B" w:rsidRDefault="00437291" w:rsidP="00437291">
            <w:pPr>
              <w:pStyle w:val="Yltunniste"/>
              <w:tabs>
                <w:tab w:val="clear" w:pos="4819"/>
                <w:tab w:val="clear" w:pos="9638"/>
              </w:tabs>
              <w:rPr>
                <w:sz w:val="16"/>
                <w:lang w:val="sv-FI"/>
              </w:rPr>
            </w:pPr>
            <w:r w:rsidRPr="0017214B">
              <w:rPr>
                <w:sz w:val="16"/>
                <w:lang w:val="sv-FI"/>
              </w:rPr>
              <w:t>Utfärdad:</w:t>
            </w:r>
          </w:p>
          <w:p w14:paraId="7A1EF319" w14:textId="77777777" w:rsidR="00437291" w:rsidRPr="0017214B" w:rsidRDefault="00E73E5C" w:rsidP="00437291">
            <w:pPr>
              <w:pStyle w:val="Yltunniste"/>
              <w:rPr>
                <w:lang w:val="sv-FI"/>
              </w:rPr>
            </w:pPr>
            <w:r w:rsidRPr="0017214B">
              <w:rPr>
                <w:lang w:val="sv-FI"/>
              </w:rPr>
              <w:fldChar w:fldCharType="begin"/>
            </w:r>
            <w:r w:rsidRPr="0017214B">
              <w:rPr>
                <w:lang w:val="sv-FI"/>
              </w:rPr>
              <w:instrText xml:space="preserve"> MACROBUTTON  AdditionalActions [dd.mm.åååå] </w:instrText>
            </w:r>
            <w:r w:rsidRPr="0017214B">
              <w:rPr>
                <w:lang w:val="sv-FI"/>
              </w:rPr>
              <w:fldChar w:fldCharType="end"/>
            </w:r>
          </w:p>
        </w:tc>
        <w:tc>
          <w:tcPr>
            <w:tcW w:w="2413" w:type="dxa"/>
            <w:tcBorders>
              <w:top w:val="single" w:sz="8" w:space="0" w:color="auto"/>
              <w:left w:val="single" w:sz="2" w:space="0" w:color="FFFFFF"/>
              <w:bottom w:val="single" w:sz="4" w:space="0" w:color="auto"/>
              <w:right w:val="single" w:sz="2" w:space="0" w:color="FFFFFF"/>
            </w:tcBorders>
          </w:tcPr>
          <w:p w14:paraId="1060FB0C" w14:textId="77777777" w:rsidR="00437291" w:rsidRPr="0017214B" w:rsidRDefault="00437291" w:rsidP="00437291">
            <w:pPr>
              <w:pStyle w:val="Yltunniste"/>
              <w:tabs>
                <w:tab w:val="clear" w:pos="4819"/>
                <w:tab w:val="clear" w:pos="9638"/>
              </w:tabs>
              <w:rPr>
                <w:sz w:val="16"/>
                <w:lang w:val="sv-FI"/>
              </w:rPr>
            </w:pPr>
            <w:r w:rsidRPr="0017214B">
              <w:rPr>
                <w:sz w:val="16"/>
                <w:lang w:val="sv-FI"/>
              </w:rPr>
              <w:t>Träder i kraft:</w:t>
            </w:r>
          </w:p>
          <w:p w14:paraId="738BC3AA" w14:textId="77777777" w:rsidR="00437291" w:rsidRPr="0017214B" w:rsidRDefault="00E73E5C" w:rsidP="00437291">
            <w:pPr>
              <w:pStyle w:val="Yltunniste"/>
              <w:rPr>
                <w:lang w:val="sv-FI"/>
              </w:rPr>
            </w:pPr>
            <w:r w:rsidRPr="0017214B">
              <w:rPr>
                <w:lang w:val="sv-FI"/>
              </w:rPr>
              <w:fldChar w:fldCharType="begin"/>
            </w:r>
            <w:r w:rsidRPr="0017214B">
              <w:rPr>
                <w:lang w:val="sv-FI"/>
              </w:rPr>
              <w:instrText xml:space="preserve"> MACROBUTTON  AdditionalActions [dd.mm.åååå] </w:instrText>
            </w:r>
            <w:r w:rsidRPr="0017214B">
              <w:rPr>
                <w:lang w:val="sv-FI"/>
              </w:rPr>
              <w:fldChar w:fldCharType="end"/>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53DE3576" w14:textId="77777777" w:rsidR="00437291" w:rsidRPr="0017214B" w:rsidRDefault="00437291" w:rsidP="00437291">
            <w:pPr>
              <w:pStyle w:val="Yltunniste"/>
              <w:tabs>
                <w:tab w:val="clear" w:pos="4819"/>
                <w:tab w:val="clear" w:pos="9638"/>
              </w:tabs>
              <w:rPr>
                <w:sz w:val="16"/>
                <w:lang w:val="sv-FI"/>
              </w:rPr>
            </w:pPr>
            <w:r w:rsidRPr="0017214B">
              <w:rPr>
                <w:sz w:val="16"/>
                <w:lang w:val="sv-FI"/>
              </w:rPr>
              <w:t>Giltighetstid:</w:t>
            </w:r>
          </w:p>
          <w:p w14:paraId="0EB5CE81" w14:textId="106C3B9E" w:rsidR="00437291" w:rsidRPr="0017214B" w:rsidRDefault="00702949" w:rsidP="00437291">
            <w:pPr>
              <w:pStyle w:val="Yltunniste"/>
              <w:rPr>
                <w:lang w:val="sv-FI"/>
              </w:rPr>
            </w:pPr>
            <w:r w:rsidRPr="0017214B">
              <w:rPr>
                <w:lang w:val="sv-FI"/>
              </w:rPr>
              <w:t>tills vidare</w:t>
            </w:r>
          </w:p>
        </w:tc>
      </w:tr>
      <w:tr w:rsidR="00437291" w:rsidRPr="0017214B" w14:paraId="783E85F3" w14:textId="77777777" w:rsidTr="000516A5">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312005FE" w14:textId="77777777" w:rsidR="00437291" w:rsidRPr="0017214B" w:rsidRDefault="00437291" w:rsidP="000516A5">
            <w:pPr>
              <w:pStyle w:val="Yltunniste"/>
              <w:tabs>
                <w:tab w:val="clear" w:pos="4819"/>
                <w:tab w:val="clear" w:pos="9638"/>
              </w:tabs>
              <w:rPr>
                <w:sz w:val="16"/>
                <w:lang w:val="sv-FI"/>
              </w:rPr>
            </w:pPr>
            <w:r w:rsidRPr="0017214B">
              <w:rPr>
                <w:sz w:val="16"/>
                <w:lang w:val="sv-FI"/>
              </w:rPr>
              <w:t>Rättsgrund:</w:t>
            </w:r>
          </w:p>
          <w:p w14:paraId="3492A130" w14:textId="5D397CEF" w:rsidR="00437291" w:rsidRPr="0017214B" w:rsidRDefault="007978DF" w:rsidP="000516A5">
            <w:pPr>
              <w:pStyle w:val="Yltunniste"/>
              <w:rPr>
                <w:lang w:val="sv-FI"/>
              </w:rPr>
            </w:pPr>
            <w:r w:rsidRPr="00DB1556">
              <w:rPr>
                <w:lang w:val="sv-SE"/>
              </w:rPr>
              <w:t>Luftfartslagen (864/2014) 9 §</w:t>
            </w:r>
            <w:r>
              <w:rPr>
                <w:lang w:val="sv-SE"/>
              </w:rPr>
              <w:t xml:space="preserve">, </w:t>
            </w:r>
            <w:r w:rsidRPr="00DB1556">
              <w:rPr>
                <w:lang w:val="sv-SE"/>
              </w:rPr>
              <w:t>33 §</w:t>
            </w:r>
            <w:r>
              <w:rPr>
                <w:lang w:val="sv-SE"/>
              </w:rPr>
              <w:t xml:space="preserve"> och 57 §</w:t>
            </w:r>
          </w:p>
        </w:tc>
      </w:tr>
      <w:tr w:rsidR="00D66651" w:rsidRPr="007978DF" w14:paraId="4A278692" w14:textId="77777777" w:rsidTr="00D66651">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11A5C17A" w14:textId="77777777" w:rsidR="00E30637" w:rsidRPr="0017214B" w:rsidRDefault="00DE4C6B" w:rsidP="00E30637">
            <w:pPr>
              <w:pStyle w:val="Yltunniste"/>
              <w:rPr>
                <w:sz w:val="16"/>
                <w:lang w:val="sv-FI"/>
              </w:rPr>
            </w:pPr>
            <w:r w:rsidRPr="0017214B">
              <w:rPr>
                <w:sz w:val="16"/>
                <w:lang w:val="sv-FI"/>
              </w:rPr>
              <w:t>Bestämmelser om p</w:t>
            </w:r>
            <w:r w:rsidR="00E30637" w:rsidRPr="0017214B">
              <w:rPr>
                <w:sz w:val="16"/>
                <w:lang w:val="sv-FI"/>
              </w:rPr>
              <w:t>åföljder</w:t>
            </w:r>
            <w:r w:rsidRPr="0017214B">
              <w:rPr>
                <w:sz w:val="16"/>
                <w:lang w:val="sv-FI"/>
              </w:rPr>
              <w:t>na</w:t>
            </w:r>
            <w:r w:rsidR="00E30637" w:rsidRPr="0017214B">
              <w:rPr>
                <w:sz w:val="16"/>
                <w:lang w:val="sv-FI"/>
              </w:rPr>
              <w:t xml:space="preserve"> för verksamh</w:t>
            </w:r>
            <w:r w:rsidRPr="0017214B">
              <w:rPr>
                <w:sz w:val="16"/>
                <w:lang w:val="sv-FI"/>
              </w:rPr>
              <w:t>et som strider mot föreskriften finns</w:t>
            </w:r>
            <w:r w:rsidR="00E30637" w:rsidRPr="0017214B">
              <w:rPr>
                <w:sz w:val="16"/>
                <w:lang w:val="sv-FI"/>
              </w:rPr>
              <w:t xml:space="preserve"> i:</w:t>
            </w:r>
          </w:p>
          <w:p w14:paraId="1EFC2516" w14:textId="3DE8B500" w:rsidR="00D66651" w:rsidRPr="0017214B" w:rsidRDefault="00210302" w:rsidP="00957710">
            <w:pPr>
              <w:pStyle w:val="Yltunniste"/>
              <w:tabs>
                <w:tab w:val="clear" w:pos="4819"/>
                <w:tab w:val="clear" w:pos="9638"/>
              </w:tabs>
              <w:rPr>
                <w:sz w:val="16"/>
                <w:lang w:val="sv-FI"/>
              </w:rPr>
            </w:pPr>
            <w:r w:rsidRPr="00210302">
              <w:rPr>
                <w:lang w:val="sv-SE"/>
              </w:rPr>
              <w:t>Luftfartslagen (864/2014) 14 kap. 175 och 178 §</w:t>
            </w:r>
            <w:r w:rsidRPr="00210302">
              <w:rPr>
                <w:lang w:val="sv-SE"/>
              </w:rPr>
              <w:br/>
              <w:t>Lagen om transportservice (320/2017) 31 kap.</w:t>
            </w:r>
          </w:p>
        </w:tc>
      </w:tr>
      <w:tr w:rsidR="00437291" w:rsidRPr="0017214B" w14:paraId="38A899C3" w14:textId="77777777" w:rsidTr="000516A5">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6962771D" w14:textId="77777777" w:rsidR="00437291" w:rsidRPr="0017214B" w:rsidRDefault="00437291" w:rsidP="000516A5">
            <w:pPr>
              <w:pStyle w:val="Yltunniste"/>
              <w:tabs>
                <w:tab w:val="clear" w:pos="4819"/>
                <w:tab w:val="clear" w:pos="9638"/>
              </w:tabs>
              <w:rPr>
                <w:sz w:val="16"/>
                <w:lang w:val="sv-FI"/>
              </w:rPr>
            </w:pPr>
            <w:r w:rsidRPr="0017214B">
              <w:rPr>
                <w:sz w:val="16"/>
                <w:lang w:val="sv-FI"/>
              </w:rPr>
              <w:t>Genomförd EU-lagstiftning:</w:t>
            </w:r>
          </w:p>
          <w:p w14:paraId="018078D8" w14:textId="77777777" w:rsidR="00437291" w:rsidRPr="0017214B" w:rsidRDefault="00437291" w:rsidP="000516A5">
            <w:pPr>
              <w:pStyle w:val="Yltunniste"/>
              <w:tabs>
                <w:tab w:val="clear" w:pos="4819"/>
                <w:tab w:val="clear" w:pos="9638"/>
              </w:tabs>
              <w:rPr>
                <w:lang w:val="sv-FI"/>
              </w:rPr>
            </w:pPr>
          </w:p>
        </w:tc>
      </w:tr>
      <w:tr w:rsidR="00437291" w:rsidRPr="00210302" w14:paraId="5A07BDBE" w14:textId="77777777" w:rsidTr="000516A5">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371F9686" w14:textId="77777777" w:rsidR="00437291" w:rsidRPr="0017214B" w:rsidRDefault="00437291" w:rsidP="000516A5">
            <w:pPr>
              <w:pStyle w:val="Yltunniste"/>
              <w:tabs>
                <w:tab w:val="clear" w:pos="4819"/>
                <w:tab w:val="clear" w:pos="9638"/>
              </w:tabs>
              <w:rPr>
                <w:sz w:val="18"/>
                <w:lang w:val="sv-FI"/>
              </w:rPr>
            </w:pPr>
            <w:r w:rsidRPr="0017214B">
              <w:rPr>
                <w:sz w:val="16"/>
                <w:lang w:val="sv-FI"/>
              </w:rPr>
              <w:t>Ändringsuppgifter</w:t>
            </w:r>
            <w:r w:rsidRPr="0017214B">
              <w:rPr>
                <w:sz w:val="18"/>
                <w:lang w:val="sv-FI"/>
              </w:rPr>
              <w:t>:</w:t>
            </w:r>
          </w:p>
          <w:p w14:paraId="51DE58F6" w14:textId="514D8D99" w:rsidR="00437291" w:rsidRPr="0017214B" w:rsidRDefault="00210302" w:rsidP="00210302">
            <w:pPr>
              <w:pStyle w:val="Yltunniste"/>
              <w:rPr>
                <w:lang w:val="sv-FI"/>
              </w:rPr>
            </w:pPr>
            <w:r w:rsidRPr="00DB1556">
              <w:rPr>
                <w:lang w:val="sv-SE"/>
              </w:rPr>
              <w:t xml:space="preserve">Genom denna föreskrift upphävs </w:t>
            </w:r>
            <w:r>
              <w:rPr>
                <w:lang w:val="sv-SE"/>
              </w:rPr>
              <w:t>Transport- och kommunikationsverket</w:t>
            </w:r>
            <w:r>
              <w:rPr>
                <w:lang w:val="sv-SE"/>
              </w:rPr>
              <w:t xml:space="preserve">s </w:t>
            </w:r>
            <w:r w:rsidRPr="00DB1556">
              <w:rPr>
                <w:lang w:val="sv-SE"/>
              </w:rPr>
              <w:t xml:space="preserve">luftfartsföreskrift </w:t>
            </w:r>
            <w:r w:rsidRPr="00210302">
              <w:rPr>
                <w:lang w:val="sv-SE"/>
              </w:rPr>
              <w:t>TRAF</w:t>
            </w:r>
            <w:r>
              <w:rPr>
                <w:lang w:val="sv-SE"/>
              </w:rPr>
              <w:t>I</w:t>
            </w:r>
            <w:r w:rsidRPr="00210302">
              <w:rPr>
                <w:lang w:val="sv-SE"/>
              </w:rPr>
              <w:t>COM/</w:t>
            </w:r>
            <w:proofErr w:type="gramStart"/>
            <w:r w:rsidRPr="00210302">
              <w:rPr>
                <w:lang w:val="sv-SE"/>
              </w:rPr>
              <w:t>543116</w:t>
            </w:r>
            <w:proofErr w:type="gramEnd"/>
            <w:r w:rsidRPr="00210302">
              <w:rPr>
                <w:lang w:val="sv-SE"/>
              </w:rPr>
              <w:t>/03.04.00.00/2019</w:t>
            </w:r>
            <w:r w:rsidRPr="00DB1556">
              <w:rPr>
                <w:lang w:val="sv-SE"/>
              </w:rPr>
              <w:t>OPS M6-1, Fallskärmshoppning, utfä</w:t>
            </w:r>
            <w:r w:rsidRPr="00DB1556">
              <w:rPr>
                <w:lang w:val="sv-SE"/>
              </w:rPr>
              <w:t>r</w:t>
            </w:r>
            <w:r w:rsidRPr="00DB1556">
              <w:rPr>
                <w:lang w:val="sv-SE"/>
              </w:rPr>
              <w:t xml:space="preserve">dad </w:t>
            </w:r>
            <w:r>
              <w:rPr>
                <w:lang w:val="sv-SE"/>
              </w:rPr>
              <w:t>12.5.2020</w:t>
            </w:r>
          </w:p>
        </w:tc>
      </w:tr>
    </w:tbl>
    <w:p w14:paraId="7606FCD5" w14:textId="77777777" w:rsidR="00FA160F" w:rsidRPr="00210302" w:rsidRDefault="00FA160F">
      <w:pPr>
        <w:rPr>
          <w:lang w:val="sv-SE"/>
        </w:rPr>
      </w:pPr>
    </w:p>
    <w:p w14:paraId="35C7A886" w14:textId="50EE6CBB" w:rsidR="00210302" w:rsidRPr="00EC77F4" w:rsidRDefault="0021220D" w:rsidP="00210302">
      <w:pPr>
        <w:pStyle w:val="TrafiAsiaotsikko"/>
        <w:rPr>
          <w:lang w:val="en-US"/>
        </w:rPr>
      </w:pPr>
      <w:r w:rsidRPr="00437291">
        <w:rPr>
          <w:sz w:val="28"/>
          <w:lang w:val="sv-FI"/>
        </w:rPr>
        <w:fldChar w:fldCharType="begin"/>
      </w:r>
      <w:r w:rsidRPr="007978DF">
        <w:rPr>
          <w:sz w:val="28"/>
        </w:rPr>
        <w:instrText xml:space="preserve"> DOCPROPERTY  tweb_doc_title </w:instrText>
      </w:r>
      <w:r w:rsidRPr="00437291">
        <w:rPr>
          <w:sz w:val="28"/>
          <w:lang w:val="sv-FI"/>
        </w:rPr>
        <w:fldChar w:fldCharType="separate"/>
      </w:r>
      <w:r w:rsidR="00210302" w:rsidRPr="00210302">
        <w:rPr>
          <w:lang w:val="en-US"/>
        </w:rPr>
        <w:t xml:space="preserve"> </w:t>
      </w:r>
      <w:proofErr w:type="spellStart"/>
      <w:r w:rsidR="00210302" w:rsidRPr="00EC77F4">
        <w:rPr>
          <w:lang w:val="en-US"/>
        </w:rPr>
        <w:t>Fallskärmshoppning</w:t>
      </w:r>
      <w:proofErr w:type="spellEnd"/>
    </w:p>
    <w:p w14:paraId="7DB8D70B" w14:textId="4C83B7DB" w:rsidR="00437291" w:rsidRPr="00F62717" w:rsidRDefault="0021220D" w:rsidP="00F62717">
      <w:pPr>
        <w:pStyle w:val="TrafiAsiaotsikko"/>
        <w:rPr>
          <w:b w:val="0"/>
          <w:bCs/>
          <w:noProof/>
          <w:sz w:val="20"/>
          <w:szCs w:val="20"/>
        </w:rPr>
      </w:pPr>
      <w:r w:rsidRPr="00437291">
        <w:rPr>
          <w:sz w:val="28"/>
          <w:lang w:val="sv-FI"/>
        </w:rPr>
        <w:fldChar w:fldCharType="end"/>
      </w:r>
      <w:r w:rsidR="00437291" w:rsidRPr="00F62717">
        <w:rPr>
          <w:b w:val="0"/>
          <w:bCs/>
          <w:sz w:val="20"/>
          <w:szCs w:val="20"/>
          <w:lang w:val="sv-FI"/>
        </w:rPr>
        <w:t>Innehåll</w:t>
      </w:r>
    </w:p>
    <w:sdt>
      <w:sdtPr>
        <w:rPr>
          <w:rFonts w:eastAsiaTheme="majorEastAsia" w:cstheme="majorBidi"/>
          <w:noProof w:val="0"/>
          <w:sz w:val="24"/>
          <w:szCs w:val="32"/>
          <w:lang w:val="sv-FI" w:eastAsia="fi-FI"/>
        </w:rPr>
        <w:id w:val="1216927917"/>
        <w:docPartObj>
          <w:docPartGallery w:val="Table of Contents"/>
          <w:docPartUnique/>
        </w:docPartObj>
      </w:sdtPr>
      <w:sdtEndPr>
        <w:rPr>
          <w:rFonts w:eastAsiaTheme="minorHAnsi" w:cstheme="minorHAnsi"/>
          <w:bCs/>
          <w:noProof/>
          <w:sz w:val="20"/>
          <w:szCs w:val="22"/>
          <w:lang w:eastAsia="en-US"/>
        </w:rPr>
      </w:sdtEndPr>
      <w:sdtContent>
        <w:p w14:paraId="11CA821D" w14:textId="475A7B5B" w:rsidR="00ED3C42" w:rsidRPr="00ED3C42" w:rsidRDefault="00DC3497">
          <w:pPr>
            <w:pStyle w:val="Sisluet1"/>
            <w:rPr>
              <w:rFonts w:asciiTheme="minorHAnsi" w:eastAsiaTheme="minorEastAsia" w:hAnsiTheme="minorHAnsi" w:cstheme="minorBidi"/>
              <w:sz w:val="22"/>
              <w:lang w:val="sv-SE" w:eastAsia="fi-FI"/>
            </w:rPr>
          </w:pPr>
          <w:r w:rsidRPr="00437291">
            <w:rPr>
              <w:lang w:val="sv-FI"/>
            </w:rPr>
            <w:fldChar w:fldCharType="begin"/>
          </w:r>
          <w:r w:rsidRPr="00437291">
            <w:rPr>
              <w:lang w:val="sv-FI"/>
            </w:rPr>
            <w:instrText xml:space="preserve"> TOC \o "1-3" \t "Liiteotsikko;1" </w:instrText>
          </w:r>
          <w:r w:rsidRPr="00437291">
            <w:rPr>
              <w:lang w:val="sv-FI"/>
            </w:rPr>
            <w:fldChar w:fldCharType="separate"/>
          </w:r>
          <w:r w:rsidR="00ED3C42" w:rsidRPr="00571CC8">
            <w:rPr>
              <w:lang w:val="sv-SE"/>
            </w:rPr>
            <w:t>1 ALLMÄNT</w:t>
          </w:r>
          <w:r w:rsidR="00ED3C42" w:rsidRPr="00ED3C42">
            <w:rPr>
              <w:lang w:val="sv-SE"/>
            </w:rPr>
            <w:tab/>
          </w:r>
        </w:p>
        <w:p w14:paraId="20EE42CB" w14:textId="69D5C443" w:rsidR="00ED3C42" w:rsidRPr="00ED3C42" w:rsidRDefault="00ED3C42">
          <w:pPr>
            <w:pStyle w:val="Sisluet2"/>
            <w:rPr>
              <w:rFonts w:asciiTheme="minorHAnsi" w:eastAsiaTheme="minorEastAsia" w:hAnsiTheme="minorHAnsi" w:cstheme="minorBidi"/>
              <w:noProof/>
              <w:sz w:val="22"/>
              <w:lang w:val="sv-SE" w:eastAsia="fi-FI"/>
            </w:rPr>
          </w:pPr>
          <w:r w:rsidRPr="00571CC8">
            <w:rPr>
              <w:noProof/>
              <w:lang w:val="sv-SE"/>
            </w:rPr>
            <w:t>1.1 Tillämpningsområde</w:t>
          </w:r>
          <w:r w:rsidRPr="00ED3C42">
            <w:rPr>
              <w:noProof/>
              <w:lang w:val="sv-SE"/>
            </w:rPr>
            <w:tab/>
          </w:r>
          <w:r>
            <w:rPr>
              <w:noProof/>
            </w:rPr>
            <w:fldChar w:fldCharType="begin"/>
          </w:r>
          <w:r w:rsidRPr="00ED3C42">
            <w:rPr>
              <w:noProof/>
              <w:lang w:val="sv-SE"/>
            </w:rPr>
            <w:instrText xml:space="preserve"> PAGEREF _Toc153980456 \h </w:instrText>
          </w:r>
          <w:r>
            <w:rPr>
              <w:noProof/>
            </w:rPr>
          </w:r>
          <w:r>
            <w:rPr>
              <w:noProof/>
            </w:rPr>
            <w:fldChar w:fldCharType="separate"/>
          </w:r>
          <w:r w:rsidRPr="00ED3C42">
            <w:rPr>
              <w:noProof/>
              <w:lang w:val="sv-SE"/>
            </w:rPr>
            <w:t>1</w:t>
          </w:r>
          <w:r>
            <w:rPr>
              <w:noProof/>
            </w:rPr>
            <w:fldChar w:fldCharType="end"/>
          </w:r>
        </w:p>
        <w:p w14:paraId="6F851852" w14:textId="29F1C718" w:rsidR="00ED3C42" w:rsidRPr="00ED3C42" w:rsidRDefault="00ED3C42">
          <w:pPr>
            <w:pStyle w:val="Sisluet2"/>
            <w:rPr>
              <w:rFonts w:asciiTheme="minorHAnsi" w:eastAsiaTheme="minorEastAsia" w:hAnsiTheme="minorHAnsi" w:cstheme="minorBidi"/>
              <w:noProof/>
              <w:sz w:val="22"/>
              <w:lang w:val="sv-SE" w:eastAsia="fi-FI"/>
            </w:rPr>
          </w:pPr>
          <w:r w:rsidRPr="00571CC8">
            <w:rPr>
              <w:noProof/>
              <w:lang w:val="sv-SE"/>
            </w:rPr>
            <w:t>1.2 Definitioner</w:t>
          </w:r>
          <w:r w:rsidRPr="00ED3C42">
            <w:rPr>
              <w:noProof/>
              <w:lang w:val="sv-SE"/>
            </w:rPr>
            <w:tab/>
          </w:r>
          <w:r>
            <w:rPr>
              <w:noProof/>
            </w:rPr>
            <w:fldChar w:fldCharType="begin"/>
          </w:r>
          <w:r w:rsidRPr="00ED3C42">
            <w:rPr>
              <w:noProof/>
              <w:lang w:val="sv-SE"/>
            </w:rPr>
            <w:instrText xml:space="preserve"> PAGEREF _Toc153980457 \h </w:instrText>
          </w:r>
          <w:r>
            <w:rPr>
              <w:noProof/>
            </w:rPr>
          </w:r>
          <w:r>
            <w:rPr>
              <w:noProof/>
            </w:rPr>
            <w:fldChar w:fldCharType="separate"/>
          </w:r>
          <w:r w:rsidRPr="00ED3C42">
            <w:rPr>
              <w:noProof/>
              <w:lang w:val="sv-SE"/>
            </w:rPr>
            <w:t>2</w:t>
          </w:r>
          <w:r>
            <w:rPr>
              <w:noProof/>
            </w:rPr>
            <w:fldChar w:fldCharType="end"/>
          </w:r>
        </w:p>
        <w:p w14:paraId="6002F2EE" w14:textId="59EFECBF" w:rsidR="00ED3C42" w:rsidRPr="00ED3C42" w:rsidRDefault="00ED3C42">
          <w:pPr>
            <w:pStyle w:val="Sisluet1"/>
            <w:rPr>
              <w:rFonts w:asciiTheme="minorHAnsi" w:eastAsiaTheme="minorEastAsia" w:hAnsiTheme="minorHAnsi" w:cstheme="minorBidi"/>
              <w:sz w:val="22"/>
              <w:lang w:val="sv-SE" w:eastAsia="fi-FI"/>
            </w:rPr>
          </w:pPr>
          <w:r w:rsidRPr="00571CC8">
            <w:rPr>
              <w:lang w:val="sv-SE"/>
            </w:rPr>
            <w:t>2. TEKNISKA FÖRESKRIFTER</w:t>
          </w:r>
          <w:r w:rsidRPr="00ED3C42">
            <w:rPr>
              <w:lang w:val="sv-SE"/>
            </w:rPr>
            <w:tab/>
          </w:r>
          <w:r>
            <w:fldChar w:fldCharType="begin"/>
          </w:r>
          <w:r w:rsidRPr="00ED3C42">
            <w:rPr>
              <w:lang w:val="sv-SE"/>
            </w:rPr>
            <w:instrText xml:space="preserve"> PAGEREF _Toc153980458 \h </w:instrText>
          </w:r>
          <w:r>
            <w:fldChar w:fldCharType="separate"/>
          </w:r>
          <w:r w:rsidRPr="00ED3C42">
            <w:rPr>
              <w:lang w:val="sv-SE"/>
            </w:rPr>
            <w:t>2</w:t>
          </w:r>
          <w:r>
            <w:fldChar w:fldCharType="end"/>
          </w:r>
        </w:p>
        <w:p w14:paraId="6C2E7916" w14:textId="40D873CD" w:rsidR="00ED3C42" w:rsidRPr="00ED3C42" w:rsidRDefault="00ED3C42">
          <w:pPr>
            <w:pStyle w:val="Sisluet2"/>
            <w:rPr>
              <w:rFonts w:asciiTheme="minorHAnsi" w:eastAsiaTheme="minorEastAsia" w:hAnsiTheme="minorHAnsi" w:cstheme="minorBidi"/>
              <w:noProof/>
              <w:sz w:val="22"/>
              <w:lang w:val="sv-SE" w:eastAsia="fi-FI"/>
            </w:rPr>
          </w:pPr>
          <w:r w:rsidRPr="00571CC8">
            <w:rPr>
              <w:noProof/>
              <w:lang w:val="sv-SE"/>
            </w:rPr>
            <w:t>2.1 Godkännanden</w:t>
          </w:r>
          <w:r w:rsidRPr="00ED3C42">
            <w:rPr>
              <w:noProof/>
              <w:lang w:val="sv-SE"/>
            </w:rPr>
            <w:tab/>
          </w:r>
          <w:r>
            <w:rPr>
              <w:noProof/>
            </w:rPr>
            <w:fldChar w:fldCharType="begin"/>
          </w:r>
          <w:r w:rsidRPr="00ED3C42">
            <w:rPr>
              <w:noProof/>
              <w:lang w:val="sv-SE"/>
            </w:rPr>
            <w:instrText xml:space="preserve"> PAGEREF _Toc153980459 \h </w:instrText>
          </w:r>
          <w:r>
            <w:rPr>
              <w:noProof/>
            </w:rPr>
          </w:r>
          <w:r>
            <w:rPr>
              <w:noProof/>
            </w:rPr>
            <w:fldChar w:fldCharType="separate"/>
          </w:r>
          <w:r w:rsidRPr="00ED3C42">
            <w:rPr>
              <w:noProof/>
              <w:lang w:val="sv-SE"/>
            </w:rPr>
            <w:t>2</w:t>
          </w:r>
          <w:r>
            <w:rPr>
              <w:noProof/>
            </w:rPr>
            <w:fldChar w:fldCharType="end"/>
          </w:r>
        </w:p>
        <w:p w14:paraId="4DE83F05" w14:textId="23122569" w:rsidR="00ED3C42" w:rsidRPr="00ED3C42" w:rsidRDefault="00ED3C42">
          <w:pPr>
            <w:pStyle w:val="Sisluet2"/>
            <w:rPr>
              <w:rFonts w:asciiTheme="minorHAnsi" w:eastAsiaTheme="minorEastAsia" w:hAnsiTheme="minorHAnsi" w:cstheme="minorBidi"/>
              <w:noProof/>
              <w:sz w:val="22"/>
              <w:lang w:val="sv-SE" w:eastAsia="fi-FI"/>
            </w:rPr>
          </w:pPr>
          <w:r w:rsidRPr="00571CC8">
            <w:rPr>
              <w:noProof/>
              <w:lang w:val="sv-SE"/>
            </w:rPr>
            <w:t>2.2 Krav vid tävlings- och uppvisningsverksamhet</w:t>
          </w:r>
          <w:r w:rsidRPr="00ED3C42">
            <w:rPr>
              <w:noProof/>
              <w:lang w:val="sv-SE"/>
            </w:rPr>
            <w:tab/>
          </w:r>
          <w:r>
            <w:rPr>
              <w:noProof/>
            </w:rPr>
            <w:fldChar w:fldCharType="begin"/>
          </w:r>
          <w:r w:rsidRPr="00ED3C42">
            <w:rPr>
              <w:noProof/>
              <w:lang w:val="sv-SE"/>
            </w:rPr>
            <w:instrText xml:space="preserve"> PAGEREF _Toc153980460 \h </w:instrText>
          </w:r>
          <w:r>
            <w:rPr>
              <w:noProof/>
            </w:rPr>
          </w:r>
          <w:r>
            <w:rPr>
              <w:noProof/>
            </w:rPr>
            <w:fldChar w:fldCharType="separate"/>
          </w:r>
          <w:r w:rsidRPr="00ED3C42">
            <w:rPr>
              <w:noProof/>
              <w:lang w:val="sv-SE"/>
            </w:rPr>
            <w:t>3</w:t>
          </w:r>
          <w:r>
            <w:rPr>
              <w:noProof/>
            </w:rPr>
            <w:fldChar w:fldCharType="end"/>
          </w:r>
        </w:p>
        <w:p w14:paraId="61C690BC" w14:textId="225AA527" w:rsidR="00ED3C42" w:rsidRPr="00ED3C42" w:rsidRDefault="00ED3C42">
          <w:pPr>
            <w:pStyle w:val="Sisluet2"/>
            <w:rPr>
              <w:rFonts w:asciiTheme="minorHAnsi" w:eastAsiaTheme="minorEastAsia" w:hAnsiTheme="minorHAnsi" w:cstheme="minorBidi"/>
              <w:noProof/>
              <w:sz w:val="22"/>
              <w:lang w:val="sv-SE" w:eastAsia="fi-FI"/>
            </w:rPr>
          </w:pPr>
          <w:r w:rsidRPr="00571CC8">
            <w:rPr>
              <w:noProof/>
              <w:lang w:val="sv-SE"/>
            </w:rPr>
            <w:t>2.3 Tillsyn och underhåll</w:t>
          </w:r>
          <w:r w:rsidRPr="00ED3C42">
            <w:rPr>
              <w:noProof/>
              <w:lang w:val="sv-SE"/>
            </w:rPr>
            <w:tab/>
          </w:r>
          <w:r>
            <w:rPr>
              <w:noProof/>
            </w:rPr>
            <w:fldChar w:fldCharType="begin"/>
          </w:r>
          <w:r w:rsidRPr="00ED3C42">
            <w:rPr>
              <w:noProof/>
              <w:lang w:val="sv-SE"/>
            </w:rPr>
            <w:instrText xml:space="preserve"> PAGEREF _Toc153980461 \h </w:instrText>
          </w:r>
          <w:r>
            <w:rPr>
              <w:noProof/>
            </w:rPr>
          </w:r>
          <w:r>
            <w:rPr>
              <w:noProof/>
            </w:rPr>
            <w:fldChar w:fldCharType="separate"/>
          </w:r>
          <w:r w:rsidRPr="00ED3C42">
            <w:rPr>
              <w:noProof/>
              <w:lang w:val="sv-SE"/>
            </w:rPr>
            <w:t>3</w:t>
          </w:r>
          <w:r>
            <w:rPr>
              <w:noProof/>
            </w:rPr>
            <w:fldChar w:fldCharType="end"/>
          </w:r>
        </w:p>
        <w:p w14:paraId="19AB680C" w14:textId="57F6A094" w:rsidR="00ED3C42" w:rsidRPr="00ED3C42" w:rsidRDefault="00ED3C42">
          <w:pPr>
            <w:pStyle w:val="Sisluet2"/>
            <w:rPr>
              <w:rFonts w:asciiTheme="minorHAnsi" w:eastAsiaTheme="minorEastAsia" w:hAnsiTheme="minorHAnsi" w:cstheme="minorBidi"/>
              <w:noProof/>
              <w:sz w:val="22"/>
              <w:lang w:val="sv-SE" w:eastAsia="fi-FI"/>
            </w:rPr>
          </w:pPr>
          <w:r w:rsidRPr="00571CC8">
            <w:rPr>
              <w:noProof/>
              <w:lang w:val="sv-SE"/>
            </w:rPr>
            <w:t>2.4 Packning av reservskärm</w:t>
          </w:r>
          <w:r w:rsidRPr="00ED3C42">
            <w:rPr>
              <w:noProof/>
              <w:lang w:val="sv-SE"/>
            </w:rPr>
            <w:tab/>
          </w:r>
          <w:r>
            <w:rPr>
              <w:noProof/>
            </w:rPr>
            <w:fldChar w:fldCharType="begin"/>
          </w:r>
          <w:r w:rsidRPr="00ED3C42">
            <w:rPr>
              <w:noProof/>
              <w:lang w:val="sv-SE"/>
            </w:rPr>
            <w:instrText xml:space="preserve"> PAGEREF _Toc153980462 \h </w:instrText>
          </w:r>
          <w:r>
            <w:rPr>
              <w:noProof/>
            </w:rPr>
          </w:r>
          <w:r>
            <w:rPr>
              <w:noProof/>
            </w:rPr>
            <w:fldChar w:fldCharType="separate"/>
          </w:r>
          <w:r w:rsidRPr="00ED3C42">
            <w:rPr>
              <w:noProof/>
              <w:lang w:val="sv-SE"/>
            </w:rPr>
            <w:t>3</w:t>
          </w:r>
          <w:r>
            <w:rPr>
              <w:noProof/>
            </w:rPr>
            <w:fldChar w:fldCharType="end"/>
          </w:r>
        </w:p>
        <w:p w14:paraId="5FC34F7A" w14:textId="63C2993A" w:rsidR="00ED3C42" w:rsidRPr="00ED3C42" w:rsidRDefault="00ED3C42">
          <w:pPr>
            <w:pStyle w:val="Sisluet2"/>
            <w:rPr>
              <w:rFonts w:asciiTheme="minorHAnsi" w:eastAsiaTheme="minorEastAsia" w:hAnsiTheme="minorHAnsi" w:cstheme="minorBidi"/>
              <w:noProof/>
              <w:sz w:val="22"/>
              <w:lang w:val="sv-SE" w:eastAsia="fi-FI"/>
            </w:rPr>
          </w:pPr>
          <w:r w:rsidRPr="00571CC8">
            <w:rPr>
              <w:noProof/>
              <w:lang w:val="sv-SE"/>
            </w:rPr>
            <w:t>2.5 Reparation och tillverkning</w:t>
          </w:r>
          <w:r w:rsidRPr="00ED3C42">
            <w:rPr>
              <w:noProof/>
              <w:lang w:val="sv-SE"/>
            </w:rPr>
            <w:tab/>
          </w:r>
          <w:r>
            <w:rPr>
              <w:noProof/>
            </w:rPr>
            <w:fldChar w:fldCharType="begin"/>
          </w:r>
          <w:r w:rsidRPr="00ED3C42">
            <w:rPr>
              <w:noProof/>
              <w:lang w:val="sv-SE"/>
            </w:rPr>
            <w:instrText xml:space="preserve"> PAGEREF _Toc153980463 \h </w:instrText>
          </w:r>
          <w:r>
            <w:rPr>
              <w:noProof/>
            </w:rPr>
          </w:r>
          <w:r>
            <w:rPr>
              <w:noProof/>
            </w:rPr>
            <w:fldChar w:fldCharType="separate"/>
          </w:r>
          <w:r w:rsidRPr="00ED3C42">
            <w:rPr>
              <w:noProof/>
              <w:lang w:val="sv-SE"/>
            </w:rPr>
            <w:t>4</w:t>
          </w:r>
          <w:r>
            <w:rPr>
              <w:noProof/>
            </w:rPr>
            <w:fldChar w:fldCharType="end"/>
          </w:r>
        </w:p>
        <w:p w14:paraId="62CCE139" w14:textId="2369E210" w:rsidR="00ED3C42" w:rsidRPr="00ED3C42" w:rsidRDefault="00ED3C42">
          <w:pPr>
            <w:pStyle w:val="Sisluet1"/>
            <w:rPr>
              <w:rFonts w:asciiTheme="minorHAnsi" w:eastAsiaTheme="minorEastAsia" w:hAnsiTheme="minorHAnsi" w:cstheme="minorBidi"/>
              <w:sz w:val="22"/>
              <w:lang w:val="sv-SE" w:eastAsia="fi-FI"/>
            </w:rPr>
          </w:pPr>
          <w:r w:rsidRPr="00571CC8">
            <w:rPr>
              <w:lang w:val="sv-SE"/>
            </w:rPr>
            <w:t>3. OPERATIVA FÖRESKRIFTER</w:t>
          </w:r>
          <w:r w:rsidRPr="00ED3C42">
            <w:rPr>
              <w:lang w:val="sv-SE"/>
            </w:rPr>
            <w:tab/>
          </w:r>
          <w:r>
            <w:fldChar w:fldCharType="begin"/>
          </w:r>
          <w:r w:rsidRPr="00ED3C42">
            <w:rPr>
              <w:lang w:val="sv-SE"/>
            </w:rPr>
            <w:instrText xml:space="preserve"> PAGEREF _Toc153980464 \h </w:instrText>
          </w:r>
          <w:r>
            <w:fldChar w:fldCharType="separate"/>
          </w:r>
          <w:r w:rsidRPr="00ED3C42">
            <w:rPr>
              <w:lang w:val="sv-SE"/>
            </w:rPr>
            <w:t>4</w:t>
          </w:r>
          <w:r>
            <w:fldChar w:fldCharType="end"/>
          </w:r>
        </w:p>
        <w:p w14:paraId="68E922BE" w14:textId="279F121F" w:rsidR="00ED3C42" w:rsidRPr="00ED3C42" w:rsidRDefault="00ED3C42">
          <w:pPr>
            <w:pStyle w:val="Sisluet1"/>
            <w:rPr>
              <w:rFonts w:asciiTheme="minorHAnsi" w:eastAsiaTheme="minorEastAsia" w:hAnsiTheme="minorHAnsi" w:cstheme="minorBidi"/>
              <w:sz w:val="22"/>
              <w:lang w:val="sv-SE" w:eastAsia="fi-FI"/>
            </w:rPr>
          </w:pPr>
          <w:r w:rsidRPr="00571CC8">
            <w:rPr>
              <w:lang w:val="sv-SE"/>
            </w:rPr>
            <w:t>4. FÖRESKRIFTER OM ÅLDER, KUNSKAPER, FÄRDIGHETER OCH ERFARENHET GÄLLANDE FALLSKÄRMSHOPPARE,  HOPPINSTRUKTÖR OCH FALLSKÄRMSKONTROLLANT</w:t>
          </w:r>
          <w:r w:rsidRPr="00ED3C42">
            <w:rPr>
              <w:lang w:val="sv-SE"/>
            </w:rPr>
            <w:tab/>
          </w:r>
          <w:r>
            <w:fldChar w:fldCharType="begin"/>
          </w:r>
          <w:r w:rsidRPr="00ED3C42">
            <w:rPr>
              <w:lang w:val="sv-SE"/>
            </w:rPr>
            <w:instrText xml:space="preserve"> PAGEREF _Toc153980465 \h </w:instrText>
          </w:r>
          <w:r>
            <w:fldChar w:fldCharType="separate"/>
          </w:r>
          <w:r w:rsidRPr="00ED3C42">
            <w:rPr>
              <w:lang w:val="sv-SE"/>
            </w:rPr>
            <w:t>5</w:t>
          </w:r>
          <w:r>
            <w:fldChar w:fldCharType="end"/>
          </w:r>
        </w:p>
        <w:p w14:paraId="52E6C776" w14:textId="5852F5D9" w:rsidR="00ED3C42" w:rsidRPr="00ED3C42" w:rsidRDefault="00ED3C42">
          <w:pPr>
            <w:pStyle w:val="Sisluet2"/>
            <w:rPr>
              <w:rFonts w:asciiTheme="minorHAnsi" w:eastAsiaTheme="minorEastAsia" w:hAnsiTheme="minorHAnsi" w:cstheme="minorBidi"/>
              <w:noProof/>
              <w:sz w:val="22"/>
              <w:lang w:val="sv-SE" w:eastAsia="fi-FI"/>
            </w:rPr>
          </w:pPr>
          <w:r w:rsidRPr="00571CC8">
            <w:rPr>
              <w:noProof/>
              <w:lang w:val="sv-SE"/>
            </w:rPr>
            <w:t>4.1 Behörighetskrav för fallskärmshoppare, hoppinstruktör och fallskärmskontrollant</w:t>
          </w:r>
          <w:r w:rsidRPr="00ED3C42">
            <w:rPr>
              <w:noProof/>
              <w:lang w:val="sv-SE"/>
            </w:rPr>
            <w:tab/>
          </w:r>
          <w:r>
            <w:rPr>
              <w:noProof/>
            </w:rPr>
            <w:fldChar w:fldCharType="begin"/>
          </w:r>
          <w:r w:rsidRPr="00ED3C42">
            <w:rPr>
              <w:noProof/>
              <w:lang w:val="sv-SE"/>
            </w:rPr>
            <w:instrText xml:space="preserve"> PAGEREF _Toc153980466 \h </w:instrText>
          </w:r>
          <w:r>
            <w:rPr>
              <w:noProof/>
            </w:rPr>
          </w:r>
          <w:r>
            <w:rPr>
              <w:noProof/>
            </w:rPr>
            <w:fldChar w:fldCharType="separate"/>
          </w:r>
          <w:r w:rsidRPr="00ED3C42">
            <w:rPr>
              <w:noProof/>
              <w:lang w:val="sv-SE"/>
            </w:rPr>
            <w:t>5</w:t>
          </w:r>
          <w:r>
            <w:rPr>
              <w:noProof/>
            </w:rPr>
            <w:fldChar w:fldCharType="end"/>
          </w:r>
        </w:p>
        <w:p w14:paraId="7A7EDE0B" w14:textId="11839D8F" w:rsidR="00ED3C42" w:rsidRDefault="00ED3C42">
          <w:pPr>
            <w:pStyle w:val="Sisluet2"/>
            <w:rPr>
              <w:rFonts w:asciiTheme="minorHAnsi" w:eastAsiaTheme="minorEastAsia" w:hAnsiTheme="minorHAnsi" w:cstheme="minorBidi"/>
              <w:noProof/>
              <w:sz w:val="22"/>
              <w:lang w:eastAsia="fi-FI"/>
            </w:rPr>
          </w:pPr>
          <w:r w:rsidRPr="00571CC8">
            <w:rPr>
              <w:noProof/>
              <w:lang w:val="sv-SE"/>
            </w:rPr>
            <w:t>4.2 Hoppjournal och utbildningsbevis</w:t>
          </w:r>
          <w:r>
            <w:rPr>
              <w:noProof/>
            </w:rPr>
            <w:tab/>
          </w:r>
          <w:r>
            <w:rPr>
              <w:noProof/>
            </w:rPr>
            <w:fldChar w:fldCharType="begin"/>
          </w:r>
          <w:r>
            <w:rPr>
              <w:noProof/>
            </w:rPr>
            <w:instrText xml:space="preserve"> PAGEREF _Toc153980467 \h </w:instrText>
          </w:r>
          <w:r>
            <w:rPr>
              <w:noProof/>
            </w:rPr>
          </w:r>
          <w:r>
            <w:rPr>
              <w:noProof/>
            </w:rPr>
            <w:fldChar w:fldCharType="separate"/>
          </w:r>
          <w:r>
            <w:rPr>
              <w:noProof/>
            </w:rPr>
            <w:t>5</w:t>
          </w:r>
          <w:r>
            <w:rPr>
              <w:noProof/>
            </w:rPr>
            <w:fldChar w:fldCharType="end"/>
          </w:r>
        </w:p>
        <w:p w14:paraId="70194693" w14:textId="2E8BE199" w:rsidR="00ED3C42" w:rsidRDefault="00ED3C42">
          <w:pPr>
            <w:pStyle w:val="Sisluet1"/>
            <w:rPr>
              <w:rFonts w:asciiTheme="minorHAnsi" w:eastAsiaTheme="minorEastAsia" w:hAnsiTheme="minorHAnsi" w:cstheme="minorBidi"/>
              <w:sz w:val="22"/>
              <w:lang w:eastAsia="fi-FI"/>
            </w:rPr>
          </w:pPr>
          <w:r w:rsidRPr="00571CC8">
            <w:rPr>
              <w:lang w:val="sv-SE"/>
            </w:rPr>
            <w:t>5 UNDANTAG</w:t>
          </w:r>
          <w:r>
            <w:tab/>
          </w:r>
        </w:p>
        <w:p w14:paraId="31EF32F6" w14:textId="14B57BE7" w:rsidR="00D32EE1" w:rsidRPr="00437291" w:rsidRDefault="00DC3497" w:rsidP="009A7A61">
          <w:pPr>
            <w:pStyle w:val="Sisluet1"/>
            <w:rPr>
              <w:lang w:val="sv-FI"/>
            </w:rPr>
          </w:pPr>
          <w:r w:rsidRPr="00437291">
            <w:rPr>
              <w:lang w:val="sv-FI"/>
            </w:rPr>
            <w:fldChar w:fldCharType="end"/>
          </w:r>
        </w:p>
      </w:sdtContent>
    </w:sdt>
    <w:p w14:paraId="4082E255" w14:textId="77777777" w:rsidR="006728BE" w:rsidRPr="00437291" w:rsidRDefault="006728BE" w:rsidP="00D32EE1">
      <w:pPr>
        <w:pStyle w:val="TrafiAsiaotsikko"/>
        <w:rPr>
          <w:b w:val="0"/>
          <w:bCs/>
          <w:noProof/>
          <w:szCs w:val="20"/>
          <w:lang w:val="sv-FI"/>
        </w:rPr>
      </w:pPr>
    </w:p>
    <w:p w14:paraId="6BBCF57F" w14:textId="77777777" w:rsidR="00210302" w:rsidRPr="00210302" w:rsidRDefault="00210302" w:rsidP="00210302">
      <w:pPr>
        <w:pStyle w:val="TwebOtsikko1"/>
        <w:rPr>
          <w:lang w:val="sv-SE"/>
        </w:rPr>
      </w:pPr>
      <w:bookmarkStart w:id="0" w:name="_Toc38959640"/>
      <w:bookmarkStart w:id="1" w:name="_Toc153980135"/>
      <w:bookmarkStart w:id="2" w:name="_Toc153980455"/>
      <w:r w:rsidRPr="00210302">
        <w:rPr>
          <w:lang w:val="sv-SE"/>
        </w:rPr>
        <w:t>1 ALLMÄNT</w:t>
      </w:r>
      <w:bookmarkEnd w:id="0"/>
      <w:bookmarkEnd w:id="1"/>
      <w:bookmarkEnd w:id="2"/>
    </w:p>
    <w:p w14:paraId="4B22F675" w14:textId="77777777" w:rsidR="00210302" w:rsidRPr="00210302" w:rsidRDefault="00210302" w:rsidP="00210302">
      <w:pPr>
        <w:pStyle w:val="TwebOtsikko2"/>
        <w:rPr>
          <w:lang w:val="sv-SE"/>
        </w:rPr>
      </w:pPr>
      <w:bookmarkStart w:id="3" w:name="_Toc38959641"/>
      <w:bookmarkStart w:id="4" w:name="_Toc153980456"/>
      <w:r w:rsidRPr="00210302">
        <w:rPr>
          <w:lang w:val="sv-SE"/>
        </w:rPr>
        <w:t>1.1 Tillämpningsområde</w:t>
      </w:r>
      <w:bookmarkEnd w:id="3"/>
      <w:bookmarkEnd w:id="4"/>
    </w:p>
    <w:p w14:paraId="1755C0F2" w14:textId="77777777" w:rsidR="00210302" w:rsidRPr="00AE05C7" w:rsidRDefault="00210302" w:rsidP="00210302">
      <w:pPr>
        <w:pStyle w:val="Twebnormiteksti"/>
        <w:tabs>
          <w:tab w:val="left" w:pos="709"/>
        </w:tabs>
        <w:ind w:left="709" w:hanging="709"/>
        <w:rPr>
          <w:lang w:val="sv-SE"/>
        </w:rPr>
      </w:pPr>
      <w:r w:rsidRPr="00210302">
        <w:rPr>
          <w:lang w:val="sv-SE"/>
        </w:rPr>
        <w:t>1.1.1</w:t>
      </w:r>
      <w:r w:rsidRPr="00210302">
        <w:rPr>
          <w:lang w:val="sv-SE"/>
        </w:rPr>
        <w:tab/>
      </w:r>
      <w:r w:rsidRPr="00A670CB">
        <w:rPr>
          <w:lang w:val="sv-SE"/>
        </w:rPr>
        <w:t xml:space="preserve">Denna föreskrift ska tillämpas </w:t>
      </w:r>
      <w:r>
        <w:rPr>
          <w:lang w:val="sv-SE"/>
        </w:rPr>
        <w:t>inom finskt territorium</w:t>
      </w:r>
      <w:r w:rsidRPr="00A670CB">
        <w:rPr>
          <w:lang w:val="sv-SE"/>
        </w:rPr>
        <w:t xml:space="preserve"> vid </w:t>
      </w:r>
      <w:r>
        <w:rPr>
          <w:lang w:val="sv-SE"/>
        </w:rPr>
        <w:t>sport</w:t>
      </w:r>
      <w:r w:rsidRPr="00A670CB">
        <w:rPr>
          <w:lang w:val="sv-SE"/>
        </w:rPr>
        <w:t xml:space="preserve">fallskärmshoppning från luftfartyg eller anordning </w:t>
      </w:r>
      <w:r>
        <w:rPr>
          <w:lang w:val="sv-SE"/>
        </w:rPr>
        <w:t>samt hoppflygning med luftfartyg som omfattas av nationell reglering</w:t>
      </w:r>
      <w:r w:rsidRPr="00A670CB">
        <w:rPr>
          <w:lang w:val="sv-SE"/>
        </w:rPr>
        <w:t>. Föreskriften gäller inte fallskärmshopp vid nödläge och inte heller sådana hopp som företas någon annanstans ifrån än från luftfartyg eller anor</w:t>
      </w:r>
      <w:r w:rsidRPr="00A670CB">
        <w:rPr>
          <w:lang w:val="sv-SE"/>
        </w:rPr>
        <w:t>d</w:t>
      </w:r>
      <w:r w:rsidRPr="00A670CB">
        <w:rPr>
          <w:lang w:val="sv-SE"/>
        </w:rPr>
        <w:t>ning</w:t>
      </w:r>
      <w:r w:rsidRPr="00AE05C7">
        <w:rPr>
          <w:lang w:val="sv-SE"/>
        </w:rPr>
        <w:t xml:space="preserve">.  </w:t>
      </w:r>
    </w:p>
    <w:p w14:paraId="4FD7C09B" w14:textId="77777777" w:rsidR="00210302" w:rsidRPr="00210302" w:rsidRDefault="00210302" w:rsidP="00210302">
      <w:pPr>
        <w:pStyle w:val="TwebOtsikko2"/>
        <w:rPr>
          <w:lang w:val="sv-SE"/>
        </w:rPr>
      </w:pPr>
      <w:bookmarkStart w:id="5" w:name="_Toc38959642"/>
      <w:bookmarkStart w:id="6" w:name="_Toc153980457"/>
      <w:r w:rsidRPr="00210302">
        <w:rPr>
          <w:lang w:val="sv-SE"/>
        </w:rPr>
        <w:lastRenderedPageBreak/>
        <w:t>1.2 Definitioner</w:t>
      </w:r>
      <w:bookmarkEnd w:id="5"/>
      <w:bookmarkEnd w:id="6"/>
    </w:p>
    <w:p w14:paraId="2304D918" w14:textId="77777777" w:rsidR="00210302" w:rsidRPr="00B80FED" w:rsidRDefault="00210302" w:rsidP="00210302">
      <w:pPr>
        <w:pStyle w:val="Twebnormiteksti"/>
        <w:ind w:left="709"/>
        <w:rPr>
          <w:lang w:val="sv-SE"/>
        </w:rPr>
      </w:pPr>
      <w:r w:rsidRPr="00B80FED">
        <w:rPr>
          <w:lang w:val="sv-SE"/>
        </w:rPr>
        <w:t>I denna luftfartsföreskrift avses med:</w:t>
      </w:r>
    </w:p>
    <w:p w14:paraId="0C093EF2" w14:textId="77777777" w:rsidR="00210302" w:rsidRPr="00B80FED" w:rsidRDefault="00210302" w:rsidP="00210302">
      <w:pPr>
        <w:pStyle w:val="Twebnormiteksti"/>
        <w:ind w:left="709"/>
        <w:rPr>
          <w:lang w:val="sv-SE"/>
        </w:rPr>
      </w:pPr>
      <w:r w:rsidRPr="00210302">
        <w:rPr>
          <w:rStyle w:val="Twebmritelm"/>
          <w:b w:val="0"/>
          <w:i/>
          <w:lang w:val="sv-SE"/>
        </w:rPr>
        <w:t>EFTA-stat</w:t>
      </w:r>
      <w:r w:rsidRPr="00B80FED">
        <w:rPr>
          <w:lang w:val="sv-SE"/>
        </w:rPr>
        <w:t xml:space="preserve"> en stat som undertecknat avtalet om </w:t>
      </w:r>
      <w:proofErr w:type="gramStart"/>
      <w:r w:rsidRPr="00B80FED">
        <w:rPr>
          <w:lang w:val="sv-SE"/>
        </w:rPr>
        <w:t>Europeiska</w:t>
      </w:r>
      <w:proofErr w:type="gramEnd"/>
      <w:r w:rsidRPr="00B80FED">
        <w:rPr>
          <w:lang w:val="sv-SE"/>
        </w:rPr>
        <w:t xml:space="preserve"> ekonomiska samarbetso</w:t>
      </w:r>
      <w:r w:rsidRPr="00B80FED">
        <w:rPr>
          <w:lang w:val="sv-SE"/>
        </w:rPr>
        <w:t>m</w:t>
      </w:r>
      <w:r w:rsidRPr="00B80FED">
        <w:rPr>
          <w:lang w:val="sv-SE"/>
        </w:rPr>
        <w:t>rådet</w:t>
      </w:r>
    </w:p>
    <w:p w14:paraId="59C0797E" w14:textId="77777777" w:rsidR="00210302" w:rsidRPr="00B80FED" w:rsidRDefault="00210302" w:rsidP="00210302">
      <w:pPr>
        <w:pStyle w:val="Twebnormiteksti"/>
        <w:ind w:left="709"/>
        <w:rPr>
          <w:lang w:val="sv-SE"/>
        </w:rPr>
      </w:pPr>
      <w:r w:rsidRPr="00210302">
        <w:rPr>
          <w:rStyle w:val="Twebmritelm"/>
          <w:b w:val="0"/>
          <w:i/>
          <w:lang w:val="sv-SE"/>
        </w:rPr>
        <w:t>FAI</w:t>
      </w:r>
      <w:r w:rsidRPr="00B80FED">
        <w:rPr>
          <w:lang w:val="sv-SE"/>
        </w:rPr>
        <w:t xml:space="preserve"> internationella flygsportsförbundet (</w:t>
      </w:r>
      <w:proofErr w:type="spellStart"/>
      <w:r w:rsidRPr="00B80FED">
        <w:rPr>
          <w:lang w:val="sv-SE"/>
        </w:rPr>
        <w:t>Fédération</w:t>
      </w:r>
      <w:proofErr w:type="spellEnd"/>
      <w:r w:rsidRPr="00B80FED">
        <w:rPr>
          <w:lang w:val="sv-SE"/>
        </w:rPr>
        <w:t xml:space="preserve"> </w:t>
      </w:r>
      <w:proofErr w:type="spellStart"/>
      <w:r w:rsidRPr="00B80FED">
        <w:rPr>
          <w:lang w:val="sv-SE"/>
        </w:rPr>
        <w:t>Aéronautique</w:t>
      </w:r>
      <w:proofErr w:type="spellEnd"/>
      <w:r w:rsidRPr="00B80FED">
        <w:rPr>
          <w:lang w:val="sv-SE"/>
        </w:rPr>
        <w:t xml:space="preserve"> </w:t>
      </w:r>
      <w:proofErr w:type="spellStart"/>
      <w:r w:rsidRPr="00B80FED">
        <w:rPr>
          <w:lang w:val="sv-SE"/>
        </w:rPr>
        <w:t>Internationale</w:t>
      </w:r>
      <w:proofErr w:type="spellEnd"/>
      <w:r w:rsidRPr="00B80FED">
        <w:rPr>
          <w:lang w:val="sv-SE"/>
        </w:rPr>
        <w:t xml:space="preserve"> – FAI)</w:t>
      </w:r>
    </w:p>
    <w:p w14:paraId="4801BDBA" w14:textId="77777777" w:rsidR="00210302" w:rsidRPr="00204E7F" w:rsidRDefault="00210302" w:rsidP="00210302">
      <w:pPr>
        <w:pStyle w:val="Twebnormiteksti"/>
        <w:ind w:left="709"/>
        <w:rPr>
          <w:rStyle w:val="Twebmritelm"/>
          <w:b w:val="0"/>
          <w:lang w:val="sv-SE"/>
        </w:rPr>
      </w:pPr>
      <w:r w:rsidRPr="00204E7F">
        <w:rPr>
          <w:rStyle w:val="Twebmritelm"/>
          <w:b w:val="0"/>
          <w:i/>
          <w:lang w:val="sv-SE"/>
        </w:rPr>
        <w:t xml:space="preserve">luftfartyg som omfattas av nationell reglering </w:t>
      </w:r>
      <w:r>
        <w:rPr>
          <w:szCs w:val="20"/>
          <w:lang w:val="sv-SE"/>
        </w:rPr>
        <w:t>sådant luftfartyg</w:t>
      </w:r>
      <w:r w:rsidRPr="00204E7F">
        <w:rPr>
          <w:szCs w:val="20"/>
          <w:lang w:val="sv-SE"/>
        </w:rPr>
        <w:t xml:space="preserve"> som enligt </w:t>
      </w:r>
      <w:proofErr w:type="gramStart"/>
      <w:r w:rsidRPr="00204E7F">
        <w:rPr>
          <w:szCs w:val="20"/>
          <w:lang w:val="sv-SE"/>
        </w:rPr>
        <w:t>EASAs</w:t>
      </w:r>
      <w:proofErr w:type="gramEnd"/>
      <w:r w:rsidRPr="00204E7F">
        <w:rPr>
          <w:szCs w:val="20"/>
          <w:lang w:val="sv-SE"/>
        </w:rPr>
        <w:t xml:space="preserve"> grun</w:t>
      </w:r>
      <w:r w:rsidRPr="00204E7F">
        <w:rPr>
          <w:szCs w:val="20"/>
          <w:lang w:val="sv-SE"/>
        </w:rPr>
        <w:t>d</w:t>
      </w:r>
      <w:r w:rsidRPr="00204E7F">
        <w:rPr>
          <w:szCs w:val="20"/>
          <w:lang w:val="sv-SE"/>
        </w:rPr>
        <w:t>förordning (E</w:t>
      </w:r>
      <w:r>
        <w:rPr>
          <w:szCs w:val="20"/>
          <w:lang w:val="sv-SE"/>
        </w:rPr>
        <w:t>U</w:t>
      </w:r>
      <w:r w:rsidRPr="00204E7F">
        <w:rPr>
          <w:szCs w:val="20"/>
          <w:lang w:val="sv-SE"/>
        </w:rPr>
        <w:t xml:space="preserve">) </w:t>
      </w:r>
      <w:r>
        <w:rPr>
          <w:szCs w:val="20"/>
          <w:lang w:val="sv-SE"/>
        </w:rPr>
        <w:t>2018/1139</w:t>
      </w:r>
      <w:r>
        <w:rPr>
          <w:rStyle w:val="Alaviitteenviite"/>
          <w:szCs w:val="20"/>
          <w:lang w:val="sv-SE"/>
        </w:rPr>
        <w:footnoteReference w:id="1"/>
      </w:r>
      <w:r w:rsidRPr="00204E7F">
        <w:rPr>
          <w:szCs w:val="20"/>
          <w:lang w:val="sv-SE"/>
        </w:rPr>
        <w:t xml:space="preserve"> artikel </w:t>
      </w:r>
      <w:r>
        <w:rPr>
          <w:szCs w:val="20"/>
          <w:lang w:val="sv-SE"/>
        </w:rPr>
        <w:t>2</w:t>
      </w:r>
      <w:r w:rsidRPr="00204E7F">
        <w:rPr>
          <w:szCs w:val="20"/>
          <w:lang w:val="sv-SE"/>
        </w:rPr>
        <w:t xml:space="preserve"> </w:t>
      </w:r>
      <w:r>
        <w:rPr>
          <w:szCs w:val="20"/>
          <w:lang w:val="sv-SE"/>
        </w:rPr>
        <w:t xml:space="preserve">eller </w:t>
      </w:r>
      <w:r w:rsidRPr="00204E7F">
        <w:rPr>
          <w:szCs w:val="20"/>
          <w:lang w:val="sv-SE"/>
        </w:rPr>
        <w:t>bilaga I</w:t>
      </w:r>
      <w:r>
        <w:rPr>
          <w:szCs w:val="20"/>
          <w:lang w:val="sv-SE"/>
        </w:rPr>
        <w:t xml:space="preserve"> inte omfattas av EU-reglering</w:t>
      </w:r>
    </w:p>
    <w:p w14:paraId="05D85214" w14:textId="77777777" w:rsidR="00210302" w:rsidRPr="00283B46" w:rsidRDefault="00210302" w:rsidP="00210302">
      <w:pPr>
        <w:pStyle w:val="Twebnormiteksti"/>
        <w:ind w:left="709"/>
        <w:rPr>
          <w:rStyle w:val="Twebmritelm"/>
          <w:b w:val="0"/>
          <w:i/>
          <w:lang w:val="sv-SE"/>
        </w:rPr>
      </w:pPr>
      <w:r w:rsidRPr="00AE05C7">
        <w:rPr>
          <w:rStyle w:val="Twebmritelm"/>
          <w:b w:val="0"/>
          <w:i/>
          <w:lang w:val="sv-SE"/>
        </w:rPr>
        <w:t>utbildningsbevis</w:t>
      </w:r>
      <w:r w:rsidRPr="00B80FED">
        <w:rPr>
          <w:lang w:val="sv-SE"/>
        </w:rPr>
        <w:t xml:space="preserve"> av instruktör utfärdat skriftligt bevis över godkänt utförd utbildning e</w:t>
      </w:r>
      <w:r w:rsidRPr="00B80FED">
        <w:rPr>
          <w:lang w:val="sv-SE"/>
        </w:rPr>
        <w:t>l</w:t>
      </w:r>
      <w:r w:rsidRPr="00B80FED">
        <w:rPr>
          <w:lang w:val="sv-SE"/>
        </w:rPr>
        <w:t>ler av FAI:s medlemsorganisation utfärdat kompetensbevis för fallskärmshoppare mo</w:t>
      </w:r>
      <w:r w:rsidRPr="00B80FED">
        <w:rPr>
          <w:lang w:val="sv-SE"/>
        </w:rPr>
        <w:t>t</w:t>
      </w:r>
      <w:r w:rsidRPr="00B80FED">
        <w:rPr>
          <w:lang w:val="sv-SE"/>
        </w:rPr>
        <w:t xml:space="preserve">svarande FAI:s </w:t>
      </w:r>
      <w:proofErr w:type="spellStart"/>
      <w:r w:rsidRPr="00B80FED">
        <w:rPr>
          <w:lang w:val="sv-SE"/>
        </w:rPr>
        <w:t>Parachuting</w:t>
      </w:r>
      <w:proofErr w:type="spellEnd"/>
      <w:r w:rsidRPr="00B80FED">
        <w:rPr>
          <w:lang w:val="sv-SE"/>
        </w:rPr>
        <w:t xml:space="preserve"> </w:t>
      </w:r>
      <w:proofErr w:type="spellStart"/>
      <w:r w:rsidRPr="00B80FED">
        <w:rPr>
          <w:lang w:val="sv-SE"/>
        </w:rPr>
        <w:t>Certificate</w:t>
      </w:r>
      <w:proofErr w:type="spellEnd"/>
      <w:r w:rsidRPr="00B80FED">
        <w:rPr>
          <w:lang w:val="sv-SE"/>
        </w:rPr>
        <w:t xml:space="preserve"> </w:t>
      </w:r>
      <w:proofErr w:type="spellStart"/>
      <w:r w:rsidRPr="00B80FED">
        <w:rPr>
          <w:lang w:val="sv-SE"/>
        </w:rPr>
        <w:t>of</w:t>
      </w:r>
      <w:proofErr w:type="spellEnd"/>
      <w:r w:rsidRPr="00B80FED">
        <w:rPr>
          <w:lang w:val="sv-SE"/>
        </w:rPr>
        <w:t xml:space="preserve"> </w:t>
      </w:r>
      <w:proofErr w:type="spellStart"/>
      <w:r w:rsidRPr="00B80FED">
        <w:rPr>
          <w:lang w:val="sv-SE"/>
        </w:rPr>
        <w:t>Proficiency</w:t>
      </w:r>
      <w:proofErr w:type="spellEnd"/>
      <w:r w:rsidRPr="00B80FED">
        <w:rPr>
          <w:lang w:val="sv-SE"/>
        </w:rPr>
        <w:t xml:space="preserve"> nivå A, som ger rätt att hoppa självständigt. Kompetensbeviset anses motsvara i denna föreskrift avsett utbildning</w:t>
      </w:r>
      <w:r w:rsidRPr="00B80FED">
        <w:rPr>
          <w:lang w:val="sv-SE"/>
        </w:rPr>
        <w:t>s</w:t>
      </w:r>
      <w:r w:rsidRPr="00B80FED">
        <w:rPr>
          <w:lang w:val="sv-SE"/>
        </w:rPr>
        <w:t>bevis, om fallskärmshopparen uppfyller kraven på erfarenhet, utbildning och ålder</w:t>
      </w:r>
    </w:p>
    <w:p w14:paraId="56D18402" w14:textId="77777777" w:rsidR="00210302" w:rsidRPr="00B80FED" w:rsidRDefault="00210302" w:rsidP="00210302">
      <w:pPr>
        <w:pStyle w:val="Twebnormiteksti"/>
        <w:ind w:left="709"/>
        <w:rPr>
          <w:lang w:val="sv-SE"/>
        </w:rPr>
      </w:pPr>
      <w:r w:rsidRPr="00283B46">
        <w:rPr>
          <w:rStyle w:val="Twebmritelm"/>
          <w:b w:val="0"/>
          <w:i/>
          <w:lang w:val="sv-SE"/>
        </w:rPr>
        <w:t>anordning</w:t>
      </w:r>
      <w:r w:rsidRPr="00B80FED">
        <w:rPr>
          <w:lang w:val="sv-SE"/>
        </w:rPr>
        <w:t xml:space="preserve"> i </w:t>
      </w:r>
      <w:r>
        <w:rPr>
          <w:lang w:val="sv-SE"/>
        </w:rPr>
        <w:t>9</w:t>
      </w:r>
      <w:r w:rsidRPr="00B80FED">
        <w:rPr>
          <w:lang w:val="sv-SE"/>
        </w:rPr>
        <w:t xml:space="preserve"> § 2 mom. i luftfartslagen avsedd anordning</w:t>
      </w:r>
      <w:r>
        <w:rPr>
          <w:lang w:val="sv-SE"/>
        </w:rPr>
        <w:t>, såsom tyngdpunktsstyrt ul</w:t>
      </w:r>
      <w:r>
        <w:rPr>
          <w:lang w:val="sv-SE"/>
        </w:rPr>
        <w:t>t</w:t>
      </w:r>
      <w:r>
        <w:rPr>
          <w:lang w:val="sv-SE"/>
        </w:rPr>
        <w:t>ralätt flygplan</w:t>
      </w:r>
    </w:p>
    <w:p w14:paraId="3EC22A27" w14:textId="77777777" w:rsidR="00210302" w:rsidRPr="00B80FED" w:rsidRDefault="00210302" w:rsidP="00210302">
      <w:pPr>
        <w:pStyle w:val="Twebnormiteksti"/>
        <w:ind w:left="709"/>
        <w:rPr>
          <w:lang w:val="sv-SE"/>
        </w:rPr>
      </w:pPr>
      <w:r w:rsidRPr="00AE05C7">
        <w:rPr>
          <w:rStyle w:val="Twebmritelm"/>
          <w:b w:val="0"/>
          <w:i/>
          <w:lang w:val="sv-SE"/>
        </w:rPr>
        <w:t>fallskärm</w:t>
      </w:r>
      <w:r w:rsidRPr="00B80FED">
        <w:rPr>
          <w:lang w:val="sv-SE"/>
        </w:rPr>
        <w:t xml:space="preserve"> i </w:t>
      </w:r>
      <w:r>
        <w:rPr>
          <w:lang w:val="sv-SE"/>
        </w:rPr>
        <w:t>9</w:t>
      </w:r>
      <w:r w:rsidRPr="00B80FED">
        <w:rPr>
          <w:lang w:val="sv-SE"/>
        </w:rPr>
        <w:t xml:space="preserve"> § </w:t>
      </w:r>
      <w:r>
        <w:rPr>
          <w:lang w:val="sv-SE"/>
        </w:rPr>
        <w:t>5</w:t>
      </w:r>
      <w:r w:rsidRPr="00B80FED">
        <w:rPr>
          <w:lang w:val="sv-SE"/>
        </w:rPr>
        <w:t xml:space="preserve"> mom. i luftfartslagen avsedd sportfallskärm, som är en anordning a</w:t>
      </w:r>
      <w:r w:rsidRPr="00B80FED">
        <w:rPr>
          <w:lang w:val="sv-SE"/>
        </w:rPr>
        <w:t>v</w:t>
      </w:r>
      <w:r w:rsidRPr="00B80FED">
        <w:rPr>
          <w:lang w:val="sv-SE"/>
        </w:rPr>
        <w:t>sedd att användas vid luftfart i syfte att minska fallhastigheten. Om ingen närmare sp</w:t>
      </w:r>
      <w:r w:rsidRPr="00B80FED">
        <w:rPr>
          <w:lang w:val="sv-SE"/>
        </w:rPr>
        <w:t>e</w:t>
      </w:r>
      <w:r w:rsidRPr="00B80FED">
        <w:rPr>
          <w:lang w:val="sv-SE"/>
        </w:rPr>
        <w:t>cifikation behövs, används i denna föreskrift nedan för sportfallskärm den allmänna b</w:t>
      </w:r>
      <w:r w:rsidRPr="00B80FED">
        <w:rPr>
          <w:lang w:val="sv-SE"/>
        </w:rPr>
        <w:t>e</w:t>
      </w:r>
      <w:r w:rsidRPr="00B80FED">
        <w:rPr>
          <w:lang w:val="sv-SE"/>
        </w:rPr>
        <w:t>nämningen fallskärm</w:t>
      </w:r>
    </w:p>
    <w:p w14:paraId="39D7E373" w14:textId="77777777" w:rsidR="00210302" w:rsidRPr="00B80FED" w:rsidRDefault="00210302" w:rsidP="00210302">
      <w:pPr>
        <w:pStyle w:val="Twebnormiteksti"/>
        <w:ind w:left="709"/>
        <w:rPr>
          <w:lang w:val="sv-SE"/>
        </w:rPr>
      </w:pPr>
      <w:proofErr w:type="gramStart"/>
      <w:r w:rsidRPr="00210302">
        <w:rPr>
          <w:rStyle w:val="Twebmritelm"/>
          <w:b w:val="0"/>
          <w:i/>
          <w:lang w:val="sv-SE"/>
        </w:rPr>
        <w:t>fallskärmshopp</w:t>
      </w:r>
      <w:r w:rsidRPr="00B80FED">
        <w:rPr>
          <w:lang w:val="sv-SE"/>
        </w:rPr>
        <w:t xml:space="preserve"> hopp</w:t>
      </w:r>
      <w:proofErr w:type="gramEnd"/>
      <w:r w:rsidRPr="00B80FED">
        <w:rPr>
          <w:lang w:val="sv-SE"/>
        </w:rPr>
        <w:t xml:space="preserve"> med fallskärm som företas från luftfartyg eller anordning</w:t>
      </w:r>
    </w:p>
    <w:p w14:paraId="2A3D7EFB" w14:textId="77777777" w:rsidR="00210302" w:rsidRPr="00B80FED" w:rsidRDefault="00210302" w:rsidP="00210302">
      <w:pPr>
        <w:pStyle w:val="Twebnormiteksti"/>
        <w:ind w:left="709"/>
        <w:rPr>
          <w:lang w:val="sv-SE"/>
        </w:rPr>
      </w:pPr>
      <w:proofErr w:type="gramStart"/>
      <w:r w:rsidRPr="00210302">
        <w:rPr>
          <w:rStyle w:val="Twebmritelm"/>
          <w:b w:val="0"/>
          <w:i/>
          <w:lang w:val="sv-SE"/>
        </w:rPr>
        <w:t>hoppinstruktör</w:t>
      </w:r>
      <w:r w:rsidRPr="00B80FED">
        <w:rPr>
          <w:lang w:val="sv-SE"/>
        </w:rPr>
        <w:t xml:space="preserve"> person</w:t>
      </w:r>
      <w:proofErr w:type="gramEnd"/>
      <w:r w:rsidRPr="00B80FED">
        <w:rPr>
          <w:lang w:val="sv-SE"/>
        </w:rPr>
        <w:t xml:space="preserve"> som uppfyller kraven i punkt 4.1.2 och som ger utbildning i a</w:t>
      </w:r>
      <w:r w:rsidRPr="00B80FED">
        <w:rPr>
          <w:lang w:val="sv-SE"/>
        </w:rPr>
        <w:t>n</w:t>
      </w:r>
      <w:r w:rsidRPr="00B80FED">
        <w:rPr>
          <w:lang w:val="sv-SE"/>
        </w:rPr>
        <w:t>slutning till fallskärmshoppning</w:t>
      </w:r>
    </w:p>
    <w:p w14:paraId="143D329C" w14:textId="77777777" w:rsidR="00210302" w:rsidRPr="00B80FED" w:rsidRDefault="00210302" w:rsidP="00210302">
      <w:pPr>
        <w:pStyle w:val="Twebnormiteksti"/>
        <w:ind w:left="709"/>
        <w:rPr>
          <w:lang w:val="sv-SE"/>
        </w:rPr>
      </w:pPr>
      <w:r w:rsidRPr="00210302">
        <w:rPr>
          <w:rStyle w:val="Twebmritelm"/>
          <w:b w:val="0"/>
          <w:i/>
          <w:lang w:val="sv-SE"/>
        </w:rPr>
        <w:t>hoppflygning</w:t>
      </w:r>
      <w:r w:rsidRPr="00B80FED">
        <w:rPr>
          <w:lang w:val="sv-SE"/>
        </w:rPr>
        <w:t xml:space="preserve"> flygning, varvid luftfartyg eller anordning används för att fälla fallskärm</w:t>
      </w:r>
      <w:r w:rsidRPr="00B80FED">
        <w:rPr>
          <w:lang w:val="sv-SE"/>
        </w:rPr>
        <w:t>s</w:t>
      </w:r>
      <w:r w:rsidRPr="00B80FED">
        <w:rPr>
          <w:lang w:val="sv-SE"/>
        </w:rPr>
        <w:t>hoppare</w:t>
      </w:r>
    </w:p>
    <w:p w14:paraId="0ACB52D5" w14:textId="77777777" w:rsidR="00210302" w:rsidRPr="00B80FED" w:rsidRDefault="00210302" w:rsidP="00210302">
      <w:pPr>
        <w:pStyle w:val="Twebnormiteksti"/>
        <w:ind w:left="709"/>
        <w:rPr>
          <w:lang w:val="sv-SE"/>
        </w:rPr>
      </w:pPr>
      <w:r w:rsidRPr="00AE05C7">
        <w:rPr>
          <w:rStyle w:val="Twebmritelm"/>
          <w:b w:val="0"/>
          <w:i/>
          <w:lang w:val="sv-SE"/>
        </w:rPr>
        <w:t>fallskärmshoppning</w:t>
      </w:r>
      <w:r w:rsidRPr="00B80FED">
        <w:rPr>
          <w:lang w:val="sv-SE"/>
        </w:rPr>
        <w:t xml:space="preserve"> användning av ovan avsedd fallskärm vid luftfart i samband med fallskärmshopp antingen som anordning i syfte att minska fallhastigheten eller som fritt flygande anordning</w:t>
      </w:r>
    </w:p>
    <w:p w14:paraId="353565C9" w14:textId="77777777" w:rsidR="00210302" w:rsidRPr="00AE05C7" w:rsidRDefault="00210302" w:rsidP="00210302">
      <w:pPr>
        <w:pStyle w:val="Twebnormiteksti"/>
        <w:ind w:left="709"/>
        <w:rPr>
          <w:lang w:val="sv-SE"/>
        </w:rPr>
      </w:pPr>
      <w:r w:rsidRPr="00210302">
        <w:rPr>
          <w:rStyle w:val="Twebmritelm"/>
          <w:b w:val="0"/>
          <w:i/>
          <w:lang w:val="sv-SE"/>
        </w:rPr>
        <w:t>fallskärmskontrollant</w:t>
      </w:r>
      <w:r w:rsidRPr="00B80FED">
        <w:rPr>
          <w:lang w:val="sv-SE"/>
        </w:rPr>
        <w:t xml:space="preserve"> person som uppfyller kraven i punkt 4.1.3 och som utför tillsyn och underhåll av fallskärmar samt bygger delar till fallskärmar eller delar som</w:t>
      </w:r>
      <w:r>
        <w:rPr>
          <w:lang w:val="sv-SE"/>
        </w:rPr>
        <w:t xml:space="preserve"> ersätter fallskärmskomponenter</w:t>
      </w:r>
      <w:r w:rsidRPr="00AE05C7">
        <w:rPr>
          <w:lang w:val="sv-SE"/>
        </w:rPr>
        <w:t>.</w:t>
      </w:r>
    </w:p>
    <w:p w14:paraId="5C8E9088" w14:textId="77777777" w:rsidR="00210302" w:rsidRPr="00AE05C7" w:rsidRDefault="00210302" w:rsidP="00210302">
      <w:pPr>
        <w:pStyle w:val="TwebOtsikko1"/>
        <w:rPr>
          <w:lang w:val="sv-SE"/>
        </w:rPr>
      </w:pPr>
      <w:bookmarkStart w:id="7" w:name="_Toc38959643"/>
      <w:bookmarkStart w:id="8" w:name="_Toc153980458"/>
      <w:r w:rsidRPr="00AE05C7">
        <w:rPr>
          <w:lang w:val="sv-SE"/>
        </w:rPr>
        <w:t>2. TEKNISKA FÖRESKRIFTER</w:t>
      </w:r>
      <w:bookmarkEnd w:id="7"/>
      <w:bookmarkEnd w:id="8"/>
    </w:p>
    <w:p w14:paraId="644B9A4E" w14:textId="77777777" w:rsidR="00210302" w:rsidRPr="00AE05C7" w:rsidRDefault="00210302" w:rsidP="00210302">
      <w:pPr>
        <w:pStyle w:val="TwebOtsikko2"/>
        <w:rPr>
          <w:lang w:val="sv-SE"/>
        </w:rPr>
      </w:pPr>
      <w:bookmarkStart w:id="9" w:name="_Toc38959644"/>
      <w:bookmarkStart w:id="10" w:name="_Toc153980459"/>
      <w:r w:rsidRPr="00AE05C7">
        <w:rPr>
          <w:lang w:val="sv-SE"/>
        </w:rPr>
        <w:t>2.1 Godkännanden</w:t>
      </w:r>
      <w:bookmarkEnd w:id="9"/>
      <w:bookmarkEnd w:id="10"/>
    </w:p>
    <w:p w14:paraId="436B8790" w14:textId="77777777" w:rsidR="00210302" w:rsidRPr="00327434" w:rsidRDefault="00210302" w:rsidP="00210302">
      <w:pPr>
        <w:pStyle w:val="Twebnormiteksti"/>
        <w:tabs>
          <w:tab w:val="left" w:pos="851"/>
        </w:tabs>
        <w:ind w:left="851" w:hanging="851"/>
        <w:rPr>
          <w:lang w:val="sv-SE"/>
        </w:rPr>
      </w:pPr>
      <w:r w:rsidRPr="00327434">
        <w:rPr>
          <w:lang w:val="sv-SE"/>
        </w:rPr>
        <w:t>2.1.1 Huvudskärm</w:t>
      </w:r>
    </w:p>
    <w:p w14:paraId="0F3C885E" w14:textId="77777777" w:rsidR="00210302" w:rsidRPr="00327434" w:rsidRDefault="00210302" w:rsidP="00210302">
      <w:pPr>
        <w:pStyle w:val="Twebnormiteksti"/>
        <w:tabs>
          <w:tab w:val="left" w:pos="851"/>
        </w:tabs>
        <w:ind w:left="851" w:hanging="851"/>
        <w:rPr>
          <w:lang w:val="sv-SE"/>
        </w:rPr>
      </w:pPr>
      <w:r w:rsidRPr="00327434">
        <w:rPr>
          <w:lang w:val="sv-SE"/>
        </w:rPr>
        <w:t>2.1.1.1 Den typ av huvudskärm som används vid utbildning som ger kompetens som själv-ständig hoppare och vid tandemhopp ska lämpa sig för verksamheten och ha en i</w:t>
      </w:r>
      <w:r w:rsidRPr="00327434">
        <w:rPr>
          <w:lang w:val="sv-SE"/>
        </w:rPr>
        <w:t>n</w:t>
      </w:r>
      <w:r w:rsidRPr="00327434">
        <w:rPr>
          <w:lang w:val="sv-SE"/>
        </w:rPr>
        <w:t>struktion</w:t>
      </w:r>
      <w:r w:rsidRPr="00327434">
        <w:rPr>
          <w:lang w:val="sv-SE"/>
        </w:rPr>
        <w:t>s</w:t>
      </w:r>
      <w:r w:rsidRPr="00327434">
        <w:rPr>
          <w:lang w:val="sv-SE"/>
        </w:rPr>
        <w:t>bok.</w:t>
      </w:r>
    </w:p>
    <w:p w14:paraId="20482497" w14:textId="77777777" w:rsidR="00210302" w:rsidRPr="00210302" w:rsidRDefault="00210302" w:rsidP="00210302">
      <w:pPr>
        <w:pStyle w:val="Twebnormiteksti"/>
        <w:tabs>
          <w:tab w:val="left" w:pos="851"/>
        </w:tabs>
        <w:ind w:left="851" w:hanging="851"/>
        <w:rPr>
          <w:lang w:val="sv-SE"/>
        </w:rPr>
      </w:pPr>
      <w:r w:rsidRPr="00210302">
        <w:rPr>
          <w:lang w:val="sv-SE"/>
        </w:rPr>
        <w:t>2.1.1.2 Huvudskärm som används vid andra fallskärmshopp ska till konstruktion, material, tillverkningssätt och egenskaper vara av sådan typ som allmänt lämpar sig för änd</w:t>
      </w:r>
      <w:r w:rsidRPr="00210302">
        <w:rPr>
          <w:lang w:val="sv-SE"/>
        </w:rPr>
        <w:t>a</w:t>
      </w:r>
      <w:r w:rsidRPr="00210302">
        <w:rPr>
          <w:lang w:val="sv-SE"/>
        </w:rPr>
        <w:t xml:space="preserve">målet. </w:t>
      </w:r>
    </w:p>
    <w:p w14:paraId="0AB06F4E" w14:textId="77777777" w:rsidR="00210302" w:rsidRPr="00210302" w:rsidRDefault="00210302" w:rsidP="00210302">
      <w:pPr>
        <w:pStyle w:val="Twebnormiteksti"/>
        <w:tabs>
          <w:tab w:val="left" w:pos="851"/>
        </w:tabs>
        <w:ind w:left="851" w:hanging="851"/>
        <w:rPr>
          <w:lang w:val="sv-SE"/>
        </w:rPr>
      </w:pPr>
      <w:r w:rsidRPr="00210302">
        <w:rPr>
          <w:lang w:val="sv-SE"/>
        </w:rPr>
        <w:t>2.1.2 Reservskärm och rigg</w:t>
      </w:r>
    </w:p>
    <w:p w14:paraId="2DAAAA86" w14:textId="77777777" w:rsidR="00210302" w:rsidRPr="00210302" w:rsidRDefault="00210302" w:rsidP="00210302">
      <w:pPr>
        <w:pStyle w:val="Twebnormiteksti"/>
        <w:tabs>
          <w:tab w:val="left" w:pos="851"/>
        </w:tabs>
        <w:ind w:left="851" w:hanging="851"/>
        <w:rPr>
          <w:lang w:val="sv-SE"/>
        </w:rPr>
      </w:pPr>
      <w:r w:rsidRPr="00210302">
        <w:rPr>
          <w:lang w:val="sv-SE"/>
        </w:rPr>
        <w:lastRenderedPageBreak/>
        <w:t>2.1.2.1 I Finland får användas sådana typer av reservskärm och rigg som är lagligt tillverkade eller marknadsförda i en medlemsstat i unionen eller tillverkade i en EFTA-stat, eller godkända i en medlemsstat i unionen eller EFTA-stat.</w:t>
      </w:r>
    </w:p>
    <w:p w14:paraId="075CB073" w14:textId="77777777" w:rsidR="00210302" w:rsidRPr="00210302" w:rsidRDefault="00210302" w:rsidP="00210302">
      <w:pPr>
        <w:pStyle w:val="Twebnormiteksti"/>
        <w:tabs>
          <w:tab w:val="left" w:pos="851"/>
        </w:tabs>
        <w:ind w:left="851" w:hanging="851"/>
        <w:rPr>
          <w:lang w:val="sv-SE"/>
        </w:rPr>
      </w:pPr>
      <w:r w:rsidRPr="00210302">
        <w:rPr>
          <w:lang w:val="sv-SE"/>
        </w:rPr>
        <w:t>2.1.2.2 Utöver ovan nämnda typer av reservskärm och rigg får också sådana typer av reserv-skärm eller rigg användas som godkänts av en behörig myndighet i respektive til</w:t>
      </w:r>
      <w:r w:rsidRPr="00210302">
        <w:rPr>
          <w:lang w:val="sv-SE"/>
        </w:rPr>
        <w:t>l</w:t>
      </w:r>
      <w:r w:rsidRPr="00210302">
        <w:rPr>
          <w:lang w:val="sv-SE"/>
        </w:rPr>
        <w:t xml:space="preserve">verkningsland (stat som inte hör till </w:t>
      </w:r>
      <w:proofErr w:type="gramStart"/>
      <w:r w:rsidRPr="00210302">
        <w:rPr>
          <w:lang w:val="sv-SE"/>
        </w:rPr>
        <w:t>Europeiska</w:t>
      </w:r>
      <w:proofErr w:type="gramEnd"/>
      <w:r w:rsidRPr="00210302">
        <w:rPr>
          <w:lang w:val="sv-SE"/>
        </w:rPr>
        <w:t xml:space="preserve"> ekonomiska samarbetsområdet) och som motsvarar kraven i ETSO C23, JTSO C23, TSO C23 eller till sin tekniska nivå motsv</w:t>
      </w:r>
      <w:r w:rsidRPr="00210302">
        <w:rPr>
          <w:lang w:val="sv-SE"/>
        </w:rPr>
        <w:t>a</w:t>
      </w:r>
      <w:r w:rsidRPr="00210302">
        <w:rPr>
          <w:lang w:val="sv-SE"/>
        </w:rPr>
        <w:t>rande krav.</w:t>
      </w:r>
    </w:p>
    <w:p w14:paraId="09E9D01F" w14:textId="77777777" w:rsidR="00210302" w:rsidRPr="00210302" w:rsidRDefault="00210302" w:rsidP="00210302">
      <w:pPr>
        <w:pStyle w:val="Twebnormiteksti"/>
        <w:tabs>
          <w:tab w:val="left" w:pos="851"/>
        </w:tabs>
        <w:ind w:left="851" w:hanging="851"/>
        <w:rPr>
          <w:lang w:val="sv-SE"/>
        </w:rPr>
      </w:pPr>
      <w:r w:rsidRPr="00210302">
        <w:rPr>
          <w:lang w:val="sv-SE"/>
        </w:rPr>
        <w:t xml:space="preserve">2.1.3 Reservskärmens </w:t>
      </w:r>
      <w:proofErr w:type="spellStart"/>
      <w:r w:rsidRPr="00210302">
        <w:rPr>
          <w:lang w:val="sv-SE"/>
        </w:rPr>
        <w:t>automatutlösare</w:t>
      </w:r>
      <w:proofErr w:type="spellEnd"/>
    </w:p>
    <w:p w14:paraId="69E1EC68" w14:textId="77777777" w:rsidR="00210302" w:rsidRPr="00210302" w:rsidRDefault="00210302" w:rsidP="00210302">
      <w:pPr>
        <w:pStyle w:val="Twebnormiteksti"/>
        <w:tabs>
          <w:tab w:val="left" w:pos="851"/>
        </w:tabs>
        <w:ind w:left="851" w:hanging="851"/>
        <w:rPr>
          <w:lang w:val="sv-SE"/>
        </w:rPr>
      </w:pPr>
      <w:r w:rsidRPr="00210302">
        <w:rPr>
          <w:lang w:val="sv-SE"/>
        </w:rPr>
        <w:t xml:space="preserve">2.1.3.1 I Finland får användas sådana typer av </w:t>
      </w:r>
      <w:proofErr w:type="spellStart"/>
      <w:r w:rsidRPr="00210302">
        <w:rPr>
          <w:lang w:val="sv-SE"/>
        </w:rPr>
        <w:t>automatutlösare</w:t>
      </w:r>
      <w:proofErr w:type="spellEnd"/>
      <w:r w:rsidRPr="00210302">
        <w:rPr>
          <w:lang w:val="sv-SE"/>
        </w:rPr>
        <w:t xml:space="preserve"> som är lagligt tillverkade eller marknadsförda i en medlemsstat i unionen eller tillverkade i en EFTA-stat, eller go</w:t>
      </w:r>
      <w:r w:rsidRPr="00210302">
        <w:rPr>
          <w:lang w:val="sv-SE"/>
        </w:rPr>
        <w:t>d</w:t>
      </w:r>
      <w:r w:rsidRPr="00210302">
        <w:rPr>
          <w:lang w:val="sv-SE"/>
        </w:rPr>
        <w:t>kända i en medlemsstat i unionen eller EFTA-stat.</w:t>
      </w:r>
      <w:r w:rsidRPr="00210302">
        <w:rPr>
          <w:lang w:val="sv-SE"/>
        </w:rPr>
        <w:tab/>
      </w:r>
    </w:p>
    <w:p w14:paraId="1B3745FF" w14:textId="77777777" w:rsidR="00210302" w:rsidRPr="00210302" w:rsidRDefault="00210302" w:rsidP="00210302">
      <w:pPr>
        <w:pStyle w:val="TwebOtsikko2"/>
        <w:rPr>
          <w:lang w:val="sv-SE"/>
        </w:rPr>
      </w:pPr>
      <w:bookmarkStart w:id="11" w:name="_Toc38959645"/>
      <w:bookmarkStart w:id="12" w:name="_Toc153980460"/>
      <w:r w:rsidRPr="00210302">
        <w:rPr>
          <w:lang w:val="sv-SE"/>
        </w:rPr>
        <w:t>2.2 Krav vid tävlings- och uppvisningsverksamhet</w:t>
      </w:r>
      <w:bookmarkEnd w:id="11"/>
      <w:bookmarkEnd w:id="12"/>
    </w:p>
    <w:p w14:paraId="328516E9" w14:textId="77777777" w:rsidR="00210302" w:rsidRPr="00210302" w:rsidRDefault="00210302" w:rsidP="00210302">
      <w:pPr>
        <w:pStyle w:val="Twebnormiteksti"/>
        <w:ind w:left="709"/>
        <w:rPr>
          <w:lang w:val="sv-SE"/>
        </w:rPr>
      </w:pPr>
      <w:r w:rsidRPr="00BD1508">
        <w:rPr>
          <w:lang w:val="sv-SE"/>
        </w:rPr>
        <w:t>Vid tävlings- eller uppvisningsverksamhet eller annan därmed jämförbar luftfartsver</w:t>
      </w:r>
      <w:r w:rsidRPr="00BD1508">
        <w:rPr>
          <w:lang w:val="sv-SE"/>
        </w:rPr>
        <w:t>k</w:t>
      </w:r>
      <w:r w:rsidRPr="00BD1508">
        <w:rPr>
          <w:lang w:val="sv-SE"/>
        </w:rPr>
        <w:t>samhet i Finland som pågår kortare tid än 185 dagar får användas fallskärm i utländsk ägo, även om den inte godkänts för användning i enlighet med denna föreskrift, föru</w:t>
      </w:r>
      <w:r w:rsidRPr="00BD1508">
        <w:rPr>
          <w:lang w:val="sv-SE"/>
        </w:rPr>
        <w:t>t</w:t>
      </w:r>
      <w:r w:rsidRPr="00BD1508">
        <w:rPr>
          <w:lang w:val="sv-SE"/>
        </w:rPr>
        <w:t xml:space="preserve">satt att fallskärmen uppfyller föreskrifterna om fallskärmsutrustning i </w:t>
      </w:r>
      <w:proofErr w:type="spellStart"/>
      <w:r w:rsidRPr="00BD1508">
        <w:rPr>
          <w:lang w:val="sv-SE"/>
        </w:rPr>
        <w:t>fallskärmsägarens</w:t>
      </w:r>
      <w:proofErr w:type="spellEnd"/>
      <w:r w:rsidRPr="00BD1508">
        <w:rPr>
          <w:lang w:val="sv-SE"/>
        </w:rPr>
        <w:t xml:space="preserve"> hemstat</w:t>
      </w:r>
      <w:r w:rsidRPr="00210302">
        <w:rPr>
          <w:lang w:val="sv-SE"/>
        </w:rPr>
        <w:t>.</w:t>
      </w:r>
    </w:p>
    <w:p w14:paraId="36CCC93A" w14:textId="77777777" w:rsidR="00210302" w:rsidRPr="00210302" w:rsidRDefault="00210302" w:rsidP="00210302">
      <w:pPr>
        <w:pStyle w:val="TwebOtsikko2"/>
        <w:rPr>
          <w:lang w:val="sv-SE"/>
        </w:rPr>
      </w:pPr>
      <w:bookmarkStart w:id="13" w:name="_Toc38959646"/>
      <w:bookmarkStart w:id="14" w:name="_Toc153980461"/>
      <w:r w:rsidRPr="00210302">
        <w:rPr>
          <w:lang w:val="sv-SE"/>
        </w:rPr>
        <w:t>2.3 Tillsyn och underhåll</w:t>
      </w:r>
      <w:bookmarkEnd w:id="13"/>
      <w:bookmarkEnd w:id="14"/>
      <w:r w:rsidRPr="00210302">
        <w:rPr>
          <w:lang w:val="sv-SE"/>
        </w:rPr>
        <w:t xml:space="preserve"> </w:t>
      </w:r>
    </w:p>
    <w:p w14:paraId="69509514" w14:textId="77777777" w:rsidR="00210302" w:rsidRPr="00FA4DB0" w:rsidRDefault="00210302" w:rsidP="00210302">
      <w:pPr>
        <w:pStyle w:val="Twebnormiteksti"/>
        <w:tabs>
          <w:tab w:val="left" w:pos="709"/>
        </w:tabs>
        <w:ind w:left="709" w:hanging="709"/>
        <w:rPr>
          <w:lang w:val="sv-SE"/>
        </w:rPr>
      </w:pPr>
      <w:r>
        <w:rPr>
          <w:lang w:val="sv-SE"/>
        </w:rPr>
        <w:t>2.3.1</w:t>
      </w:r>
      <w:r>
        <w:rPr>
          <w:lang w:val="sv-SE"/>
        </w:rPr>
        <w:tab/>
      </w:r>
      <w:r w:rsidRPr="00FA4DB0">
        <w:rPr>
          <w:lang w:val="sv-SE"/>
        </w:rPr>
        <w:t xml:space="preserve">Fallskärmen och reservskärmens </w:t>
      </w:r>
      <w:proofErr w:type="spellStart"/>
      <w:r w:rsidRPr="00FA4DB0">
        <w:rPr>
          <w:lang w:val="sv-SE"/>
        </w:rPr>
        <w:t>automatutlösare</w:t>
      </w:r>
      <w:proofErr w:type="spellEnd"/>
      <w:r w:rsidRPr="00FA4DB0">
        <w:rPr>
          <w:lang w:val="sv-SE"/>
        </w:rPr>
        <w:t xml:space="preserve"> ska besiktas, underhållas, packas och monteras i enlighet med tillverkarens anvisningar.</w:t>
      </w:r>
    </w:p>
    <w:p w14:paraId="53740664" w14:textId="77777777" w:rsidR="00210302" w:rsidRPr="00FA4DB0" w:rsidRDefault="00210302" w:rsidP="00210302">
      <w:pPr>
        <w:pStyle w:val="Twebnormiteksti"/>
        <w:tabs>
          <w:tab w:val="left" w:pos="709"/>
        </w:tabs>
        <w:ind w:left="709" w:hanging="709"/>
        <w:rPr>
          <w:lang w:val="sv-SE"/>
        </w:rPr>
      </w:pPr>
      <w:r>
        <w:rPr>
          <w:lang w:val="sv-SE"/>
        </w:rPr>
        <w:t>2.3.2</w:t>
      </w:r>
      <w:r>
        <w:rPr>
          <w:lang w:val="sv-SE"/>
        </w:rPr>
        <w:tab/>
      </w:r>
      <w:r w:rsidRPr="00FA4DB0">
        <w:rPr>
          <w:lang w:val="sv-SE"/>
        </w:rPr>
        <w:t>Om tillverkaren inte har utfärdat några anvisningar för underhåll och tillsyn av reser</w:t>
      </w:r>
      <w:r w:rsidRPr="00FA4DB0">
        <w:rPr>
          <w:lang w:val="sv-SE"/>
        </w:rPr>
        <w:t>v</w:t>
      </w:r>
      <w:r w:rsidRPr="00FA4DB0">
        <w:rPr>
          <w:lang w:val="sv-SE"/>
        </w:rPr>
        <w:t xml:space="preserve">skärm eller rigg, får besiktningsintervallet inte överstiga 24 månader. När det förflutit 14 år från tillverkningsdagen, får besiktningsintervallet inte överstiga 12 månader. </w:t>
      </w:r>
    </w:p>
    <w:p w14:paraId="25261A46" w14:textId="77777777" w:rsidR="00210302" w:rsidRPr="00FA4DB0" w:rsidRDefault="00210302" w:rsidP="00210302">
      <w:pPr>
        <w:pStyle w:val="Twebnormiteksti"/>
        <w:tabs>
          <w:tab w:val="left" w:pos="709"/>
        </w:tabs>
        <w:ind w:left="709" w:hanging="709"/>
        <w:rPr>
          <w:lang w:val="sv-SE"/>
        </w:rPr>
      </w:pPr>
      <w:r>
        <w:rPr>
          <w:lang w:val="sv-SE"/>
        </w:rPr>
        <w:t>2.3.3</w:t>
      </w:r>
      <w:r>
        <w:rPr>
          <w:lang w:val="sv-SE"/>
        </w:rPr>
        <w:tab/>
      </w:r>
      <w:r w:rsidRPr="00FA4DB0">
        <w:rPr>
          <w:lang w:val="sv-SE"/>
        </w:rPr>
        <w:t>Om tillverkaren inte har utfärdat några anvisningar för underhåll och tillsyn av huvu</w:t>
      </w:r>
      <w:r w:rsidRPr="00FA4DB0">
        <w:rPr>
          <w:lang w:val="sv-SE"/>
        </w:rPr>
        <w:t>d</w:t>
      </w:r>
      <w:r w:rsidRPr="00FA4DB0">
        <w:rPr>
          <w:lang w:val="sv-SE"/>
        </w:rPr>
        <w:t>skärm, får besiktningsperioden inte överstiga 24 månader. När det förflutit 14 år från tillverkningsdagen, får besiktningsperioden inte överstiga 12 mån</w:t>
      </w:r>
      <w:r w:rsidRPr="00FA4DB0">
        <w:rPr>
          <w:lang w:val="sv-SE"/>
        </w:rPr>
        <w:t>a</w:t>
      </w:r>
      <w:r w:rsidRPr="00FA4DB0">
        <w:rPr>
          <w:lang w:val="sv-SE"/>
        </w:rPr>
        <w:t>der.</w:t>
      </w:r>
    </w:p>
    <w:p w14:paraId="41CAB124" w14:textId="77777777" w:rsidR="00210302" w:rsidRPr="00FA4DB0" w:rsidRDefault="00210302" w:rsidP="00210302">
      <w:pPr>
        <w:pStyle w:val="Twebnormiteksti"/>
        <w:tabs>
          <w:tab w:val="left" w:pos="709"/>
        </w:tabs>
        <w:ind w:left="709" w:hanging="709"/>
        <w:rPr>
          <w:lang w:val="sv-SE"/>
        </w:rPr>
      </w:pPr>
      <w:r>
        <w:rPr>
          <w:lang w:val="sv-SE"/>
        </w:rPr>
        <w:t>2.3.4</w:t>
      </w:r>
      <w:r>
        <w:rPr>
          <w:lang w:val="sv-SE"/>
        </w:rPr>
        <w:tab/>
      </w:r>
      <w:r w:rsidRPr="00FA4DB0">
        <w:rPr>
          <w:lang w:val="sv-SE"/>
        </w:rPr>
        <w:t>Vid användning i samband med utbildning får besiktningsperioden för huvudskärm, r</w:t>
      </w:r>
      <w:r w:rsidRPr="00FA4DB0">
        <w:rPr>
          <w:lang w:val="sv-SE"/>
        </w:rPr>
        <w:t>e</w:t>
      </w:r>
      <w:r w:rsidRPr="00FA4DB0">
        <w:rPr>
          <w:lang w:val="sv-SE"/>
        </w:rPr>
        <w:t>servskärm och rigg inte överstiga 12 månader.</w:t>
      </w:r>
    </w:p>
    <w:p w14:paraId="17FA9762" w14:textId="77777777" w:rsidR="00210302" w:rsidRPr="00FA4DB0" w:rsidRDefault="00210302" w:rsidP="00210302">
      <w:pPr>
        <w:pStyle w:val="Twebnormiteksti"/>
        <w:tabs>
          <w:tab w:val="left" w:pos="709"/>
        </w:tabs>
        <w:ind w:left="709" w:hanging="709"/>
        <w:rPr>
          <w:lang w:val="sv-SE"/>
        </w:rPr>
      </w:pPr>
      <w:r>
        <w:rPr>
          <w:lang w:val="sv-SE"/>
        </w:rPr>
        <w:t>2.3.5</w:t>
      </w:r>
      <w:r>
        <w:rPr>
          <w:lang w:val="sv-SE"/>
        </w:rPr>
        <w:tab/>
      </w:r>
      <w:r w:rsidRPr="00FA4DB0">
        <w:rPr>
          <w:lang w:val="sv-SE"/>
        </w:rPr>
        <w:t>Fallskärmens ägare ska utföra eller låta utföra de underhålls- och modifi</w:t>
      </w:r>
      <w:r w:rsidRPr="00FA4DB0">
        <w:rPr>
          <w:lang w:val="sv-SE"/>
        </w:rPr>
        <w:t>e</w:t>
      </w:r>
      <w:r w:rsidRPr="00FA4DB0">
        <w:rPr>
          <w:lang w:val="sv-SE"/>
        </w:rPr>
        <w:t>ringsarbeten som är nödvändiga för att säkerställa en trygg funktion hos utrustningen eller som fö</w:t>
      </w:r>
      <w:r w:rsidRPr="00FA4DB0">
        <w:rPr>
          <w:lang w:val="sv-SE"/>
        </w:rPr>
        <w:t>r</w:t>
      </w:r>
      <w:r w:rsidRPr="00FA4DB0">
        <w:rPr>
          <w:lang w:val="sv-SE"/>
        </w:rPr>
        <w:t>ordnas av tillverkaren.</w:t>
      </w:r>
    </w:p>
    <w:p w14:paraId="038E5443" w14:textId="77777777" w:rsidR="00210302" w:rsidRPr="00FA4DB0" w:rsidRDefault="00210302" w:rsidP="00210302">
      <w:pPr>
        <w:pStyle w:val="Twebnormiteksti"/>
        <w:tabs>
          <w:tab w:val="left" w:pos="709"/>
        </w:tabs>
        <w:ind w:left="709" w:hanging="709"/>
        <w:rPr>
          <w:lang w:val="sv-SE"/>
        </w:rPr>
      </w:pPr>
      <w:r>
        <w:rPr>
          <w:lang w:val="sv-SE"/>
        </w:rPr>
        <w:t>2.3.6</w:t>
      </w:r>
      <w:r>
        <w:rPr>
          <w:lang w:val="sv-SE"/>
        </w:rPr>
        <w:tab/>
      </w:r>
      <w:r w:rsidRPr="00FA4DB0">
        <w:rPr>
          <w:lang w:val="sv-SE"/>
        </w:rPr>
        <w:t xml:space="preserve">Huvudskärmen, reservskärmen, riggen och reservskärmens </w:t>
      </w:r>
      <w:proofErr w:type="spellStart"/>
      <w:r w:rsidRPr="00FA4DB0">
        <w:rPr>
          <w:lang w:val="sv-SE"/>
        </w:rPr>
        <w:t>automatutlösare</w:t>
      </w:r>
      <w:proofErr w:type="spellEnd"/>
      <w:r w:rsidRPr="00FA4DB0">
        <w:rPr>
          <w:lang w:val="sv-SE"/>
        </w:rPr>
        <w:t xml:space="preserve"> ska vara försedda med komponentkort, varav framgår utrustningens identifieringsuppgifter, b</w:t>
      </w:r>
      <w:r w:rsidRPr="00FA4DB0">
        <w:rPr>
          <w:lang w:val="sv-SE"/>
        </w:rPr>
        <w:t>e</w:t>
      </w:r>
      <w:r w:rsidRPr="00FA4DB0">
        <w:rPr>
          <w:lang w:val="sv-SE"/>
        </w:rPr>
        <w:t>siktning, underhåll, reparationer och packning av reservskärm.</w:t>
      </w:r>
    </w:p>
    <w:p w14:paraId="064330A9" w14:textId="77777777" w:rsidR="00210302" w:rsidRPr="00210302" w:rsidRDefault="00210302" w:rsidP="00210302">
      <w:pPr>
        <w:pStyle w:val="Twebnormiteksti"/>
        <w:tabs>
          <w:tab w:val="left" w:pos="709"/>
        </w:tabs>
        <w:ind w:left="709" w:hanging="709"/>
        <w:rPr>
          <w:lang w:val="sv-SE"/>
        </w:rPr>
      </w:pPr>
      <w:r>
        <w:rPr>
          <w:lang w:val="sv-SE"/>
        </w:rPr>
        <w:t>2.3.7</w:t>
      </w:r>
      <w:r>
        <w:rPr>
          <w:lang w:val="sv-SE"/>
        </w:rPr>
        <w:tab/>
      </w:r>
      <w:r w:rsidRPr="00FA4DB0">
        <w:rPr>
          <w:lang w:val="sv-SE"/>
        </w:rPr>
        <w:t xml:space="preserve">Fallskärmskontrollanten är behörig att besikta och underhålla fallskärm och </w:t>
      </w:r>
      <w:proofErr w:type="spellStart"/>
      <w:r w:rsidRPr="00FA4DB0">
        <w:rPr>
          <w:lang w:val="sv-SE"/>
        </w:rPr>
        <w:t>automatu</w:t>
      </w:r>
      <w:r w:rsidRPr="00FA4DB0">
        <w:rPr>
          <w:lang w:val="sv-SE"/>
        </w:rPr>
        <w:t>t</w:t>
      </w:r>
      <w:r w:rsidRPr="00FA4DB0">
        <w:rPr>
          <w:lang w:val="sv-SE"/>
        </w:rPr>
        <w:t>lösare</w:t>
      </w:r>
      <w:proofErr w:type="spellEnd"/>
      <w:r w:rsidRPr="00FA4DB0">
        <w:rPr>
          <w:lang w:val="sv-SE"/>
        </w:rPr>
        <w:t xml:space="preserve"> i enlighet med sin utbildning och erfarenhet. Fallskärmskontrollanten ansvarar för att åtgärderna utförs ändamålsenligt och bokför dem i sin arbetsjournal. Av journalen ska framgå utrustningens identifieringsuppgifter i tillämpliga delar, utförd åtgärd, datum och underskrift</w:t>
      </w:r>
      <w:r w:rsidRPr="00210302">
        <w:rPr>
          <w:lang w:val="sv-SE"/>
        </w:rPr>
        <w:t>.</w:t>
      </w:r>
    </w:p>
    <w:p w14:paraId="5AAE7E36" w14:textId="77777777" w:rsidR="00210302" w:rsidRPr="00210302" w:rsidRDefault="00210302" w:rsidP="00210302">
      <w:pPr>
        <w:pStyle w:val="TwebOtsikko2"/>
        <w:rPr>
          <w:lang w:val="sv-SE"/>
        </w:rPr>
      </w:pPr>
      <w:bookmarkStart w:id="15" w:name="_Toc38959647"/>
      <w:bookmarkStart w:id="16" w:name="_Toc153980462"/>
      <w:r w:rsidRPr="00210302">
        <w:rPr>
          <w:lang w:val="sv-SE"/>
        </w:rPr>
        <w:t>2.4 Packning av reservskärm</w:t>
      </w:r>
      <w:bookmarkEnd w:id="15"/>
      <w:bookmarkEnd w:id="16"/>
    </w:p>
    <w:p w14:paraId="732CCE02" w14:textId="77777777" w:rsidR="00210302" w:rsidRPr="001059B5" w:rsidRDefault="00210302" w:rsidP="00210302">
      <w:pPr>
        <w:pStyle w:val="Twebnormiteksti"/>
        <w:ind w:left="709"/>
        <w:rPr>
          <w:lang w:val="sv-SE"/>
        </w:rPr>
      </w:pPr>
      <w:r w:rsidRPr="00A42D36">
        <w:rPr>
          <w:lang w:val="sv-SE"/>
        </w:rPr>
        <w:t>Fallskärmskontrollanten ska packa reservskärmen i enlighet med tillverkarens anvi</w:t>
      </w:r>
      <w:r w:rsidRPr="00A42D36">
        <w:rPr>
          <w:lang w:val="sv-SE"/>
        </w:rPr>
        <w:t>s</w:t>
      </w:r>
      <w:r w:rsidRPr="00A42D36">
        <w:rPr>
          <w:lang w:val="sv-SE"/>
        </w:rPr>
        <w:t>ningar och skärmens ompackningsperiod. Om tillverkaren inte har fastställt någon o</w:t>
      </w:r>
      <w:r w:rsidRPr="00A42D36">
        <w:rPr>
          <w:lang w:val="sv-SE"/>
        </w:rPr>
        <w:t>m</w:t>
      </w:r>
      <w:r w:rsidRPr="00A42D36">
        <w:rPr>
          <w:lang w:val="sv-SE"/>
        </w:rPr>
        <w:t>packningsperiod för reservskärmen, får reservskärmens ompackningsperiod inte öve</w:t>
      </w:r>
      <w:r w:rsidRPr="00A42D36">
        <w:rPr>
          <w:lang w:val="sv-SE"/>
        </w:rPr>
        <w:t>r</w:t>
      </w:r>
      <w:r w:rsidRPr="00A42D36">
        <w:rPr>
          <w:lang w:val="sv-SE"/>
        </w:rPr>
        <w:t xml:space="preserve">stiga </w:t>
      </w:r>
      <w:r>
        <w:rPr>
          <w:lang w:val="sv-SE"/>
        </w:rPr>
        <w:t>12</w:t>
      </w:r>
      <w:r w:rsidRPr="00A42D36">
        <w:rPr>
          <w:lang w:val="sv-SE"/>
        </w:rPr>
        <w:t xml:space="preserve"> månader</w:t>
      </w:r>
      <w:r w:rsidRPr="001059B5">
        <w:rPr>
          <w:lang w:val="sv-SE"/>
        </w:rPr>
        <w:t>.</w:t>
      </w:r>
    </w:p>
    <w:p w14:paraId="18E80E40" w14:textId="77777777" w:rsidR="00210302" w:rsidRPr="001059B5" w:rsidRDefault="00210302" w:rsidP="00210302">
      <w:pPr>
        <w:pStyle w:val="TwebOtsikko2"/>
        <w:rPr>
          <w:lang w:val="sv-SE"/>
        </w:rPr>
      </w:pPr>
      <w:bookmarkStart w:id="17" w:name="_Toc38959648"/>
      <w:bookmarkStart w:id="18" w:name="_Toc153980463"/>
      <w:r w:rsidRPr="001059B5">
        <w:rPr>
          <w:lang w:val="sv-SE"/>
        </w:rPr>
        <w:lastRenderedPageBreak/>
        <w:t>2.5 Reparation och tillverkning</w:t>
      </w:r>
      <w:bookmarkEnd w:id="17"/>
      <w:bookmarkEnd w:id="18"/>
    </w:p>
    <w:p w14:paraId="197779E8" w14:textId="77777777" w:rsidR="00210302" w:rsidRPr="00432BC7" w:rsidRDefault="00210302" w:rsidP="00210302">
      <w:pPr>
        <w:pStyle w:val="Twebnormiteksti"/>
        <w:tabs>
          <w:tab w:val="left" w:pos="709"/>
        </w:tabs>
        <w:ind w:left="709" w:hanging="709"/>
        <w:rPr>
          <w:lang w:val="sv-SE"/>
        </w:rPr>
      </w:pPr>
      <w:r>
        <w:rPr>
          <w:lang w:val="sv-SE"/>
        </w:rPr>
        <w:t>2.5.1</w:t>
      </w:r>
      <w:r>
        <w:rPr>
          <w:lang w:val="sv-SE"/>
        </w:rPr>
        <w:tab/>
      </w:r>
      <w:r w:rsidRPr="00432BC7">
        <w:rPr>
          <w:lang w:val="sv-SE"/>
        </w:rPr>
        <w:t xml:space="preserve">Fallskärmskontrollanten får i enlighet med sin utbildning och erfarenhet bygga </w:t>
      </w:r>
      <w:proofErr w:type="spellStart"/>
      <w:r w:rsidRPr="00432BC7">
        <w:rPr>
          <w:lang w:val="sv-SE"/>
        </w:rPr>
        <w:t>fal</w:t>
      </w:r>
      <w:r w:rsidRPr="00432BC7">
        <w:rPr>
          <w:lang w:val="sv-SE"/>
        </w:rPr>
        <w:t>l</w:t>
      </w:r>
      <w:r w:rsidRPr="00432BC7">
        <w:rPr>
          <w:lang w:val="sv-SE"/>
        </w:rPr>
        <w:t>skärmsdelar</w:t>
      </w:r>
      <w:proofErr w:type="spellEnd"/>
      <w:r w:rsidRPr="00432BC7">
        <w:rPr>
          <w:lang w:val="sv-SE"/>
        </w:rPr>
        <w:t xml:space="preserve"> eller delar som ersätter fallskärmskomponenter, om tillverkaren inte har specificerat den del eller komponent som ersätts med serie- eller komponentnummer, samt utföra reparationer av ovan nämnda delar eller komponenter för vilka det inte finns tillverkarens anvisningar. Vid dessa åtgärder ska allmänt godkända föreskrifter iakttas, såsom ”</w:t>
      </w:r>
      <w:proofErr w:type="spellStart"/>
      <w:r w:rsidRPr="00432BC7">
        <w:rPr>
          <w:lang w:val="sv-SE"/>
        </w:rPr>
        <w:t>Poynter</w:t>
      </w:r>
      <w:proofErr w:type="spellEnd"/>
      <w:r w:rsidRPr="00432BC7">
        <w:rPr>
          <w:lang w:val="sv-SE"/>
        </w:rPr>
        <w:t xml:space="preserve"> </w:t>
      </w:r>
      <w:proofErr w:type="spellStart"/>
      <w:r w:rsidRPr="00432BC7">
        <w:rPr>
          <w:lang w:val="sv-SE"/>
        </w:rPr>
        <w:t>Parachute</w:t>
      </w:r>
      <w:proofErr w:type="spellEnd"/>
      <w:r w:rsidRPr="00432BC7">
        <w:rPr>
          <w:lang w:val="sv-SE"/>
        </w:rPr>
        <w:t xml:space="preserve"> Manual”</w:t>
      </w:r>
      <w:r>
        <w:rPr>
          <w:lang w:val="sv-SE"/>
        </w:rPr>
        <w:t xml:space="preserve"> eller ”FAA </w:t>
      </w:r>
      <w:proofErr w:type="spellStart"/>
      <w:r>
        <w:rPr>
          <w:lang w:val="sv-SE"/>
        </w:rPr>
        <w:t>Parachute</w:t>
      </w:r>
      <w:proofErr w:type="spellEnd"/>
      <w:r>
        <w:rPr>
          <w:lang w:val="sv-SE"/>
        </w:rPr>
        <w:t xml:space="preserve"> </w:t>
      </w:r>
      <w:proofErr w:type="spellStart"/>
      <w:r>
        <w:rPr>
          <w:lang w:val="sv-SE"/>
        </w:rPr>
        <w:t>Rigger</w:t>
      </w:r>
      <w:proofErr w:type="spellEnd"/>
      <w:r>
        <w:rPr>
          <w:lang w:val="sv-SE"/>
        </w:rPr>
        <w:t xml:space="preserve"> </w:t>
      </w:r>
      <w:proofErr w:type="spellStart"/>
      <w:r>
        <w:rPr>
          <w:lang w:val="sv-SE"/>
        </w:rPr>
        <w:t>Handbook</w:t>
      </w:r>
      <w:proofErr w:type="spellEnd"/>
      <w:r>
        <w:rPr>
          <w:lang w:val="sv-SE"/>
        </w:rPr>
        <w:t>”</w:t>
      </w:r>
      <w:r w:rsidRPr="00432BC7">
        <w:rPr>
          <w:lang w:val="sv-SE"/>
        </w:rPr>
        <w:t>.</w:t>
      </w:r>
    </w:p>
    <w:p w14:paraId="178C65CB" w14:textId="77777777" w:rsidR="00210302" w:rsidRPr="00432BC7" w:rsidRDefault="00210302" w:rsidP="00210302">
      <w:pPr>
        <w:pStyle w:val="Twebnormiteksti"/>
        <w:tabs>
          <w:tab w:val="left" w:pos="709"/>
        </w:tabs>
        <w:ind w:left="709" w:hanging="709"/>
        <w:rPr>
          <w:lang w:val="sv-SE"/>
        </w:rPr>
      </w:pPr>
      <w:r>
        <w:rPr>
          <w:lang w:val="sv-SE"/>
        </w:rPr>
        <w:t>2.5.2</w:t>
      </w:r>
      <w:r>
        <w:rPr>
          <w:lang w:val="sv-SE"/>
        </w:rPr>
        <w:tab/>
      </w:r>
      <w:r w:rsidRPr="00432BC7">
        <w:rPr>
          <w:lang w:val="sv-SE"/>
        </w:rPr>
        <w:t>I Finland får tillverkas för fallskärmshopp avsedda huvudskärmar, reser</w:t>
      </w:r>
      <w:r w:rsidRPr="00432BC7">
        <w:rPr>
          <w:lang w:val="sv-SE"/>
        </w:rPr>
        <w:t>v</w:t>
      </w:r>
      <w:r w:rsidRPr="00432BC7">
        <w:rPr>
          <w:lang w:val="sv-SE"/>
        </w:rPr>
        <w:t xml:space="preserve">skärmar, riggar och </w:t>
      </w:r>
      <w:proofErr w:type="spellStart"/>
      <w:r w:rsidRPr="00432BC7">
        <w:rPr>
          <w:lang w:val="sv-SE"/>
        </w:rPr>
        <w:t>automatutlösare</w:t>
      </w:r>
      <w:proofErr w:type="spellEnd"/>
      <w:r w:rsidRPr="00432BC7">
        <w:rPr>
          <w:lang w:val="sv-SE"/>
        </w:rPr>
        <w:t xml:space="preserve"> eller specificerade delar till dem i enlighet med de tekniska normer som allmänt tillämpas i Europeiska unionens medlemsst</w:t>
      </w:r>
      <w:r w:rsidRPr="00432BC7">
        <w:rPr>
          <w:lang w:val="sv-SE"/>
        </w:rPr>
        <w:t>a</w:t>
      </w:r>
      <w:r w:rsidRPr="00432BC7">
        <w:rPr>
          <w:lang w:val="sv-SE"/>
        </w:rPr>
        <w:t>ter.</w:t>
      </w:r>
    </w:p>
    <w:p w14:paraId="0029CC2E" w14:textId="77777777" w:rsidR="00210302" w:rsidRPr="001059B5" w:rsidRDefault="00210302" w:rsidP="00210302">
      <w:pPr>
        <w:pStyle w:val="Twebnormiteksti"/>
        <w:tabs>
          <w:tab w:val="left" w:pos="709"/>
        </w:tabs>
        <w:ind w:left="709" w:hanging="709"/>
        <w:rPr>
          <w:lang w:val="sv-SE"/>
        </w:rPr>
      </w:pPr>
      <w:r>
        <w:rPr>
          <w:lang w:val="sv-SE"/>
        </w:rPr>
        <w:t>2.5.3</w:t>
      </w:r>
      <w:r>
        <w:rPr>
          <w:lang w:val="sv-SE"/>
        </w:rPr>
        <w:tab/>
      </w:r>
      <w:r w:rsidRPr="00432BC7">
        <w:rPr>
          <w:lang w:val="sv-SE"/>
        </w:rPr>
        <w:t>Kommersiellt tillverkad fallskärm eller fallskärmskomponent ska förses med tillver</w:t>
      </w:r>
      <w:r w:rsidRPr="00432BC7">
        <w:rPr>
          <w:lang w:val="sv-SE"/>
        </w:rPr>
        <w:t>k</w:t>
      </w:r>
      <w:r w:rsidRPr="00432BC7">
        <w:rPr>
          <w:lang w:val="sv-SE"/>
        </w:rPr>
        <w:t>ningsnummer, tillverkarens identifikation och tillverkningsår. Tillverkningen ska bokf</w:t>
      </w:r>
      <w:r w:rsidRPr="00432BC7">
        <w:rPr>
          <w:lang w:val="sv-SE"/>
        </w:rPr>
        <w:t>ö</w:t>
      </w:r>
      <w:r w:rsidRPr="00432BC7">
        <w:rPr>
          <w:lang w:val="sv-SE"/>
        </w:rPr>
        <w:t>ras i en journal, varav framgår använda ritningar, tillverkningsdatum och tillverkare</w:t>
      </w:r>
      <w:r w:rsidRPr="001059B5">
        <w:rPr>
          <w:lang w:val="sv-SE"/>
        </w:rPr>
        <w:t xml:space="preserve">. </w:t>
      </w:r>
    </w:p>
    <w:p w14:paraId="5E8AB35C" w14:textId="77777777" w:rsidR="00210302" w:rsidRPr="001059B5" w:rsidRDefault="00210302" w:rsidP="00210302">
      <w:pPr>
        <w:pStyle w:val="TwebOtsikko1"/>
        <w:rPr>
          <w:lang w:val="sv-SE"/>
        </w:rPr>
      </w:pPr>
      <w:bookmarkStart w:id="19" w:name="_Toc38959649"/>
      <w:bookmarkStart w:id="20" w:name="_Toc153980464"/>
      <w:r w:rsidRPr="001059B5">
        <w:rPr>
          <w:lang w:val="sv-SE"/>
        </w:rPr>
        <w:t>3. OPERATIVA FÖRESKRIFTER</w:t>
      </w:r>
      <w:bookmarkEnd w:id="19"/>
      <w:bookmarkEnd w:id="20"/>
    </w:p>
    <w:p w14:paraId="0A0FC889" w14:textId="77777777" w:rsidR="00210302" w:rsidRPr="001059B5" w:rsidRDefault="00210302" w:rsidP="00210302">
      <w:pPr>
        <w:pStyle w:val="Twebnormiteksti"/>
        <w:ind w:left="709" w:hanging="709"/>
        <w:rPr>
          <w:lang w:val="sv-SE"/>
        </w:rPr>
      </w:pPr>
      <w:r w:rsidRPr="001059B5">
        <w:rPr>
          <w:lang w:val="sv-SE"/>
        </w:rPr>
        <w:t>3.1</w:t>
      </w:r>
      <w:r w:rsidRPr="001059B5">
        <w:rPr>
          <w:lang w:val="sv-SE"/>
        </w:rPr>
        <w:tab/>
      </w:r>
      <w:r w:rsidRPr="00807612">
        <w:rPr>
          <w:lang w:val="sv-SE"/>
        </w:rPr>
        <w:t xml:space="preserve">Vid fallskärmshopp ska huvudskärmen utlösas så att fallskärmen har vecklats ut i sin helhet på 600 meters höjd. Vid tandemhopp ska huvudskärmen vara helt utvecklad på </w:t>
      </w:r>
      <w:r>
        <w:rPr>
          <w:lang w:val="sv-SE"/>
        </w:rPr>
        <w:t xml:space="preserve">1200 </w:t>
      </w:r>
      <w:r w:rsidRPr="00807612">
        <w:rPr>
          <w:lang w:val="sv-SE"/>
        </w:rPr>
        <w:t>meters höjd</w:t>
      </w:r>
      <w:r w:rsidRPr="001059B5">
        <w:rPr>
          <w:lang w:val="sv-SE"/>
        </w:rPr>
        <w:t>.</w:t>
      </w:r>
    </w:p>
    <w:p w14:paraId="1A8CF827" w14:textId="77777777" w:rsidR="00210302" w:rsidRPr="00547ADA" w:rsidRDefault="00210302" w:rsidP="00210302">
      <w:pPr>
        <w:pStyle w:val="Twebnormiteksti"/>
        <w:ind w:left="709" w:hanging="709"/>
        <w:rPr>
          <w:lang w:val="sv-SE"/>
        </w:rPr>
      </w:pPr>
      <w:r w:rsidRPr="00210302">
        <w:rPr>
          <w:lang w:val="sv-SE"/>
        </w:rPr>
        <w:t>3.2</w:t>
      </w:r>
      <w:r w:rsidRPr="00210302">
        <w:rPr>
          <w:lang w:val="sv-SE"/>
        </w:rPr>
        <w:tab/>
      </w:r>
      <w:r w:rsidRPr="00807612">
        <w:rPr>
          <w:lang w:val="sv-SE"/>
        </w:rPr>
        <w:t xml:space="preserve">Hopparen ska vid uthoppet kunna se landningsområdet eller uthoppsplatsen. </w:t>
      </w:r>
      <w:r>
        <w:rPr>
          <w:lang w:val="sv-SE"/>
        </w:rPr>
        <w:t>Undantag</w:t>
      </w:r>
      <w:r w:rsidRPr="00807612">
        <w:rPr>
          <w:lang w:val="sv-SE"/>
        </w:rPr>
        <w:t xml:space="preserve"> från detta krav kan göras om fallskärmshoppet genomförs helt inom kontrollerat luf</w:t>
      </w:r>
      <w:r w:rsidRPr="00807612">
        <w:rPr>
          <w:lang w:val="sv-SE"/>
        </w:rPr>
        <w:t>t</w:t>
      </w:r>
      <w:r w:rsidRPr="00807612">
        <w:rPr>
          <w:lang w:val="sv-SE"/>
        </w:rPr>
        <w:t>rum och</w:t>
      </w:r>
      <w:r>
        <w:rPr>
          <w:lang w:val="sv-SE"/>
        </w:rPr>
        <w:t>/eller radiozon (RMZ), molntäckeshöjden är minst 3000 fot och</w:t>
      </w:r>
      <w:r w:rsidRPr="00807612">
        <w:rPr>
          <w:lang w:val="sv-SE"/>
        </w:rPr>
        <w:t xml:space="preserve"> det luftfartyg som används </w:t>
      </w:r>
      <w:r>
        <w:rPr>
          <w:lang w:val="sv-SE"/>
        </w:rPr>
        <w:t xml:space="preserve">är utrustat så att dess position kan bestämmas med tillräcklig precision. När undantaget tillämpas ska </w:t>
      </w:r>
      <w:r w:rsidRPr="00807612">
        <w:rPr>
          <w:lang w:val="sv-SE"/>
        </w:rPr>
        <w:t xml:space="preserve">alla fallskärmshoppare </w:t>
      </w:r>
      <w:r>
        <w:rPr>
          <w:lang w:val="sv-SE"/>
        </w:rPr>
        <w:t xml:space="preserve">vara </w:t>
      </w:r>
      <w:r w:rsidRPr="00807612">
        <w:rPr>
          <w:lang w:val="sv-SE"/>
        </w:rPr>
        <w:t xml:space="preserve">minst självständiga hoppare (punkt 4.1). I </w:t>
      </w:r>
      <w:r>
        <w:rPr>
          <w:lang w:val="sv-SE"/>
        </w:rPr>
        <w:t xml:space="preserve">annat luftrum av klass </w:t>
      </w:r>
      <w:r w:rsidRPr="00807612">
        <w:rPr>
          <w:lang w:val="sv-SE"/>
        </w:rPr>
        <w:t>G är det inte tillåtet att hoppa med fallskärm g</w:t>
      </w:r>
      <w:r w:rsidRPr="00807612">
        <w:rPr>
          <w:lang w:val="sv-SE"/>
        </w:rPr>
        <w:t>e</w:t>
      </w:r>
      <w:r w:rsidRPr="00807612">
        <w:rPr>
          <w:lang w:val="sv-SE"/>
        </w:rPr>
        <w:t>nom moln</w:t>
      </w:r>
      <w:r w:rsidRPr="00547ADA">
        <w:rPr>
          <w:lang w:val="sv-SE"/>
        </w:rPr>
        <w:t xml:space="preserve">. </w:t>
      </w:r>
    </w:p>
    <w:p w14:paraId="2D18B57A" w14:textId="77777777" w:rsidR="00210302" w:rsidRPr="00046360" w:rsidRDefault="00210302" w:rsidP="00210302">
      <w:pPr>
        <w:pStyle w:val="Twebnormiteksti"/>
        <w:ind w:left="709" w:hanging="709"/>
        <w:rPr>
          <w:lang w:val="sv-SE"/>
        </w:rPr>
      </w:pPr>
      <w:r w:rsidRPr="00046360">
        <w:rPr>
          <w:lang w:val="sv-SE"/>
        </w:rPr>
        <w:t>3.3</w:t>
      </w:r>
      <w:r w:rsidRPr="00046360">
        <w:rPr>
          <w:lang w:val="sv-SE"/>
        </w:rPr>
        <w:tab/>
        <w:t xml:space="preserve">Fallskärmshopp får inte företas om det utgående från luftfartens radiokommunikationer är uppenbart att </w:t>
      </w:r>
      <w:r>
        <w:rPr>
          <w:lang w:val="sv-SE"/>
        </w:rPr>
        <w:t>hoppet skulle kunna äventyra flygsäkerheten</w:t>
      </w:r>
      <w:r w:rsidRPr="00046360">
        <w:rPr>
          <w:lang w:val="sv-SE"/>
        </w:rPr>
        <w:t>.</w:t>
      </w:r>
    </w:p>
    <w:p w14:paraId="27F6E3D6" w14:textId="77777777" w:rsidR="00210302" w:rsidRPr="001059B5" w:rsidRDefault="00210302" w:rsidP="00210302">
      <w:pPr>
        <w:pStyle w:val="Twebnormiteksti"/>
        <w:spacing w:before="240"/>
        <w:ind w:left="709" w:hanging="709"/>
        <w:rPr>
          <w:lang w:val="sv-SE"/>
        </w:rPr>
      </w:pPr>
      <w:r w:rsidRPr="00106DDA">
        <w:rPr>
          <w:lang w:val="sv-SE"/>
        </w:rPr>
        <w:t>3.4</w:t>
      </w:r>
      <w:r w:rsidRPr="00106DDA">
        <w:rPr>
          <w:lang w:val="sv-SE"/>
        </w:rPr>
        <w:tab/>
      </w:r>
      <w:r w:rsidRPr="001059B5">
        <w:rPr>
          <w:lang w:val="sv-SE"/>
        </w:rPr>
        <w:t xml:space="preserve">Vid fallskärmshopp ska </w:t>
      </w:r>
      <w:r w:rsidRPr="00106DDA">
        <w:rPr>
          <w:iCs/>
          <w:lang w:val="sv-SE"/>
        </w:rPr>
        <w:t>flygtrafikledningsenhet</w:t>
      </w:r>
      <w:r>
        <w:rPr>
          <w:iCs/>
          <w:lang w:val="sv-SE"/>
        </w:rPr>
        <w:t>ens</w:t>
      </w:r>
      <w:r w:rsidRPr="001059B5">
        <w:rPr>
          <w:lang w:val="sv-SE"/>
        </w:rPr>
        <w:t xml:space="preserve"> anvisningar iakttas och hopptillstånd inhämtas av flygkontroll</w:t>
      </w:r>
      <w:r>
        <w:rPr>
          <w:lang w:val="sv-SE"/>
        </w:rPr>
        <w:t>enheten</w:t>
      </w:r>
      <w:r w:rsidRPr="001059B5">
        <w:rPr>
          <w:lang w:val="sv-SE"/>
        </w:rPr>
        <w:t>, om luftrummet förutsätter klarering. Vid fallskärm</w:t>
      </w:r>
      <w:r w:rsidRPr="001059B5">
        <w:rPr>
          <w:lang w:val="sv-SE"/>
        </w:rPr>
        <w:t>s</w:t>
      </w:r>
      <w:r w:rsidRPr="001059B5">
        <w:rPr>
          <w:lang w:val="sv-SE"/>
        </w:rPr>
        <w:t xml:space="preserve">hopp ska de tids- och höjdbegränsningar som </w:t>
      </w:r>
      <w:r w:rsidRPr="00106DDA">
        <w:rPr>
          <w:iCs/>
          <w:lang w:val="sv-SE"/>
        </w:rPr>
        <w:t>flygtr</w:t>
      </w:r>
      <w:r w:rsidRPr="00106DDA">
        <w:rPr>
          <w:iCs/>
          <w:lang w:val="sv-SE"/>
        </w:rPr>
        <w:t>a</w:t>
      </w:r>
      <w:r w:rsidRPr="00106DDA">
        <w:rPr>
          <w:iCs/>
          <w:lang w:val="sv-SE"/>
        </w:rPr>
        <w:t>fikledningsenhet</w:t>
      </w:r>
      <w:r>
        <w:rPr>
          <w:iCs/>
          <w:lang w:val="sv-SE"/>
        </w:rPr>
        <w:t>en</w:t>
      </w:r>
      <w:r w:rsidRPr="001059B5">
        <w:rPr>
          <w:lang w:val="sv-SE"/>
        </w:rPr>
        <w:t xml:space="preserve"> utfärdat iakttas. Hopp som företas i luftrumsklass G+ ska anmälas till vederbörande</w:t>
      </w:r>
      <w:r>
        <w:rPr>
          <w:lang w:val="sv-SE"/>
        </w:rPr>
        <w:t xml:space="preserve"> </w:t>
      </w:r>
      <w:r w:rsidRPr="00106DDA">
        <w:rPr>
          <w:iCs/>
          <w:lang w:val="sv-SE"/>
        </w:rPr>
        <w:t>flygtrafikledning</w:t>
      </w:r>
      <w:r w:rsidRPr="00106DDA">
        <w:rPr>
          <w:iCs/>
          <w:lang w:val="sv-SE"/>
        </w:rPr>
        <w:t>s</w:t>
      </w:r>
      <w:r w:rsidRPr="00106DDA">
        <w:rPr>
          <w:iCs/>
          <w:lang w:val="sv-SE"/>
        </w:rPr>
        <w:t>enhet</w:t>
      </w:r>
      <w:r w:rsidRPr="001059B5">
        <w:rPr>
          <w:lang w:val="sv-SE"/>
        </w:rPr>
        <w:t>.</w:t>
      </w:r>
    </w:p>
    <w:p w14:paraId="458F4C67" w14:textId="77777777" w:rsidR="00210302" w:rsidRPr="00106DDA" w:rsidRDefault="00210302" w:rsidP="00210302">
      <w:pPr>
        <w:pStyle w:val="Twebnormiteksti"/>
        <w:spacing w:before="240"/>
        <w:ind w:left="1134"/>
        <w:rPr>
          <w:lang w:val="sv-SE"/>
        </w:rPr>
      </w:pPr>
      <w:r w:rsidRPr="001059B5">
        <w:rPr>
          <w:lang w:val="sv-SE"/>
        </w:rPr>
        <w:t xml:space="preserve">Obs! Med </w:t>
      </w:r>
      <w:r w:rsidRPr="00106DDA">
        <w:rPr>
          <w:iCs/>
          <w:lang w:val="sv-SE"/>
        </w:rPr>
        <w:t>flygtrafikledningsenhet</w:t>
      </w:r>
      <w:r w:rsidRPr="001059B5">
        <w:rPr>
          <w:lang w:val="sv-SE"/>
        </w:rPr>
        <w:t xml:space="preserve"> avses här områdeskontroll, separat inflygning</w:t>
      </w:r>
      <w:r w:rsidRPr="001059B5">
        <w:rPr>
          <w:lang w:val="sv-SE"/>
        </w:rPr>
        <w:t>s</w:t>
      </w:r>
      <w:r w:rsidRPr="001059B5">
        <w:rPr>
          <w:lang w:val="sv-SE"/>
        </w:rPr>
        <w:t>kontroll (vederbörande terminalområde och kontrollzoner)</w:t>
      </w:r>
      <w:r>
        <w:rPr>
          <w:lang w:val="sv-SE"/>
        </w:rPr>
        <w:t>,</w:t>
      </w:r>
      <w:r w:rsidRPr="001059B5">
        <w:rPr>
          <w:lang w:val="sv-SE"/>
        </w:rPr>
        <w:t xml:space="preserve"> flygplatskontroll (vede</w:t>
      </w:r>
      <w:r w:rsidRPr="001059B5">
        <w:rPr>
          <w:lang w:val="sv-SE"/>
        </w:rPr>
        <w:t>r</w:t>
      </w:r>
      <w:r w:rsidRPr="001059B5">
        <w:rPr>
          <w:lang w:val="sv-SE"/>
        </w:rPr>
        <w:t xml:space="preserve">börande kontrollzoner) </w:t>
      </w:r>
      <w:r>
        <w:rPr>
          <w:lang w:val="sv-SE"/>
        </w:rPr>
        <w:t xml:space="preserve">eller AFIS-enhet </w:t>
      </w:r>
      <w:r w:rsidRPr="001059B5">
        <w:rPr>
          <w:lang w:val="sv-SE"/>
        </w:rPr>
        <w:t>under deras verksamhetst</w:t>
      </w:r>
      <w:r w:rsidRPr="001059B5">
        <w:rPr>
          <w:lang w:val="sv-SE"/>
        </w:rPr>
        <w:t>i</w:t>
      </w:r>
      <w:r w:rsidRPr="001059B5">
        <w:rPr>
          <w:lang w:val="sv-SE"/>
        </w:rPr>
        <w:t>der</w:t>
      </w:r>
      <w:r w:rsidRPr="00106DDA">
        <w:rPr>
          <w:lang w:val="sv-SE"/>
        </w:rPr>
        <w:t>.</w:t>
      </w:r>
    </w:p>
    <w:p w14:paraId="2572E615" w14:textId="77777777" w:rsidR="00210302" w:rsidRPr="001059B5" w:rsidRDefault="00210302" w:rsidP="00210302">
      <w:pPr>
        <w:pStyle w:val="Twebnormiteksti"/>
        <w:ind w:left="709" w:hanging="709"/>
        <w:rPr>
          <w:lang w:val="sv-SE"/>
        </w:rPr>
      </w:pPr>
      <w:r w:rsidRPr="00106DDA">
        <w:rPr>
          <w:lang w:val="sv-SE"/>
        </w:rPr>
        <w:t>3.5</w:t>
      </w:r>
      <w:r w:rsidRPr="00106DDA">
        <w:rPr>
          <w:lang w:val="sv-SE"/>
        </w:rPr>
        <w:tab/>
      </w:r>
      <w:r w:rsidRPr="009122CB">
        <w:rPr>
          <w:lang w:val="sv-SE"/>
        </w:rPr>
        <w:t xml:space="preserve">Om ett luftfartyg </w:t>
      </w:r>
      <w:r>
        <w:rPr>
          <w:lang w:val="sv-SE"/>
        </w:rPr>
        <w:t xml:space="preserve">som omfattas av nationell reglering </w:t>
      </w:r>
      <w:r w:rsidRPr="009122CB">
        <w:rPr>
          <w:lang w:val="sv-SE"/>
        </w:rPr>
        <w:t>används för hoppflygning utan kabindörr eller huv eller med öppen dörr eller huv, förutsätts för detta tillstånd av luf</w:t>
      </w:r>
      <w:r w:rsidRPr="009122CB">
        <w:rPr>
          <w:lang w:val="sv-SE"/>
        </w:rPr>
        <w:t>t</w:t>
      </w:r>
      <w:r w:rsidRPr="009122CB">
        <w:rPr>
          <w:lang w:val="sv-SE"/>
        </w:rPr>
        <w:t>fartygets tillverkare eller behörig luftfartsmyndighet. Godkännande samt nödvändiga anvisningar för fallskärmshoppning ska framgå av flyghandboken, instruktionsboken e</w:t>
      </w:r>
      <w:r w:rsidRPr="009122CB">
        <w:rPr>
          <w:lang w:val="sv-SE"/>
        </w:rPr>
        <w:t>l</w:t>
      </w:r>
      <w:r w:rsidRPr="009122CB">
        <w:rPr>
          <w:lang w:val="sv-SE"/>
        </w:rPr>
        <w:t>ler supplement till denna</w:t>
      </w:r>
      <w:r w:rsidRPr="001059B5">
        <w:rPr>
          <w:lang w:val="sv-SE"/>
        </w:rPr>
        <w:t xml:space="preserve">. </w:t>
      </w:r>
      <w:r w:rsidRPr="009122CB">
        <w:rPr>
          <w:lang w:val="sv-SE"/>
        </w:rPr>
        <w:t>Om luftfartyget är försett med fast utrustning för fallskärm</w:t>
      </w:r>
      <w:r w:rsidRPr="009122CB">
        <w:rPr>
          <w:lang w:val="sv-SE"/>
        </w:rPr>
        <w:t>s</w:t>
      </w:r>
      <w:r w:rsidRPr="009122CB">
        <w:rPr>
          <w:lang w:val="sv-SE"/>
        </w:rPr>
        <w:t>hoppning, ska utrustningen vara godkänd av typcertifikatinnehavaren eller den beh</w:t>
      </w:r>
      <w:r w:rsidRPr="009122CB">
        <w:rPr>
          <w:lang w:val="sv-SE"/>
        </w:rPr>
        <w:t>ö</w:t>
      </w:r>
      <w:r w:rsidRPr="009122CB">
        <w:rPr>
          <w:lang w:val="sv-SE"/>
        </w:rPr>
        <w:t>riga luftfartsmy</w:t>
      </w:r>
      <w:r w:rsidRPr="009122CB">
        <w:rPr>
          <w:lang w:val="sv-SE"/>
        </w:rPr>
        <w:t>n</w:t>
      </w:r>
      <w:r w:rsidRPr="009122CB">
        <w:rPr>
          <w:lang w:val="sv-SE"/>
        </w:rPr>
        <w:t>digheten</w:t>
      </w:r>
      <w:r w:rsidRPr="001059B5">
        <w:rPr>
          <w:lang w:val="sv-SE"/>
        </w:rPr>
        <w:t>.</w:t>
      </w:r>
    </w:p>
    <w:p w14:paraId="43F1853A" w14:textId="77777777" w:rsidR="00210302" w:rsidRPr="00210302" w:rsidRDefault="00210302" w:rsidP="00210302">
      <w:pPr>
        <w:pStyle w:val="Twebnormiteksti"/>
        <w:ind w:left="709" w:hanging="709"/>
        <w:rPr>
          <w:lang w:val="sv-SE"/>
        </w:rPr>
      </w:pPr>
      <w:r w:rsidRPr="00210302">
        <w:rPr>
          <w:lang w:val="sv-SE"/>
        </w:rPr>
        <w:t>3.6</w:t>
      </w:r>
      <w:r w:rsidRPr="00210302">
        <w:rPr>
          <w:lang w:val="sv-SE"/>
        </w:rPr>
        <w:tab/>
      </w:r>
      <w:r w:rsidRPr="009122CB">
        <w:rPr>
          <w:lang w:val="sv-SE"/>
        </w:rPr>
        <w:t>En anordning kan användas för hoppflygning, förutsatt att det enligt instruktionsboken är möjligt och inte äventyrar utomståendes säkerhet</w:t>
      </w:r>
      <w:r w:rsidRPr="00210302">
        <w:rPr>
          <w:lang w:val="sv-SE"/>
        </w:rPr>
        <w:t>.</w:t>
      </w:r>
    </w:p>
    <w:p w14:paraId="2390D47E" w14:textId="77777777" w:rsidR="00210302" w:rsidRPr="00210302" w:rsidRDefault="00210302" w:rsidP="00210302">
      <w:pPr>
        <w:pStyle w:val="Twebnormiteksti"/>
        <w:ind w:left="709" w:hanging="709"/>
        <w:rPr>
          <w:lang w:val="sv-SE"/>
        </w:rPr>
      </w:pPr>
      <w:r w:rsidRPr="00210302">
        <w:rPr>
          <w:lang w:val="sv-SE"/>
        </w:rPr>
        <w:t>3.7</w:t>
      </w:r>
      <w:r w:rsidRPr="00210302">
        <w:rPr>
          <w:lang w:val="sv-SE"/>
        </w:rPr>
        <w:tab/>
      </w:r>
      <w:r w:rsidRPr="009122CB">
        <w:rPr>
          <w:lang w:val="sv-SE"/>
        </w:rPr>
        <w:t>Vid hoppflygning ska det i luftfartyget eller anordningen finnas</w:t>
      </w:r>
      <w:r>
        <w:rPr>
          <w:lang w:val="sv-SE"/>
        </w:rPr>
        <w:t xml:space="preserve"> ett redskap för att fr</w:t>
      </w:r>
      <w:r>
        <w:rPr>
          <w:lang w:val="sv-SE"/>
        </w:rPr>
        <w:t>i</w:t>
      </w:r>
      <w:r>
        <w:rPr>
          <w:lang w:val="sv-SE"/>
        </w:rPr>
        <w:t>göra en hoppare som blivit fast</w:t>
      </w:r>
      <w:r w:rsidRPr="00210302">
        <w:rPr>
          <w:lang w:val="sv-SE"/>
        </w:rPr>
        <w:t>.</w:t>
      </w:r>
    </w:p>
    <w:p w14:paraId="0634B820" w14:textId="77777777" w:rsidR="00210302" w:rsidRPr="00210302" w:rsidRDefault="00210302" w:rsidP="00210302">
      <w:pPr>
        <w:pStyle w:val="TwebOtsikko1"/>
        <w:rPr>
          <w:lang w:val="sv-SE"/>
        </w:rPr>
      </w:pPr>
      <w:bookmarkStart w:id="21" w:name="_Toc38959650"/>
      <w:bookmarkStart w:id="22" w:name="_Toc153980465"/>
      <w:r w:rsidRPr="00210302">
        <w:rPr>
          <w:lang w:val="sv-SE"/>
        </w:rPr>
        <w:t xml:space="preserve">4. FÖRESKRIFTER OM ÅLDER, KUNSKAPER, FÄRDIGHETER OCH ERFARENHET GÄLLANDE FALLSKÄRMSHOPPARE, </w:t>
      </w:r>
      <w:r w:rsidRPr="00210302">
        <w:rPr>
          <w:lang w:val="sv-SE"/>
        </w:rPr>
        <w:br/>
      </w:r>
      <w:r w:rsidRPr="00210302">
        <w:rPr>
          <w:lang w:val="sv-SE"/>
        </w:rPr>
        <w:lastRenderedPageBreak/>
        <w:t>HO</w:t>
      </w:r>
      <w:r w:rsidRPr="00210302">
        <w:rPr>
          <w:lang w:val="sv-SE"/>
        </w:rPr>
        <w:t>P</w:t>
      </w:r>
      <w:r w:rsidRPr="00210302">
        <w:rPr>
          <w:lang w:val="sv-SE"/>
        </w:rPr>
        <w:t>PINSTRUKTÖR OCH FALLSKÄRMSKONTROLLANT</w:t>
      </w:r>
      <w:bookmarkEnd w:id="21"/>
      <w:bookmarkEnd w:id="22"/>
    </w:p>
    <w:p w14:paraId="2F8848A4" w14:textId="77777777" w:rsidR="00210302" w:rsidRPr="00210302" w:rsidRDefault="00210302" w:rsidP="00210302">
      <w:pPr>
        <w:pStyle w:val="TwebOtsikko2"/>
        <w:rPr>
          <w:lang w:val="sv-SE"/>
        </w:rPr>
      </w:pPr>
      <w:bookmarkStart w:id="23" w:name="_Toc38959651"/>
      <w:bookmarkStart w:id="24" w:name="_Toc153980466"/>
      <w:r w:rsidRPr="00210302">
        <w:rPr>
          <w:lang w:val="sv-SE"/>
        </w:rPr>
        <w:t>4.1 Behörighetskrav för fallskärmshoppare, hoppinstruktör och fallskärmskontrollant</w:t>
      </w:r>
      <w:bookmarkEnd w:id="23"/>
      <w:bookmarkEnd w:id="24"/>
    </w:p>
    <w:p w14:paraId="1A578B14" w14:textId="77777777" w:rsidR="00210302" w:rsidRPr="00907A07" w:rsidRDefault="00210302" w:rsidP="00210302">
      <w:pPr>
        <w:pStyle w:val="Twebnormiteksti"/>
        <w:tabs>
          <w:tab w:val="left" w:pos="709"/>
        </w:tabs>
        <w:ind w:left="709" w:hanging="709"/>
        <w:rPr>
          <w:lang w:val="sv-SE"/>
        </w:rPr>
      </w:pPr>
      <w:r>
        <w:rPr>
          <w:lang w:val="sv-SE"/>
        </w:rPr>
        <w:t>4.1.1</w:t>
      </w:r>
      <w:r>
        <w:rPr>
          <w:lang w:val="sv-SE"/>
        </w:rPr>
        <w:tab/>
      </w:r>
      <w:r w:rsidRPr="00907A07">
        <w:rPr>
          <w:lang w:val="sv-SE"/>
        </w:rPr>
        <w:t>En fallskärmshoppare kan hoppa självständigt, då personen har utfört minst 25 hopp med manuell utlösning och avlagt prov på packning av huvudskärm. Fallskärmshopp</w:t>
      </w:r>
      <w:r w:rsidRPr="00907A07">
        <w:rPr>
          <w:lang w:val="sv-SE"/>
        </w:rPr>
        <w:t>a</w:t>
      </w:r>
      <w:r w:rsidRPr="00907A07">
        <w:rPr>
          <w:lang w:val="sv-SE"/>
        </w:rPr>
        <w:t>ren ska vara minst 15 år gammal. Om personen ännu inte har fyllt 18 år, förutsätts skriftligt medg</w:t>
      </w:r>
      <w:r w:rsidRPr="00907A07">
        <w:rPr>
          <w:lang w:val="sv-SE"/>
        </w:rPr>
        <w:t>i</w:t>
      </w:r>
      <w:r w:rsidRPr="00907A07">
        <w:rPr>
          <w:lang w:val="sv-SE"/>
        </w:rPr>
        <w:t>vande från vårdnadshavaren för att hoppa fallskärm.</w:t>
      </w:r>
    </w:p>
    <w:p w14:paraId="2B7F4D64" w14:textId="77777777" w:rsidR="00210302" w:rsidRPr="00907A07" w:rsidRDefault="00210302" w:rsidP="00210302">
      <w:pPr>
        <w:pStyle w:val="Twebnormiteksti"/>
        <w:tabs>
          <w:tab w:val="left" w:pos="709"/>
        </w:tabs>
        <w:ind w:left="709" w:hanging="709"/>
        <w:rPr>
          <w:lang w:val="sv-SE"/>
        </w:rPr>
      </w:pPr>
      <w:r>
        <w:rPr>
          <w:lang w:val="sv-SE"/>
        </w:rPr>
        <w:t>4.1.2</w:t>
      </w:r>
      <w:r>
        <w:rPr>
          <w:lang w:val="sv-SE"/>
        </w:rPr>
        <w:tab/>
      </w:r>
      <w:r w:rsidRPr="00907A07">
        <w:rPr>
          <w:lang w:val="sv-SE"/>
        </w:rPr>
        <w:t>En person som fyllt 18 år som innehaft utbildningsbevis som ger rätt till självständigt hoppande i över två år och som har utfört minst 200 hopp med manuell utlösning kan ge utbildning i fallskärmshoppning i enlighet med sin utbildning och erfarenhet.</w:t>
      </w:r>
    </w:p>
    <w:p w14:paraId="4DC8C7F9" w14:textId="77777777" w:rsidR="00210302" w:rsidRPr="00BB26D2" w:rsidRDefault="00210302" w:rsidP="00210302">
      <w:pPr>
        <w:pStyle w:val="Twebnormiteksti"/>
        <w:ind w:left="709" w:hanging="709"/>
        <w:rPr>
          <w:lang w:val="sv-SE"/>
        </w:rPr>
      </w:pPr>
      <w:r>
        <w:rPr>
          <w:lang w:val="sv-SE"/>
        </w:rPr>
        <w:t>4.1.3</w:t>
      </w:r>
      <w:r>
        <w:rPr>
          <w:lang w:val="sv-SE"/>
        </w:rPr>
        <w:tab/>
      </w:r>
      <w:r w:rsidRPr="00907A07">
        <w:rPr>
          <w:lang w:val="sv-SE"/>
        </w:rPr>
        <w:t>Fallskärmskontrollanten ska vara minst 18 år gammal och inneha utbildningsbevis över den utbildning som uppgifterna förutsätter samt tillräcklig erfarenhet</w:t>
      </w:r>
      <w:r w:rsidRPr="00BB26D2">
        <w:rPr>
          <w:lang w:val="sv-SE"/>
        </w:rPr>
        <w:t xml:space="preserve">. </w:t>
      </w:r>
    </w:p>
    <w:p w14:paraId="2AAC82B6" w14:textId="77777777" w:rsidR="00210302" w:rsidRPr="00BB26D2" w:rsidRDefault="00210302" w:rsidP="00210302">
      <w:pPr>
        <w:pStyle w:val="TwebOtsikko2"/>
        <w:rPr>
          <w:lang w:val="sv-SE"/>
        </w:rPr>
      </w:pPr>
      <w:bookmarkStart w:id="25" w:name="_Toc38959652"/>
      <w:bookmarkStart w:id="26" w:name="_Toc153980467"/>
      <w:r w:rsidRPr="00BB26D2">
        <w:rPr>
          <w:lang w:val="sv-SE"/>
        </w:rPr>
        <w:t>4.2 Hoppjournal och utbildningsbevis</w:t>
      </w:r>
      <w:bookmarkEnd w:id="25"/>
      <w:bookmarkEnd w:id="26"/>
    </w:p>
    <w:p w14:paraId="371F3F22" w14:textId="77777777" w:rsidR="00210302" w:rsidRPr="00907A07" w:rsidRDefault="00210302" w:rsidP="00210302">
      <w:pPr>
        <w:pStyle w:val="Twebnormiteksti"/>
        <w:tabs>
          <w:tab w:val="left" w:pos="709"/>
        </w:tabs>
        <w:ind w:left="709" w:hanging="709"/>
        <w:rPr>
          <w:lang w:val="sv-SE"/>
        </w:rPr>
      </w:pPr>
      <w:r>
        <w:rPr>
          <w:lang w:val="sv-SE"/>
        </w:rPr>
        <w:t>4.2.1</w:t>
      </w:r>
      <w:r>
        <w:rPr>
          <w:lang w:val="sv-SE"/>
        </w:rPr>
        <w:tab/>
      </w:r>
      <w:r w:rsidRPr="00907A07">
        <w:rPr>
          <w:lang w:val="sv-SE"/>
        </w:rPr>
        <w:t>För att kunna bestyrka sin erfarenhet ska fallskärmshopparen föra en personlig hop</w:t>
      </w:r>
      <w:r w:rsidRPr="00907A07">
        <w:rPr>
          <w:lang w:val="sv-SE"/>
        </w:rPr>
        <w:t>p</w:t>
      </w:r>
      <w:r w:rsidRPr="00907A07">
        <w:rPr>
          <w:lang w:val="sv-SE"/>
        </w:rPr>
        <w:t>journal, varav framgår åtminstone datum för fallskärmshoppet jämte löpande numr</w:t>
      </w:r>
      <w:r w:rsidRPr="00907A07">
        <w:rPr>
          <w:lang w:val="sv-SE"/>
        </w:rPr>
        <w:t>e</w:t>
      </w:r>
      <w:r w:rsidRPr="00907A07">
        <w:rPr>
          <w:lang w:val="sv-SE"/>
        </w:rPr>
        <w:t xml:space="preserve">ring, </w:t>
      </w:r>
      <w:proofErr w:type="spellStart"/>
      <w:r w:rsidRPr="00907A07">
        <w:rPr>
          <w:lang w:val="sv-SE"/>
        </w:rPr>
        <w:t>hopplats</w:t>
      </w:r>
      <w:proofErr w:type="spellEnd"/>
      <w:r w:rsidRPr="00907A07">
        <w:rPr>
          <w:lang w:val="sv-SE"/>
        </w:rPr>
        <w:t xml:space="preserve">, </w:t>
      </w:r>
      <w:proofErr w:type="spellStart"/>
      <w:r w:rsidRPr="00907A07">
        <w:rPr>
          <w:lang w:val="sv-SE"/>
        </w:rPr>
        <w:t>hopplanets</w:t>
      </w:r>
      <w:proofErr w:type="spellEnd"/>
      <w:r w:rsidRPr="00907A07">
        <w:rPr>
          <w:lang w:val="sv-SE"/>
        </w:rPr>
        <w:t xml:space="preserve"> beteckning eller typ, hopphöjd, </w:t>
      </w:r>
      <w:proofErr w:type="spellStart"/>
      <w:r w:rsidRPr="00907A07">
        <w:rPr>
          <w:lang w:val="sv-SE"/>
        </w:rPr>
        <w:t>frifallstid</w:t>
      </w:r>
      <w:proofErr w:type="spellEnd"/>
      <w:r w:rsidRPr="00907A07">
        <w:rPr>
          <w:lang w:val="sv-SE"/>
        </w:rPr>
        <w:t>, huvudskärmens typ, eventuella begränsningar samt i fråga om hoppinstruktör eventuell fällning av elev. I elevens hoppjournal ska därtill antecknas utlösningssätt, bedömning av utbildning</w:t>
      </w:r>
      <w:r w:rsidRPr="00907A07">
        <w:rPr>
          <w:lang w:val="sv-SE"/>
        </w:rPr>
        <w:t>s</w:t>
      </w:r>
      <w:r w:rsidRPr="00907A07">
        <w:rPr>
          <w:lang w:val="sv-SE"/>
        </w:rPr>
        <w:t xml:space="preserve">hoppet och hoppinstruktörens underskrift samt datum för avlagda prov och </w:t>
      </w:r>
      <w:proofErr w:type="spellStart"/>
      <w:r w:rsidRPr="00907A07">
        <w:rPr>
          <w:lang w:val="sv-SE"/>
        </w:rPr>
        <w:t>demonstra</w:t>
      </w:r>
      <w:r>
        <w:rPr>
          <w:lang w:val="sv-SE"/>
        </w:rPr>
        <w:t>-</w:t>
      </w:r>
      <w:r w:rsidRPr="00907A07">
        <w:rPr>
          <w:lang w:val="sv-SE"/>
        </w:rPr>
        <w:t>tioner</w:t>
      </w:r>
      <w:proofErr w:type="spellEnd"/>
      <w:r w:rsidRPr="00907A07">
        <w:rPr>
          <w:lang w:val="sv-SE"/>
        </w:rPr>
        <w:t>. Dessa krav gäller inte tandemhoppel</w:t>
      </w:r>
      <w:r w:rsidRPr="00907A07">
        <w:rPr>
          <w:lang w:val="sv-SE"/>
        </w:rPr>
        <w:t>e</w:t>
      </w:r>
      <w:r w:rsidRPr="00907A07">
        <w:rPr>
          <w:lang w:val="sv-SE"/>
        </w:rPr>
        <w:t>ver.</w:t>
      </w:r>
    </w:p>
    <w:p w14:paraId="44C5CBF9" w14:textId="77777777" w:rsidR="00210302" w:rsidRPr="00210302" w:rsidRDefault="00210302" w:rsidP="00210302">
      <w:pPr>
        <w:pStyle w:val="Twebnormiteksti"/>
        <w:tabs>
          <w:tab w:val="left" w:pos="709"/>
        </w:tabs>
        <w:ind w:left="709" w:hanging="709"/>
        <w:rPr>
          <w:lang w:val="sv-SE"/>
        </w:rPr>
      </w:pPr>
      <w:r>
        <w:rPr>
          <w:lang w:val="sv-SE"/>
        </w:rPr>
        <w:t>4.2.2</w:t>
      </w:r>
      <w:r>
        <w:rPr>
          <w:lang w:val="sv-SE"/>
        </w:rPr>
        <w:tab/>
      </w:r>
      <w:r w:rsidRPr="00907A07">
        <w:rPr>
          <w:lang w:val="sv-SE"/>
        </w:rPr>
        <w:t>Den person som ansvarar för utbildningen av fallskärmshoppare, hoppi</w:t>
      </w:r>
      <w:r w:rsidRPr="00907A07">
        <w:rPr>
          <w:lang w:val="sv-SE"/>
        </w:rPr>
        <w:t>n</w:t>
      </w:r>
      <w:r w:rsidRPr="00907A07">
        <w:rPr>
          <w:lang w:val="sv-SE"/>
        </w:rPr>
        <w:t>struktör och fallskärmskontrollant ska efter godkänd utbildning ge eleven ett utbildningsbevis. Bev</w:t>
      </w:r>
      <w:r w:rsidRPr="00907A07">
        <w:rPr>
          <w:lang w:val="sv-SE"/>
        </w:rPr>
        <w:t>i</w:t>
      </w:r>
      <w:r w:rsidRPr="00907A07">
        <w:rPr>
          <w:lang w:val="sv-SE"/>
        </w:rPr>
        <w:t>set ska utfärdas över all utbildning som getts och av beviset ska framgå minst följande uppgifter:</w:t>
      </w:r>
    </w:p>
    <w:p w14:paraId="732EFA60" w14:textId="77777777" w:rsidR="00210302" w:rsidRPr="00CA613D" w:rsidRDefault="00210302" w:rsidP="00210302">
      <w:pPr>
        <w:pStyle w:val="Twebhuomautusteksti"/>
        <w:ind w:hanging="879"/>
        <w:rPr>
          <w:lang w:val="sv-SE"/>
        </w:rPr>
      </w:pPr>
      <w:r>
        <w:rPr>
          <w:lang w:val="sv-SE"/>
        </w:rPr>
        <w:t>1)</w:t>
      </w:r>
      <w:r w:rsidRPr="00CA613D">
        <w:rPr>
          <w:lang w:val="sv-SE"/>
        </w:rPr>
        <w:t xml:space="preserve"> instruktörens namn</w:t>
      </w:r>
    </w:p>
    <w:p w14:paraId="6C483CCB" w14:textId="77777777" w:rsidR="00210302" w:rsidRPr="00CA613D" w:rsidRDefault="00210302" w:rsidP="00210302">
      <w:pPr>
        <w:pStyle w:val="Twebhuomautusteksti"/>
        <w:ind w:hanging="879"/>
        <w:rPr>
          <w:lang w:val="sv-SE"/>
        </w:rPr>
      </w:pPr>
      <w:r>
        <w:rPr>
          <w:lang w:val="sv-SE"/>
        </w:rPr>
        <w:t>2)</w:t>
      </w:r>
      <w:r w:rsidRPr="00CA613D">
        <w:rPr>
          <w:lang w:val="sv-SE"/>
        </w:rPr>
        <w:t xml:space="preserve"> elevens namn och födelsedatum</w:t>
      </w:r>
    </w:p>
    <w:p w14:paraId="2A5124C5" w14:textId="77777777" w:rsidR="00210302" w:rsidRPr="00CA613D" w:rsidRDefault="00210302" w:rsidP="00210302">
      <w:pPr>
        <w:pStyle w:val="Twebhuomautusteksti"/>
        <w:ind w:hanging="879"/>
        <w:rPr>
          <w:lang w:val="sv-SE"/>
        </w:rPr>
      </w:pPr>
      <w:r>
        <w:rPr>
          <w:lang w:val="sv-SE"/>
        </w:rPr>
        <w:t>3)</w:t>
      </w:r>
      <w:r w:rsidRPr="00CA613D">
        <w:rPr>
          <w:lang w:val="sv-SE"/>
        </w:rPr>
        <w:t xml:space="preserve"> utbildningens innehåll</w:t>
      </w:r>
    </w:p>
    <w:p w14:paraId="05FC5823" w14:textId="77777777" w:rsidR="00210302" w:rsidRPr="00CA613D" w:rsidRDefault="00210302" w:rsidP="00210302">
      <w:pPr>
        <w:pStyle w:val="Twebhuomautusteksti"/>
        <w:ind w:hanging="879"/>
        <w:rPr>
          <w:lang w:val="sv-SE"/>
        </w:rPr>
      </w:pPr>
      <w:r>
        <w:rPr>
          <w:lang w:val="sv-SE"/>
        </w:rPr>
        <w:t>4)</w:t>
      </w:r>
      <w:r w:rsidRPr="00CA613D">
        <w:rPr>
          <w:lang w:val="sv-SE"/>
        </w:rPr>
        <w:t xml:space="preserve"> start- och slutdatum för utbildningen</w:t>
      </w:r>
    </w:p>
    <w:p w14:paraId="41F0447A" w14:textId="771468E8" w:rsidR="00210302" w:rsidRDefault="00210302" w:rsidP="00464529">
      <w:pPr>
        <w:pStyle w:val="Leipteksti"/>
        <w:ind w:left="709"/>
        <w:rPr>
          <w:lang w:val="sv-SE"/>
        </w:rPr>
      </w:pPr>
      <w:r>
        <w:rPr>
          <w:lang w:val="sv-SE"/>
        </w:rPr>
        <w:t>5)</w:t>
      </w:r>
      <w:r w:rsidRPr="00CA613D">
        <w:rPr>
          <w:lang w:val="sv-SE"/>
        </w:rPr>
        <w:t xml:space="preserve"> instruktörens underskrift och datum</w:t>
      </w:r>
      <w:r w:rsidR="00464529">
        <w:rPr>
          <w:lang w:val="sv-SE"/>
        </w:rPr>
        <w:t>.</w:t>
      </w:r>
    </w:p>
    <w:p w14:paraId="4C2E567E" w14:textId="77777777" w:rsidR="00210302" w:rsidRPr="00210302" w:rsidRDefault="00210302" w:rsidP="00ED3C42">
      <w:pPr>
        <w:pStyle w:val="TwebOtsikko1"/>
        <w:rPr>
          <w:lang w:val="sv-SE"/>
        </w:rPr>
      </w:pPr>
      <w:bookmarkStart w:id="27" w:name="_Toc130216378"/>
      <w:bookmarkStart w:id="28" w:name="_Toc153980468"/>
      <w:r w:rsidRPr="00210302">
        <w:rPr>
          <w:lang w:val="sv-SE"/>
        </w:rPr>
        <w:t xml:space="preserve">5 </w:t>
      </w:r>
      <w:bookmarkEnd w:id="27"/>
      <w:r w:rsidRPr="00210302">
        <w:rPr>
          <w:lang w:val="sv-SE"/>
        </w:rPr>
        <w:t>UNDANTAG</w:t>
      </w:r>
      <w:bookmarkEnd w:id="28"/>
    </w:p>
    <w:p w14:paraId="28B90C6C" w14:textId="77777777" w:rsidR="00210302" w:rsidRPr="00A21372" w:rsidRDefault="00210302" w:rsidP="00210302">
      <w:pPr>
        <w:autoSpaceDE w:val="0"/>
        <w:autoSpaceDN w:val="0"/>
        <w:adjustRightInd w:val="0"/>
        <w:spacing w:before="120" w:after="0" w:line="240" w:lineRule="auto"/>
        <w:ind w:left="709"/>
        <w:rPr>
          <w:rFonts w:eastAsia="Times New Roman" w:cs="Verdana"/>
          <w:szCs w:val="20"/>
          <w:lang w:val="sv-SE" w:eastAsia="fi-FI"/>
        </w:rPr>
      </w:pPr>
      <w:r w:rsidRPr="00210302">
        <w:rPr>
          <w:rFonts w:eastAsia="Times New Roman" w:cs="Verdana"/>
          <w:szCs w:val="20"/>
          <w:lang w:val="sv-SE" w:eastAsia="fi-FI"/>
        </w:rPr>
        <w:t>Transport- och kommunikationsverket kan på ansökan av särskilda skäl bevilja enskilda tidsbegränsade undantag från kraven i denna föreskrift. Undantagsansökan ska innehålla en beskrivning av vilka krav i föreskriften de föreslagna undantagen berör och på vilket sätt det arrangemang som avviker från kraven garanterar samma säkerhetsnivå som ett kravenligt förfarande. Ansökan ska innehålla en beskrivning av de risker som anknyter till det avvikande arrangemanget och med vilka metoder riskerna hanteras.</w:t>
      </w:r>
    </w:p>
    <w:p w14:paraId="7B5A474D" w14:textId="77777777" w:rsidR="00210302" w:rsidRPr="00210302" w:rsidRDefault="00210302" w:rsidP="00210302">
      <w:pPr>
        <w:pStyle w:val="Leipteksti"/>
        <w:ind w:left="0"/>
        <w:rPr>
          <w:lang w:val="sv-SE"/>
        </w:rPr>
      </w:pPr>
    </w:p>
    <w:p w14:paraId="0A10EFA4" w14:textId="77777777" w:rsidR="00E30637" w:rsidRPr="00D61F5B" w:rsidRDefault="00E30637" w:rsidP="00E30637">
      <w:pPr>
        <w:pStyle w:val="Leipteksti"/>
        <w:rPr>
          <w:lang w:val="sv-FI"/>
        </w:rPr>
      </w:pPr>
    </w:p>
    <w:p w14:paraId="46C61C00" w14:textId="77777777" w:rsidR="00E30637" w:rsidRPr="00E30637" w:rsidRDefault="005057B9" w:rsidP="00E30637">
      <w:pPr>
        <w:pStyle w:val="Leipteksti"/>
      </w:pPr>
      <w:proofErr w:type="spellStart"/>
      <w:r>
        <w:rPr>
          <w:i/>
          <w:u w:val="single"/>
        </w:rPr>
        <w:t>Beslutsfattare</w:t>
      </w:r>
      <w:proofErr w:type="spellEnd"/>
    </w:p>
    <w:p w14:paraId="392D1965" w14:textId="77777777" w:rsidR="00E30637" w:rsidRPr="00E30637" w:rsidRDefault="00E30637" w:rsidP="00E30637">
      <w:pPr>
        <w:pStyle w:val="Leipteksti"/>
      </w:pPr>
    </w:p>
    <w:p w14:paraId="61A115B8" w14:textId="0301D065" w:rsidR="002F6451" w:rsidRPr="00D61F5B" w:rsidRDefault="00D61F5B" w:rsidP="0015058D">
      <w:pPr>
        <w:pStyle w:val="Leipteksti"/>
        <w:rPr>
          <w:i/>
        </w:rPr>
      </w:pPr>
      <w:proofErr w:type="spellStart"/>
      <w:r w:rsidRPr="0071720B">
        <w:rPr>
          <w:i/>
        </w:rPr>
        <w:t>Föredragande</w:t>
      </w:r>
      <w:proofErr w:type="spellEnd"/>
    </w:p>
    <w:sectPr w:rsidR="002F6451" w:rsidRPr="00D61F5B" w:rsidSect="0025559D">
      <w:headerReference w:type="default" r:id="rId7"/>
      <w:footerReference w:type="default" r:id="rId8"/>
      <w:headerReference w:type="first" r:id="rId9"/>
      <w:footerReference w:type="first" r:id="rId10"/>
      <w:pgSz w:w="11906" w:h="16838" w:code="9"/>
      <w:pgMar w:top="567" w:right="102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F93E" w14:textId="77777777" w:rsidR="007978DF" w:rsidRDefault="007978DF" w:rsidP="00E578A9">
      <w:pPr>
        <w:spacing w:after="0" w:line="240" w:lineRule="auto"/>
      </w:pPr>
      <w:r>
        <w:separator/>
      </w:r>
    </w:p>
  </w:endnote>
  <w:endnote w:type="continuationSeparator" w:id="0">
    <w:p w14:paraId="27BC43C8" w14:textId="77777777" w:rsidR="007978DF" w:rsidRDefault="007978DF"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9499" w14:textId="77777777" w:rsidR="003E76F3" w:rsidRPr="00EC5BED" w:rsidRDefault="00A45C39" w:rsidP="003E76F3">
    <w:pPr>
      <w:pStyle w:val="Alatunniste"/>
      <w:spacing w:line="276" w:lineRule="auto"/>
      <w:rPr>
        <w:b/>
        <w:sz w:val="18"/>
        <w:szCs w:val="18"/>
        <w:lang w:val="sv-FI"/>
      </w:rPr>
    </w:pPr>
    <w:r w:rsidRPr="0017214B">
      <w:rPr>
        <w:szCs w:val="18"/>
        <w:lang w:val="sv-FI"/>
      </w:rPr>
      <w:t>Transport- och kommunikationsverket Traficom ● PB 320, 00059 TRAFICOM</w:t>
    </w:r>
    <w:r w:rsidRPr="0017214B">
      <w:rPr>
        <w:szCs w:val="18"/>
        <w:lang w:val="sv-FI"/>
      </w:rPr>
      <w:br/>
      <w:t xml:space="preserve">Tfn 029 534 5000 ● FO-nummer </w:t>
    </w:r>
    <w:proofErr w:type="gramStart"/>
    <w:r w:rsidRPr="0017214B">
      <w:rPr>
        <w:szCs w:val="18"/>
        <w:lang w:val="sv-FI"/>
      </w:rPr>
      <w:t>2924753-3</w:t>
    </w:r>
    <w:proofErr w:type="gramEnd"/>
    <w:r w:rsidRPr="0017214B">
      <w:rPr>
        <w:szCs w:val="18"/>
        <w:lang w:val="sv-FI"/>
      </w:rPr>
      <w:t xml:space="preserve"> </w:t>
    </w:r>
    <w:r w:rsidR="0017214B" w:rsidRPr="0017214B">
      <w:rPr>
        <w:szCs w:val="18"/>
        <w:lang w:val="sv-FI"/>
      </w:rPr>
      <w:tab/>
    </w:r>
    <w:r w:rsidR="0017214B" w:rsidRPr="0017214B">
      <w:rPr>
        <w:szCs w:val="18"/>
        <w:lang w:val="sv-FI"/>
      </w:rPr>
      <w:tab/>
    </w:r>
    <w:r w:rsidRPr="00EC5BED">
      <w:rPr>
        <w:b/>
        <w:szCs w:val="18"/>
        <w:lang w:val="sv-FI"/>
      </w:rPr>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63E" w14:textId="77777777" w:rsidR="00415CDB" w:rsidRPr="00EC5BED" w:rsidRDefault="00437291" w:rsidP="00437291">
    <w:pPr>
      <w:pStyle w:val="Alatunniste"/>
      <w:spacing w:line="276" w:lineRule="auto"/>
      <w:rPr>
        <w:b/>
        <w:szCs w:val="18"/>
        <w:lang w:val="sv-FI"/>
      </w:rPr>
    </w:pPr>
    <w:r w:rsidRPr="00702949">
      <w:rPr>
        <w:szCs w:val="18"/>
        <w:lang w:val="sv-FI"/>
      </w:rPr>
      <w:t xml:space="preserve">Transport- och kommunikationsverket Traficom </w:t>
    </w:r>
    <w:r w:rsidR="00A45C39" w:rsidRPr="00702949">
      <w:rPr>
        <w:szCs w:val="18"/>
        <w:lang w:val="sv-FI"/>
      </w:rPr>
      <w:t>●</w:t>
    </w:r>
    <w:r w:rsidRPr="00702949">
      <w:rPr>
        <w:szCs w:val="18"/>
        <w:lang w:val="sv-FI"/>
      </w:rPr>
      <w:t xml:space="preserve"> PB 320, 00059 TRAFICOM</w:t>
    </w:r>
    <w:r w:rsidR="00A45C39" w:rsidRPr="00702949">
      <w:rPr>
        <w:szCs w:val="18"/>
        <w:lang w:val="sv-FI"/>
      </w:rPr>
      <w:br/>
    </w:r>
    <w:r w:rsidRPr="00702949">
      <w:rPr>
        <w:szCs w:val="18"/>
        <w:lang w:val="sv-FI"/>
      </w:rPr>
      <w:t xml:space="preserve">Tfn 029 534 5000 </w:t>
    </w:r>
    <w:r w:rsidR="00A45C39" w:rsidRPr="00702949">
      <w:rPr>
        <w:szCs w:val="18"/>
        <w:lang w:val="sv-FI"/>
      </w:rPr>
      <w:t>●</w:t>
    </w:r>
    <w:r w:rsidRPr="00702949">
      <w:rPr>
        <w:szCs w:val="18"/>
        <w:lang w:val="sv-FI"/>
      </w:rPr>
      <w:t xml:space="preserve"> FO-nummer 2924753-</w:t>
    </w:r>
    <w:proofErr w:type="gramStart"/>
    <w:r w:rsidRPr="00702949">
      <w:rPr>
        <w:szCs w:val="18"/>
        <w:lang w:val="sv-FI"/>
      </w:rPr>
      <w:t>3</w:t>
    </w:r>
    <w:r w:rsidR="00B27080" w:rsidRPr="00702949">
      <w:rPr>
        <w:szCs w:val="18"/>
        <w:lang w:val="sv-FI"/>
      </w:rPr>
      <w:t xml:space="preserve"> </w:t>
    </w:r>
    <w:r w:rsidR="00B83998" w:rsidRPr="00702949">
      <w:rPr>
        <w:szCs w:val="18"/>
        <w:lang w:val="sv-FI"/>
      </w:rPr>
      <w:t xml:space="preserve"> </w:t>
    </w:r>
    <w:r w:rsidR="00702949" w:rsidRPr="00702949">
      <w:rPr>
        <w:szCs w:val="18"/>
        <w:lang w:val="sv-FI"/>
      </w:rPr>
      <w:tab/>
    </w:r>
    <w:proofErr w:type="gramEnd"/>
    <w:r w:rsidR="00702949" w:rsidRPr="00702949">
      <w:rPr>
        <w:szCs w:val="18"/>
        <w:lang w:val="sv-FI"/>
      </w:rPr>
      <w:tab/>
    </w:r>
    <w:r w:rsidRPr="00EC5BED">
      <w:rPr>
        <w:b/>
        <w:szCs w:val="18"/>
        <w:lang w:val="sv-FI"/>
      </w:rPr>
      <w:t>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279B" w14:textId="77777777" w:rsidR="007978DF" w:rsidRDefault="007978DF" w:rsidP="00E578A9">
      <w:pPr>
        <w:spacing w:after="0" w:line="240" w:lineRule="auto"/>
      </w:pPr>
      <w:r>
        <w:separator/>
      </w:r>
    </w:p>
  </w:footnote>
  <w:footnote w:type="continuationSeparator" w:id="0">
    <w:p w14:paraId="1D189C73" w14:textId="77777777" w:rsidR="007978DF" w:rsidRDefault="007978DF" w:rsidP="00E578A9">
      <w:pPr>
        <w:spacing w:after="0" w:line="240" w:lineRule="auto"/>
      </w:pPr>
      <w:r>
        <w:continuationSeparator/>
      </w:r>
    </w:p>
  </w:footnote>
  <w:footnote w:id="1">
    <w:p w14:paraId="40B86154" w14:textId="77777777" w:rsidR="00210302" w:rsidRPr="00DB1556" w:rsidRDefault="00210302" w:rsidP="00210302">
      <w:pPr>
        <w:pStyle w:val="Alaviitteenteksti"/>
        <w:rPr>
          <w:rFonts w:hint="eastAsia"/>
          <w:bCs/>
          <w:lang w:val="sv-SE"/>
        </w:rPr>
      </w:pPr>
      <w:r>
        <w:rPr>
          <w:rStyle w:val="Alaviitteenviite"/>
        </w:rPr>
        <w:footnoteRef/>
      </w:r>
      <w:r w:rsidRPr="00DB1556">
        <w:rPr>
          <w:lang w:val="sv-SE"/>
        </w:rPr>
        <w:t xml:space="preserve"> </w:t>
      </w:r>
      <w:r w:rsidRPr="00DB1556">
        <w:rPr>
          <w:bCs/>
          <w:sz w:val="18"/>
          <w:szCs w:val="18"/>
          <w:lang w:val="sv-SE"/>
        </w:rPr>
        <w:t xml:space="preserve">Europaparlamentets och rådets förordning (EU) 2018/1139 av den 4 juli 2018 om fastställande av gemensamma bestämmelser på det civila luftfartsområdet och inrättande av Europeiska unionens byrå för luftfartssäkerhet, och om ändring av Europaparlamentets och rådets förordningar (EG) nr 2111/2005, (EG) nr 1008/2008, (EU) nr 996/2010, (EU) nr 376/2014 och direktiv 2014/30/EU och 2014/53/EU, samt om upphävande av Europaparlamentets och rådets förordningar (EG) nr 552/2004 och (EG) nr 216/2008 och rådets förordning (EEG) nr 3922/91 </w:t>
      </w:r>
      <w:r>
        <w:rPr>
          <w:bCs/>
          <w:sz w:val="18"/>
          <w:szCs w:val="18"/>
          <w:lang w:val="sv-SE"/>
        </w:rPr>
        <w:t>(</w:t>
      </w:r>
      <w:r w:rsidRPr="00DB1556">
        <w:rPr>
          <w:bCs/>
          <w:sz w:val="18"/>
          <w:szCs w:val="18"/>
          <w:lang w:val="sv-SE"/>
        </w:rPr>
        <w:t>EUT L 212, 22.8.2018, s. 1–122</w:t>
      </w:r>
      <w:r>
        <w:rPr>
          <w:bCs/>
          <w:sz w:val="18"/>
          <w:szCs w:val="18"/>
          <w:lang w:val="sv-SE"/>
        </w:rPr>
        <w:t>)</w:t>
      </w:r>
    </w:p>
    <w:p w14:paraId="7C7AB2D2" w14:textId="77777777" w:rsidR="00210302" w:rsidRPr="00DB1556" w:rsidRDefault="00210302" w:rsidP="00210302">
      <w:pPr>
        <w:pStyle w:val="Alaviitteenteksti"/>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9D87" w14:textId="5F6EE387" w:rsidR="00EB1DDC" w:rsidRPr="009D5674" w:rsidRDefault="00710EB4" w:rsidP="0025559D">
    <w:pPr>
      <w:pStyle w:val="Yltunniste"/>
      <w:tabs>
        <w:tab w:val="clear" w:pos="4819"/>
      </w:tabs>
      <w:ind w:left="851" w:firstLine="4252"/>
      <w:rPr>
        <w:b/>
        <w:sz w:val="22"/>
      </w:rPr>
    </w:pPr>
    <w:r w:rsidRPr="007978DF">
      <w:rPr>
        <w:noProof/>
        <w:color w:val="FF0000"/>
        <w:lang w:eastAsia="fi-FI"/>
      </w:rPr>
      <w:drawing>
        <wp:anchor distT="0" distB="0" distL="114300" distR="114300" simplePos="0" relativeHeight="251675648" behindDoc="0" locked="0" layoutInCell="1" allowOverlap="1" wp14:anchorId="3FABD013" wp14:editId="3D5A4B6F">
          <wp:simplePos x="0" y="0"/>
          <wp:positionH relativeFrom="page">
            <wp:posOffset>733331</wp:posOffset>
          </wp:positionH>
          <wp:positionV relativeFrom="page">
            <wp:posOffset>362139</wp:posOffset>
          </wp:positionV>
          <wp:extent cx="2139938" cy="467999"/>
          <wp:effectExtent l="0" t="0" r="0" b="825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938" cy="46799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978DF" w:rsidRPr="007978DF">
      <w:rPr>
        <w:b/>
        <w:color w:val="FF0000"/>
        <w:sz w:val="22"/>
      </w:rPr>
      <w:t>UTKAST</w:t>
    </w:r>
    <w:r w:rsidR="00EB1DDC">
      <w:rPr>
        <w:b/>
        <w:sz w:val="22"/>
      </w:rPr>
      <w:t>Föreskrift</w:t>
    </w:r>
    <w:proofErr w:type="spellEnd"/>
    <w:r w:rsidR="00EB1DDC">
      <w:rPr>
        <w:b/>
        <w:sz w:val="22"/>
      </w:rPr>
      <w:tab/>
    </w:r>
    <w:r w:rsidR="00EB1DDC">
      <w:rPr>
        <w:rStyle w:val="Sivunumero"/>
      </w:rPr>
      <w:fldChar w:fldCharType="begin"/>
    </w:r>
    <w:r w:rsidR="00EB1DDC">
      <w:rPr>
        <w:rStyle w:val="Sivunumero"/>
      </w:rPr>
      <w:instrText xml:space="preserve"> PAGE </w:instrText>
    </w:r>
    <w:r w:rsidR="00EB1DDC">
      <w:rPr>
        <w:rStyle w:val="Sivunumero"/>
      </w:rPr>
      <w:fldChar w:fldCharType="separate"/>
    </w:r>
    <w:r w:rsidR="008B51D5">
      <w:rPr>
        <w:rStyle w:val="Sivunumero"/>
        <w:noProof/>
      </w:rPr>
      <w:t>2</w:t>
    </w:r>
    <w:r w:rsidR="00EB1DDC">
      <w:rPr>
        <w:rStyle w:val="Sivunumero"/>
      </w:rPr>
      <w:fldChar w:fldCharType="end"/>
    </w:r>
    <w:r w:rsidR="00EB1DDC">
      <w:t xml:space="preserve"> (</w:t>
    </w:r>
    <w:r w:rsidR="00EB1DDC">
      <w:rPr>
        <w:rStyle w:val="Sivunumero"/>
      </w:rPr>
      <w:fldChar w:fldCharType="begin"/>
    </w:r>
    <w:r w:rsidR="00EB1DDC">
      <w:rPr>
        <w:rStyle w:val="Sivunumero"/>
      </w:rPr>
      <w:instrText xml:space="preserve"> NUMPAGES </w:instrText>
    </w:r>
    <w:r w:rsidR="00EB1DDC">
      <w:rPr>
        <w:rStyle w:val="Sivunumero"/>
      </w:rPr>
      <w:fldChar w:fldCharType="separate"/>
    </w:r>
    <w:r w:rsidR="008B51D5">
      <w:rPr>
        <w:rStyle w:val="Sivunumero"/>
        <w:noProof/>
      </w:rPr>
      <w:t>2</w:t>
    </w:r>
    <w:r w:rsidR="00EB1DDC">
      <w:rPr>
        <w:rStyle w:val="Sivunumero"/>
      </w:rPr>
      <w:fldChar w:fldCharType="end"/>
    </w:r>
    <w:r w:rsidR="00EB1DDC">
      <w:t>)</w:t>
    </w:r>
  </w:p>
  <w:p w14:paraId="783B47B0" w14:textId="77777777" w:rsidR="00EB1DDC" w:rsidRDefault="00EB1DDC" w:rsidP="0025559D">
    <w:pPr>
      <w:pStyle w:val="Yltunniste"/>
      <w:tabs>
        <w:tab w:val="clear" w:pos="4819"/>
      </w:tabs>
      <w:ind w:left="851" w:firstLine="4252"/>
    </w:pPr>
  </w:p>
  <w:p w14:paraId="6BFAD6CC" w14:textId="77777777" w:rsidR="007978DF" w:rsidRDefault="007978DF" w:rsidP="007978DF">
    <w:pPr>
      <w:pStyle w:val="Yltunniste"/>
      <w:tabs>
        <w:tab w:val="clear" w:pos="4819"/>
        <w:tab w:val="left" w:pos="5103"/>
      </w:tabs>
      <w:ind w:left="851" w:firstLine="4252"/>
      <w:rPr>
        <w:szCs w:val="20"/>
      </w:rPr>
    </w:pPr>
    <w:bookmarkStart w:id="29" w:name="_Hlk150497153"/>
    <w:r w:rsidRPr="00360B1E">
      <w:rPr>
        <w:szCs w:val="20"/>
      </w:rPr>
      <w:t>TRAFICOM/117563/03.04.00.00/2022</w:t>
    </w:r>
  </w:p>
  <w:bookmarkEnd w:id="29"/>
  <w:p w14:paraId="153A30B0" w14:textId="0F4E1260" w:rsidR="00EB1DDC" w:rsidRPr="007D2DE0" w:rsidRDefault="007978DF" w:rsidP="0025559D">
    <w:pPr>
      <w:pStyle w:val="Yltunniste"/>
      <w:tabs>
        <w:tab w:val="clear" w:pos="4819"/>
      </w:tabs>
      <w:ind w:left="851" w:firstLine="4252"/>
      <w:rPr>
        <w:szCs w:val="20"/>
      </w:rPr>
    </w:pPr>
    <w:r>
      <w:rPr>
        <w:szCs w:val="20"/>
      </w:rPr>
      <w:t>OPS M6-1</w:t>
    </w:r>
  </w:p>
  <w:p w14:paraId="746A8C40" w14:textId="77777777" w:rsidR="00EB1DDC" w:rsidRDefault="00EB1DDC" w:rsidP="0025559D">
    <w:pPr>
      <w:pStyle w:val="Yltunniste"/>
      <w:tabs>
        <w:tab w:val="clear" w:pos="4819"/>
      </w:tabs>
      <w:ind w:firstLine="4252"/>
    </w:pPr>
  </w:p>
  <w:p w14:paraId="36937BEC" w14:textId="77777777" w:rsidR="00913C6B" w:rsidRDefault="00913C6B" w:rsidP="00EB1DD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D18" w14:textId="77777777" w:rsidR="00702949" w:rsidRPr="009D5674" w:rsidRDefault="00702949" w:rsidP="00702949">
    <w:pPr>
      <w:pStyle w:val="Yltunniste"/>
      <w:tabs>
        <w:tab w:val="left" w:pos="5670"/>
      </w:tabs>
      <w:ind w:left="851" w:firstLine="4819"/>
      <w:rPr>
        <w:b/>
        <w:sz w:val="22"/>
      </w:rPr>
    </w:pPr>
    <w:r>
      <w:rPr>
        <w:noProof/>
        <w:lang w:eastAsia="fi-FI"/>
      </w:rPr>
      <w:drawing>
        <wp:anchor distT="0" distB="0" distL="114300" distR="114300" simplePos="0" relativeHeight="251673600" behindDoc="0" locked="0" layoutInCell="1" allowOverlap="1" wp14:anchorId="4C0CB5B1" wp14:editId="1EA3355F">
          <wp:simplePos x="0" y="0"/>
          <wp:positionH relativeFrom="page">
            <wp:posOffset>720090</wp:posOffset>
          </wp:positionH>
          <wp:positionV relativeFrom="page">
            <wp:posOffset>360045</wp:posOffset>
          </wp:positionV>
          <wp:extent cx="2160000" cy="468000"/>
          <wp:effectExtent l="0" t="0" r="0" b="8255"/>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2"/>
      </w:rPr>
      <w:t>Föreskrift</w:t>
    </w:r>
    <w:proofErr w:type="spellEnd"/>
    <w:r>
      <w:rPr>
        <w:b/>
        <w:sz w:val="22"/>
      </w:rPr>
      <w:tab/>
    </w:r>
    <w:r>
      <w:rPr>
        <w:rStyle w:val="Sivunumero"/>
      </w:rPr>
      <w:fldChar w:fldCharType="begin"/>
    </w:r>
    <w:r>
      <w:rPr>
        <w:rStyle w:val="Sivunumero"/>
      </w:rPr>
      <w:instrText xml:space="preserve"> PAGE </w:instrText>
    </w:r>
    <w:r>
      <w:rPr>
        <w:rStyle w:val="Sivunumero"/>
      </w:rPr>
      <w:fldChar w:fldCharType="separate"/>
    </w:r>
    <w:r w:rsidR="00896BFD">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896BFD">
      <w:rPr>
        <w:rStyle w:val="Sivunumero"/>
        <w:noProof/>
      </w:rPr>
      <w:t>2</w:t>
    </w:r>
    <w:r>
      <w:rPr>
        <w:rStyle w:val="Sivunumero"/>
      </w:rPr>
      <w:fldChar w:fldCharType="end"/>
    </w:r>
    <w:r>
      <w:t>)</w:t>
    </w:r>
  </w:p>
  <w:p w14:paraId="0EA28FD4" w14:textId="77777777" w:rsidR="00702949" w:rsidRDefault="00702949" w:rsidP="00702949">
    <w:pPr>
      <w:pStyle w:val="Yltunniste"/>
      <w:tabs>
        <w:tab w:val="left" w:pos="5670"/>
      </w:tabs>
      <w:ind w:left="851" w:firstLine="4819"/>
    </w:pPr>
  </w:p>
  <w:p w14:paraId="0D74601B" w14:textId="77777777" w:rsidR="00702949" w:rsidRPr="007D2DE0" w:rsidRDefault="00702949" w:rsidP="00702949">
    <w:pPr>
      <w:pStyle w:val="Yltunniste"/>
      <w:ind w:left="851" w:firstLine="4819"/>
      <w:rPr>
        <w:szCs w:val="20"/>
      </w:rPr>
    </w:pPr>
    <w:r>
      <w:fldChar w:fldCharType="begin"/>
    </w:r>
    <w:r>
      <w:instrText xml:space="preserve"> MACROBUTTON  AdditionalActions [diarienummer] </w:instrText>
    </w:r>
    <w:r>
      <w:fldChar w:fldCharType="end"/>
    </w:r>
  </w:p>
  <w:p w14:paraId="4497A61A" w14:textId="77777777" w:rsidR="00415CDB" w:rsidRDefault="00415CDB" w:rsidP="0017214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A528E"/>
    <w:multiLevelType w:val="hybridMultilevel"/>
    <w:tmpl w:val="906ABCA2"/>
    <w:lvl w:ilvl="0" w:tplc="9912D778">
      <w:start w:val="1"/>
      <w:numFmt w:val="decimal"/>
      <w:pStyle w:val="Liiteotsikko"/>
      <w:lvlText w:val="Bilaga %1"/>
      <w:lvlJc w:val="left"/>
      <w:pPr>
        <w:ind w:left="36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3" w15:restartNumberingAfterBreak="0">
    <w:nsid w:val="3DD83DFA"/>
    <w:multiLevelType w:val="hybridMultilevel"/>
    <w:tmpl w:val="880004E0"/>
    <w:lvl w:ilvl="0" w:tplc="41444804">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4" w15:restartNumberingAfterBreak="0">
    <w:nsid w:val="481B6E59"/>
    <w:multiLevelType w:val="hybridMultilevel"/>
    <w:tmpl w:val="0AB4FF46"/>
    <w:lvl w:ilvl="0" w:tplc="ABC2D738">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5"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942"/>
        </w:tabs>
        <w:ind w:left="942" w:hanging="800"/>
      </w:pPr>
      <w:rPr>
        <w:rFonts w:hint="default"/>
      </w:rPr>
    </w:lvl>
    <w:lvl w:ilvl="2">
      <w:start w:val="1"/>
      <w:numFmt w:val="decimal"/>
      <w:pStyle w:val="Otsikko3"/>
      <w:lvlText w:val="%1.%2.%3"/>
      <w:lvlJc w:val="left"/>
      <w:pPr>
        <w:tabs>
          <w:tab w:val="num" w:pos="1142"/>
        </w:tabs>
        <w:ind w:left="1142"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6"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7" w15:restartNumberingAfterBreak="0">
    <w:nsid w:val="5C42159B"/>
    <w:multiLevelType w:val="hybridMultilevel"/>
    <w:tmpl w:val="0A66587C"/>
    <w:lvl w:ilvl="0" w:tplc="FF0612F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5E1B7FD5"/>
    <w:multiLevelType w:val="hybridMultilevel"/>
    <w:tmpl w:val="AE048600"/>
    <w:lvl w:ilvl="0" w:tplc="040B0001">
      <w:start w:val="1"/>
      <w:numFmt w:val="bullet"/>
      <w:lvlText w:val=""/>
      <w:lvlJc w:val="left"/>
      <w:pPr>
        <w:ind w:left="2702" w:hanging="360"/>
      </w:pPr>
      <w:rPr>
        <w:rFonts w:ascii="Symbol" w:hAnsi="Symbol" w:hint="default"/>
      </w:rPr>
    </w:lvl>
    <w:lvl w:ilvl="1" w:tplc="040B0003" w:tentative="1">
      <w:start w:val="1"/>
      <w:numFmt w:val="bullet"/>
      <w:lvlText w:val="o"/>
      <w:lvlJc w:val="left"/>
      <w:pPr>
        <w:ind w:left="3422" w:hanging="360"/>
      </w:pPr>
      <w:rPr>
        <w:rFonts w:ascii="Courier New" w:hAnsi="Courier New" w:cs="Courier New" w:hint="default"/>
      </w:rPr>
    </w:lvl>
    <w:lvl w:ilvl="2" w:tplc="040B0005" w:tentative="1">
      <w:start w:val="1"/>
      <w:numFmt w:val="bullet"/>
      <w:lvlText w:val=""/>
      <w:lvlJc w:val="left"/>
      <w:pPr>
        <w:ind w:left="4142" w:hanging="360"/>
      </w:pPr>
      <w:rPr>
        <w:rFonts w:ascii="Wingdings" w:hAnsi="Wingdings" w:hint="default"/>
      </w:rPr>
    </w:lvl>
    <w:lvl w:ilvl="3" w:tplc="040B0001" w:tentative="1">
      <w:start w:val="1"/>
      <w:numFmt w:val="bullet"/>
      <w:lvlText w:val=""/>
      <w:lvlJc w:val="left"/>
      <w:pPr>
        <w:ind w:left="4862" w:hanging="360"/>
      </w:pPr>
      <w:rPr>
        <w:rFonts w:ascii="Symbol" w:hAnsi="Symbol" w:hint="default"/>
      </w:rPr>
    </w:lvl>
    <w:lvl w:ilvl="4" w:tplc="040B0003" w:tentative="1">
      <w:start w:val="1"/>
      <w:numFmt w:val="bullet"/>
      <w:lvlText w:val="o"/>
      <w:lvlJc w:val="left"/>
      <w:pPr>
        <w:ind w:left="5582" w:hanging="360"/>
      </w:pPr>
      <w:rPr>
        <w:rFonts w:ascii="Courier New" w:hAnsi="Courier New" w:cs="Courier New" w:hint="default"/>
      </w:rPr>
    </w:lvl>
    <w:lvl w:ilvl="5" w:tplc="040B0005" w:tentative="1">
      <w:start w:val="1"/>
      <w:numFmt w:val="bullet"/>
      <w:lvlText w:val=""/>
      <w:lvlJc w:val="left"/>
      <w:pPr>
        <w:ind w:left="6302" w:hanging="360"/>
      </w:pPr>
      <w:rPr>
        <w:rFonts w:ascii="Wingdings" w:hAnsi="Wingdings" w:hint="default"/>
      </w:rPr>
    </w:lvl>
    <w:lvl w:ilvl="6" w:tplc="040B0001" w:tentative="1">
      <w:start w:val="1"/>
      <w:numFmt w:val="bullet"/>
      <w:lvlText w:val=""/>
      <w:lvlJc w:val="left"/>
      <w:pPr>
        <w:ind w:left="7022" w:hanging="360"/>
      </w:pPr>
      <w:rPr>
        <w:rFonts w:ascii="Symbol" w:hAnsi="Symbol" w:hint="default"/>
      </w:rPr>
    </w:lvl>
    <w:lvl w:ilvl="7" w:tplc="040B0003" w:tentative="1">
      <w:start w:val="1"/>
      <w:numFmt w:val="bullet"/>
      <w:lvlText w:val="o"/>
      <w:lvlJc w:val="left"/>
      <w:pPr>
        <w:ind w:left="7742" w:hanging="360"/>
      </w:pPr>
      <w:rPr>
        <w:rFonts w:ascii="Courier New" w:hAnsi="Courier New" w:cs="Courier New" w:hint="default"/>
      </w:rPr>
    </w:lvl>
    <w:lvl w:ilvl="8" w:tplc="040B0005" w:tentative="1">
      <w:start w:val="1"/>
      <w:numFmt w:val="bullet"/>
      <w:lvlText w:val=""/>
      <w:lvlJc w:val="left"/>
      <w:pPr>
        <w:ind w:left="8462" w:hanging="360"/>
      </w:pPr>
      <w:rPr>
        <w:rFonts w:ascii="Wingdings" w:hAnsi="Wingdings" w:hint="default"/>
      </w:rPr>
    </w:lvl>
  </w:abstractNum>
  <w:abstractNum w:abstractNumId="19"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11"/>
  </w:num>
  <w:num w:numId="16">
    <w:abstractNumId w:val="16"/>
  </w:num>
  <w:num w:numId="17">
    <w:abstractNumId w:val="17"/>
  </w:num>
  <w:num w:numId="18">
    <w:abstractNumId w:val="14"/>
  </w:num>
  <w:num w:numId="19">
    <w:abstractNumId w:val="1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DF"/>
    <w:rsid w:val="00010AA4"/>
    <w:rsid w:val="00034785"/>
    <w:rsid w:val="000429A7"/>
    <w:rsid w:val="000B0690"/>
    <w:rsid w:val="000B6F02"/>
    <w:rsid w:val="000D279D"/>
    <w:rsid w:val="000D397C"/>
    <w:rsid w:val="001263AE"/>
    <w:rsid w:val="00135E93"/>
    <w:rsid w:val="0015058D"/>
    <w:rsid w:val="00151C1A"/>
    <w:rsid w:val="0017214B"/>
    <w:rsid w:val="00176572"/>
    <w:rsid w:val="00184016"/>
    <w:rsid w:val="001A3DDA"/>
    <w:rsid w:val="001B3D26"/>
    <w:rsid w:val="002026D1"/>
    <w:rsid w:val="00210302"/>
    <w:rsid w:val="0021220D"/>
    <w:rsid w:val="00240B2E"/>
    <w:rsid w:val="002519F0"/>
    <w:rsid w:val="0025559D"/>
    <w:rsid w:val="002673BD"/>
    <w:rsid w:val="0026747B"/>
    <w:rsid w:val="00271646"/>
    <w:rsid w:val="00274D74"/>
    <w:rsid w:val="00290FB6"/>
    <w:rsid w:val="00292F4C"/>
    <w:rsid w:val="002A1CE8"/>
    <w:rsid w:val="002A3FA9"/>
    <w:rsid w:val="002B0963"/>
    <w:rsid w:val="002B7972"/>
    <w:rsid w:val="002C3FBE"/>
    <w:rsid w:val="002F6451"/>
    <w:rsid w:val="00342297"/>
    <w:rsid w:val="00346367"/>
    <w:rsid w:val="003518BA"/>
    <w:rsid w:val="00364277"/>
    <w:rsid w:val="00376954"/>
    <w:rsid w:val="00386C3A"/>
    <w:rsid w:val="00393D5C"/>
    <w:rsid w:val="003B341E"/>
    <w:rsid w:val="003C023B"/>
    <w:rsid w:val="003C5F3C"/>
    <w:rsid w:val="003C769A"/>
    <w:rsid w:val="003E76F3"/>
    <w:rsid w:val="0040546B"/>
    <w:rsid w:val="00415CDB"/>
    <w:rsid w:val="00423466"/>
    <w:rsid w:val="00437291"/>
    <w:rsid w:val="00464529"/>
    <w:rsid w:val="00475C7E"/>
    <w:rsid w:val="00483D58"/>
    <w:rsid w:val="00484ED6"/>
    <w:rsid w:val="004B79D0"/>
    <w:rsid w:val="004C7920"/>
    <w:rsid w:val="004D6E61"/>
    <w:rsid w:val="004F132E"/>
    <w:rsid w:val="004F1FFD"/>
    <w:rsid w:val="0050058D"/>
    <w:rsid w:val="005025B0"/>
    <w:rsid w:val="005057B9"/>
    <w:rsid w:val="005156CF"/>
    <w:rsid w:val="005662BD"/>
    <w:rsid w:val="005A6857"/>
    <w:rsid w:val="005E4BD5"/>
    <w:rsid w:val="00612976"/>
    <w:rsid w:val="00650E61"/>
    <w:rsid w:val="006728BE"/>
    <w:rsid w:val="00682344"/>
    <w:rsid w:val="006846BA"/>
    <w:rsid w:val="006919E4"/>
    <w:rsid w:val="006A6E2C"/>
    <w:rsid w:val="006C4C8C"/>
    <w:rsid w:val="006D2DAF"/>
    <w:rsid w:val="006D4F55"/>
    <w:rsid w:val="006E041A"/>
    <w:rsid w:val="00702949"/>
    <w:rsid w:val="00707D96"/>
    <w:rsid w:val="00710EB4"/>
    <w:rsid w:val="00714E9B"/>
    <w:rsid w:val="0071720B"/>
    <w:rsid w:val="00733B72"/>
    <w:rsid w:val="00740D28"/>
    <w:rsid w:val="00784D65"/>
    <w:rsid w:val="00785F7A"/>
    <w:rsid w:val="007978DF"/>
    <w:rsid w:val="007D2BF7"/>
    <w:rsid w:val="007E1100"/>
    <w:rsid w:val="00800A79"/>
    <w:rsid w:val="00892F1A"/>
    <w:rsid w:val="00896BFD"/>
    <w:rsid w:val="008A1881"/>
    <w:rsid w:val="008B49DA"/>
    <w:rsid w:val="008B51D5"/>
    <w:rsid w:val="008C5082"/>
    <w:rsid w:val="008D2EA0"/>
    <w:rsid w:val="008F0F75"/>
    <w:rsid w:val="008F1700"/>
    <w:rsid w:val="00900E21"/>
    <w:rsid w:val="00904BFE"/>
    <w:rsid w:val="00911681"/>
    <w:rsid w:val="00913805"/>
    <w:rsid w:val="0091382F"/>
    <w:rsid w:val="00913C6B"/>
    <w:rsid w:val="009919B8"/>
    <w:rsid w:val="009A7A61"/>
    <w:rsid w:val="009C51D5"/>
    <w:rsid w:val="009D7B22"/>
    <w:rsid w:val="009E11F0"/>
    <w:rsid w:val="009E3CD0"/>
    <w:rsid w:val="009F1F89"/>
    <w:rsid w:val="00A0399E"/>
    <w:rsid w:val="00A11409"/>
    <w:rsid w:val="00A22CCA"/>
    <w:rsid w:val="00A42962"/>
    <w:rsid w:val="00A45C39"/>
    <w:rsid w:val="00A52AAD"/>
    <w:rsid w:val="00A55C33"/>
    <w:rsid w:val="00A63542"/>
    <w:rsid w:val="00A720FE"/>
    <w:rsid w:val="00A77BE8"/>
    <w:rsid w:val="00A85BEA"/>
    <w:rsid w:val="00AB1593"/>
    <w:rsid w:val="00AC02A0"/>
    <w:rsid w:val="00AC10BB"/>
    <w:rsid w:val="00AC21C3"/>
    <w:rsid w:val="00AC75FF"/>
    <w:rsid w:val="00AD58F8"/>
    <w:rsid w:val="00AD6AC5"/>
    <w:rsid w:val="00AF3E9A"/>
    <w:rsid w:val="00B023B7"/>
    <w:rsid w:val="00B15BE7"/>
    <w:rsid w:val="00B242CB"/>
    <w:rsid w:val="00B27080"/>
    <w:rsid w:val="00B31ED1"/>
    <w:rsid w:val="00B37887"/>
    <w:rsid w:val="00B459AE"/>
    <w:rsid w:val="00B50B7F"/>
    <w:rsid w:val="00B571C1"/>
    <w:rsid w:val="00B66871"/>
    <w:rsid w:val="00B763EF"/>
    <w:rsid w:val="00B83998"/>
    <w:rsid w:val="00BC4E91"/>
    <w:rsid w:val="00BC7ACB"/>
    <w:rsid w:val="00BD4C72"/>
    <w:rsid w:val="00BE77BB"/>
    <w:rsid w:val="00BE7E2C"/>
    <w:rsid w:val="00C228F6"/>
    <w:rsid w:val="00C270E4"/>
    <w:rsid w:val="00C46ED5"/>
    <w:rsid w:val="00C473F5"/>
    <w:rsid w:val="00C516DE"/>
    <w:rsid w:val="00C551DF"/>
    <w:rsid w:val="00C7612D"/>
    <w:rsid w:val="00CA6E6F"/>
    <w:rsid w:val="00D1098F"/>
    <w:rsid w:val="00D30D56"/>
    <w:rsid w:val="00D32EE1"/>
    <w:rsid w:val="00D419E1"/>
    <w:rsid w:val="00D44CBA"/>
    <w:rsid w:val="00D6135C"/>
    <w:rsid w:val="00D61F5B"/>
    <w:rsid w:val="00D66651"/>
    <w:rsid w:val="00D765C2"/>
    <w:rsid w:val="00D77243"/>
    <w:rsid w:val="00D9383A"/>
    <w:rsid w:val="00DA482D"/>
    <w:rsid w:val="00DC3497"/>
    <w:rsid w:val="00DD1B38"/>
    <w:rsid w:val="00DE4C6B"/>
    <w:rsid w:val="00E2066A"/>
    <w:rsid w:val="00E27588"/>
    <w:rsid w:val="00E30481"/>
    <w:rsid w:val="00E30637"/>
    <w:rsid w:val="00E578A9"/>
    <w:rsid w:val="00E73E5C"/>
    <w:rsid w:val="00EA0DE7"/>
    <w:rsid w:val="00EB1DDC"/>
    <w:rsid w:val="00EC5BED"/>
    <w:rsid w:val="00ED3C42"/>
    <w:rsid w:val="00ED524D"/>
    <w:rsid w:val="00EE50BC"/>
    <w:rsid w:val="00F03669"/>
    <w:rsid w:val="00F16D8D"/>
    <w:rsid w:val="00F26D69"/>
    <w:rsid w:val="00F60C7D"/>
    <w:rsid w:val="00F62717"/>
    <w:rsid w:val="00F75BC4"/>
    <w:rsid w:val="00FA160F"/>
    <w:rsid w:val="00FC602F"/>
    <w:rsid w:val="00FD5A76"/>
    <w:rsid w:val="00FE44B9"/>
    <w:rsid w:val="00FF1F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0D4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001539"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9E11F0"/>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176572"/>
    <w:rPr>
      <w:color w:val="002B74" w:themeColor="text2"/>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16"/>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483D58"/>
    <w:pPr>
      <w:numPr>
        <w:numId w:val="21"/>
      </w:numPr>
      <w:tabs>
        <w:tab w:val="clear" w:pos="2552"/>
        <w:tab w:val="left" w:pos="993"/>
      </w:tabs>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20"/>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001539" w:themeColor="accent1" w:themeShade="7F"/>
      <w:sz w:val="20"/>
    </w:rPr>
  </w:style>
  <w:style w:type="paragraph" w:styleId="Seliteteksti">
    <w:name w:val="Balloon Text"/>
    <w:basedOn w:val="Normaali"/>
    <w:link w:val="SelitetekstiChar"/>
    <w:uiPriority w:val="99"/>
    <w:semiHidden/>
    <w:unhideWhenUsed/>
    <w:rsid w:val="00E73E5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73E5C"/>
    <w:rPr>
      <w:rFonts w:ascii="Segoe UI" w:hAnsi="Segoe UI" w:cs="Segoe UI"/>
      <w:sz w:val="18"/>
      <w:szCs w:val="18"/>
    </w:rPr>
  </w:style>
  <w:style w:type="character" w:styleId="Kommentinviite">
    <w:name w:val="annotation reference"/>
    <w:basedOn w:val="Kappaleenoletusfontti"/>
    <w:uiPriority w:val="99"/>
    <w:semiHidden/>
    <w:unhideWhenUsed/>
    <w:rsid w:val="006D2DAF"/>
    <w:rPr>
      <w:sz w:val="16"/>
      <w:szCs w:val="16"/>
    </w:rPr>
  </w:style>
  <w:style w:type="paragraph" w:styleId="Kommentinteksti">
    <w:name w:val="annotation text"/>
    <w:basedOn w:val="Normaali"/>
    <w:link w:val="KommentintekstiChar"/>
    <w:uiPriority w:val="99"/>
    <w:semiHidden/>
    <w:unhideWhenUsed/>
    <w:rsid w:val="006D2DAF"/>
    <w:pPr>
      <w:spacing w:line="240" w:lineRule="auto"/>
    </w:pPr>
    <w:rPr>
      <w:szCs w:val="20"/>
    </w:rPr>
  </w:style>
  <w:style w:type="character" w:customStyle="1" w:styleId="KommentintekstiChar">
    <w:name w:val="Kommentin teksti Char"/>
    <w:basedOn w:val="Kappaleenoletusfontti"/>
    <w:link w:val="Kommentinteksti"/>
    <w:uiPriority w:val="99"/>
    <w:semiHidden/>
    <w:rsid w:val="006D2DAF"/>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6D2DAF"/>
    <w:rPr>
      <w:b/>
      <w:bCs/>
    </w:rPr>
  </w:style>
  <w:style w:type="character" w:customStyle="1" w:styleId="KommentinotsikkoChar">
    <w:name w:val="Kommentin otsikko Char"/>
    <w:basedOn w:val="KommentintekstiChar"/>
    <w:link w:val="Kommentinotsikko"/>
    <w:uiPriority w:val="99"/>
    <w:semiHidden/>
    <w:rsid w:val="006D2DAF"/>
    <w:rPr>
      <w:rFonts w:ascii="Verdana" w:hAnsi="Verdana"/>
      <w:b/>
      <w:bCs/>
      <w:sz w:val="20"/>
      <w:szCs w:val="20"/>
    </w:rPr>
  </w:style>
  <w:style w:type="paragraph" w:customStyle="1" w:styleId="Twebnormiteksti">
    <w:name w:val="Tweb_normiteksti"/>
    <w:basedOn w:val="Normaali"/>
    <w:qFormat/>
    <w:rsid w:val="00210302"/>
    <w:pPr>
      <w:spacing w:before="120" w:after="0" w:line="240" w:lineRule="auto"/>
      <w:ind w:left="1191"/>
    </w:pPr>
    <w:rPr>
      <w:rFonts w:eastAsia="Times New Roman" w:cs="Times New Roman"/>
      <w:szCs w:val="24"/>
      <w:lang w:eastAsia="fi-FI"/>
    </w:rPr>
  </w:style>
  <w:style w:type="paragraph" w:customStyle="1" w:styleId="TwebOtsikko1">
    <w:name w:val="Tweb_Otsikko 1"/>
    <w:next w:val="Twebnormiteksti"/>
    <w:qFormat/>
    <w:rsid w:val="00210302"/>
    <w:pPr>
      <w:keepNext/>
      <w:widowControl w:val="0"/>
      <w:spacing w:before="320" w:after="200" w:line="240" w:lineRule="auto"/>
      <w:outlineLvl w:val="0"/>
    </w:pPr>
    <w:rPr>
      <w:rFonts w:ascii="Verdana" w:eastAsia="Times New Roman" w:hAnsi="Verdana" w:cs="Times New Roman"/>
      <w:b/>
      <w:bCs/>
      <w:kern w:val="32"/>
      <w:sz w:val="28"/>
      <w:szCs w:val="32"/>
      <w:lang w:eastAsia="fi-FI"/>
    </w:rPr>
  </w:style>
  <w:style w:type="paragraph" w:customStyle="1" w:styleId="TwebOtsikko2">
    <w:name w:val="Tweb_Otsikko 2"/>
    <w:next w:val="Twebnormiteksti"/>
    <w:qFormat/>
    <w:rsid w:val="00210302"/>
    <w:pPr>
      <w:keepNext/>
      <w:spacing w:before="180" w:after="0" w:line="240" w:lineRule="auto"/>
      <w:outlineLvl w:val="1"/>
    </w:pPr>
    <w:rPr>
      <w:rFonts w:ascii="Verdana" w:eastAsia="Times New Roman" w:hAnsi="Verdana" w:cs="Times New Roman"/>
      <w:b/>
      <w:sz w:val="24"/>
      <w:szCs w:val="20"/>
      <w:lang w:eastAsia="fi-FI"/>
    </w:rPr>
  </w:style>
  <w:style w:type="paragraph" w:customStyle="1" w:styleId="Twebhuomautusteksti">
    <w:name w:val="Tweb_huomautusteksti"/>
    <w:basedOn w:val="Normaali"/>
    <w:qFormat/>
    <w:rsid w:val="00210302"/>
    <w:pPr>
      <w:spacing w:before="60" w:after="0" w:line="240" w:lineRule="auto"/>
      <w:ind w:left="1588"/>
    </w:pPr>
    <w:rPr>
      <w:rFonts w:eastAsia="Times New Roman" w:cs="Times New Roman"/>
      <w:szCs w:val="20"/>
      <w:lang w:eastAsia="fi-FI"/>
    </w:rPr>
  </w:style>
  <w:style w:type="character" w:customStyle="1" w:styleId="Twebmritelm">
    <w:name w:val="Tweb_määritelmä"/>
    <w:qFormat/>
    <w:rsid w:val="00210302"/>
    <w:rPr>
      <w:rFonts w:ascii="Verdana" w:hAnsi="Verdana"/>
      <w:b/>
      <w:sz w:val="20"/>
      <w:szCs w:val="32"/>
    </w:rPr>
  </w:style>
  <w:style w:type="paragraph" w:styleId="Alaviitteenteksti">
    <w:name w:val="footnote text"/>
    <w:basedOn w:val="Normaali"/>
    <w:link w:val="AlaviitteentekstiChar"/>
    <w:rsid w:val="00210302"/>
    <w:pPr>
      <w:spacing w:after="0" w:line="240" w:lineRule="auto"/>
    </w:pPr>
    <w:rPr>
      <w:rFonts w:eastAsia="Times New Roman" w:cs="Times New Roman"/>
      <w:szCs w:val="20"/>
      <w:lang w:eastAsia="fi-FI"/>
    </w:rPr>
  </w:style>
  <w:style w:type="character" w:customStyle="1" w:styleId="AlaviitteentekstiChar">
    <w:name w:val="Alaviitteen teksti Char"/>
    <w:basedOn w:val="Kappaleenoletusfontti"/>
    <w:link w:val="Alaviitteenteksti"/>
    <w:rsid w:val="00210302"/>
    <w:rPr>
      <w:rFonts w:ascii="Verdana" w:eastAsia="Times New Roman" w:hAnsi="Verdana" w:cs="Times New Roman"/>
      <w:sz w:val="20"/>
      <w:szCs w:val="20"/>
      <w:lang w:eastAsia="fi-FI"/>
    </w:rPr>
  </w:style>
  <w:style w:type="character" w:styleId="Alaviitteenviite">
    <w:name w:val="footnote reference"/>
    <w:rsid w:val="00210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E%20M&#228;&#228;r&#228;ys%202%20SV.dotx" TargetMode="External"/></Relationships>
</file>

<file path=word/theme/theme1.xml><?xml version="1.0" encoding="utf-8"?>
<a:theme xmlns:a="http://schemas.openxmlformats.org/drawingml/2006/main" name="Office-teema">
  <a:themeElements>
    <a:clrScheme name="Traficom23">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8285"/>
      </a:accent6>
      <a:hlink>
        <a:srgbClr val="008285"/>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 Määräys 2 SV.dotx</Template>
  <TotalTime>0</TotalTime>
  <Pages>5</Pages>
  <Words>1468</Words>
  <Characters>11893</Characters>
  <Application>Microsoft Office Word</Application>
  <DocSecurity>0</DocSecurity>
  <Lines>99</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2023-12-20T13:41:00Z</dcterms:created>
  <dcterms:modified xsi:type="dcterms:W3CDTF">2023-12-20T14:16:00Z</dcterms:modified>
</cp:coreProperties>
</file>