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F0AF" w14:textId="77777777" w:rsidR="0053238E" w:rsidRDefault="0053238E" w:rsidP="0053238E"/>
    <w:p w14:paraId="202421D9" w14:textId="77777777" w:rsidR="0053238E" w:rsidRDefault="0053238E" w:rsidP="0053238E"/>
    <w:p w14:paraId="2533451F" w14:textId="77777777" w:rsidR="0053238E" w:rsidRDefault="0053238E" w:rsidP="0053238E"/>
    <w:p w14:paraId="3AEF6E15" w14:textId="77777777" w:rsidR="0053238E" w:rsidRDefault="0053238E" w:rsidP="0053238E"/>
    <w:p w14:paraId="0E5F01D6" w14:textId="77777777" w:rsidR="0053238E" w:rsidRDefault="0053238E" w:rsidP="0053238E"/>
    <w:p w14:paraId="6DD618ED" w14:textId="77777777" w:rsidR="0053238E" w:rsidRDefault="0053238E" w:rsidP="0053238E"/>
    <w:p w14:paraId="4987200D" w14:textId="77777777" w:rsidR="0053238E" w:rsidRDefault="0053238E" w:rsidP="0053238E"/>
    <w:p w14:paraId="5FE5788C" w14:textId="77777777" w:rsidR="0053238E" w:rsidRDefault="0053238E" w:rsidP="0053238E"/>
    <w:p w14:paraId="014E8D4C" w14:textId="77777777" w:rsidR="0053238E" w:rsidRDefault="0053238E" w:rsidP="0053238E"/>
    <w:p w14:paraId="3D8F4871" w14:textId="4120043C" w:rsidR="0053238E" w:rsidRDefault="0053238E" w:rsidP="0053238E"/>
    <w:p w14:paraId="3CDAFADB" w14:textId="77777777" w:rsidR="0053238E" w:rsidRDefault="0053238E" w:rsidP="0053238E"/>
    <w:p w14:paraId="37D686C4" w14:textId="77777777" w:rsidR="0053238E" w:rsidRDefault="0053238E" w:rsidP="0053238E"/>
    <w:p w14:paraId="3BFCD390" w14:textId="17D16DB3" w:rsidR="0053238E" w:rsidRDefault="0053238E" w:rsidP="0053238E"/>
    <w:p w14:paraId="6D4D044A" w14:textId="77777777" w:rsidR="0053238E" w:rsidRDefault="0053238E" w:rsidP="0053238E"/>
    <w:p w14:paraId="3EAA87F0" w14:textId="77777777" w:rsidR="0053238E" w:rsidRDefault="0053238E" w:rsidP="0053238E"/>
    <w:p w14:paraId="2F2DE22C" w14:textId="77777777" w:rsidR="0053238E" w:rsidRDefault="0053238E" w:rsidP="0053238E"/>
    <w:p w14:paraId="0E4A7F9D" w14:textId="77777777" w:rsidR="0053238E" w:rsidRDefault="0053238E" w:rsidP="0053238E"/>
    <w:p w14:paraId="5B0E6467" w14:textId="77777777" w:rsidR="0053238E" w:rsidRDefault="0053238E" w:rsidP="0053238E"/>
    <w:p w14:paraId="522EB05D" w14:textId="37945460" w:rsidR="0053238E" w:rsidRPr="00DC1C03" w:rsidRDefault="00403A32" w:rsidP="0053238E">
      <w:pPr>
        <w:jc w:val="center"/>
        <w:rPr>
          <w:b/>
          <w:sz w:val="36"/>
          <w:szCs w:val="36"/>
        </w:rPr>
      </w:pPr>
      <w:r w:rsidRPr="00403A32">
        <w:rPr>
          <w:b/>
          <w:sz w:val="36"/>
          <w:szCs w:val="36"/>
        </w:rPr>
        <w:t>Tunnistuspal</w:t>
      </w:r>
      <w:r>
        <w:rPr>
          <w:b/>
          <w:sz w:val="36"/>
          <w:szCs w:val="36"/>
        </w:rPr>
        <w:t>veluiden luottamusverkoston käy</w:t>
      </w:r>
      <w:r w:rsidRPr="00403A32">
        <w:rPr>
          <w:b/>
          <w:sz w:val="36"/>
          <w:szCs w:val="36"/>
        </w:rPr>
        <w:t>tännesäännöt</w:t>
      </w:r>
      <w:r w:rsidR="00101D9E">
        <w:rPr>
          <w:b/>
          <w:sz w:val="36"/>
          <w:szCs w:val="36"/>
        </w:rPr>
        <w:t xml:space="preserve"> </w:t>
      </w:r>
    </w:p>
    <w:p w14:paraId="6430BDAB" w14:textId="71BB35C4" w:rsidR="0053238E" w:rsidRPr="00DC1C03" w:rsidRDefault="0053238E" w:rsidP="0053238E">
      <w:pPr>
        <w:jc w:val="center"/>
        <w:rPr>
          <w:b/>
          <w:sz w:val="36"/>
          <w:szCs w:val="36"/>
        </w:rPr>
      </w:pPr>
    </w:p>
    <w:p w14:paraId="3CE939D0" w14:textId="77777777" w:rsidR="00403A32" w:rsidRPr="00403A32" w:rsidRDefault="00403A32" w:rsidP="00403A32">
      <w:pPr>
        <w:jc w:val="center"/>
        <w:rPr>
          <w:sz w:val="36"/>
          <w:szCs w:val="36"/>
        </w:rPr>
      </w:pPr>
      <w:r w:rsidRPr="00403A32">
        <w:rPr>
          <w:sz w:val="36"/>
          <w:szCs w:val="36"/>
        </w:rPr>
        <w:t>Viestintäviraston suositus</w:t>
      </w:r>
    </w:p>
    <w:p w14:paraId="5A5BC198" w14:textId="77777777" w:rsidR="00403A32" w:rsidRPr="00403A32" w:rsidRDefault="00403A32" w:rsidP="00403A32">
      <w:pPr>
        <w:jc w:val="center"/>
        <w:rPr>
          <w:sz w:val="36"/>
          <w:szCs w:val="36"/>
        </w:rPr>
      </w:pPr>
    </w:p>
    <w:p w14:paraId="0D1EC6AE" w14:textId="77777777" w:rsidR="0053238E" w:rsidRDefault="00403A32" w:rsidP="00403A32">
      <w:pPr>
        <w:jc w:val="center"/>
        <w:rPr>
          <w:sz w:val="36"/>
          <w:szCs w:val="36"/>
        </w:rPr>
      </w:pPr>
      <w:r w:rsidRPr="00403A32">
        <w:rPr>
          <w:sz w:val="36"/>
          <w:szCs w:val="36"/>
        </w:rPr>
        <w:t>216/20</w:t>
      </w:r>
      <w:r>
        <w:rPr>
          <w:sz w:val="36"/>
          <w:szCs w:val="36"/>
        </w:rPr>
        <w:t>20</w:t>
      </w:r>
      <w:r w:rsidRPr="00403A32">
        <w:rPr>
          <w:sz w:val="36"/>
          <w:szCs w:val="36"/>
        </w:rPr>
        <w:t xml:space="preserve"> S</w:t>
      </w:r>
    </w:p>
    <w:p w14:paraId="70B8A83F" w14:textId="77777777" w:rsidR="0053238E" w:rsidRPr="007C3157" w:rsidRDefault="0053238E" w:rsidP="0053238E">
      <w:pPr>
        <w:jc w:val="center"/>
        <w:rPr>
          <w:sz w:val="36"/>
          <w:szCs w:val="36"/>
        </w:rPr>
      </w:pPr>
    </w:p>
    <w:p w14:paraId="771B6B13" w14:textId="77777777" w:rsidR="0053238E" w:rsidRDefault="0053238E" w:rsidP="0053238E">
      <w:r>
        <w:br w:type="page"/>
      </w:r>
    </w:p>
    <w:bookmarkStart w:id="0" w:name="_Toc323905753" w:displacedByCustomXml="next"/>
    <w:sdt>
      <w:sdtPr>
        <w:rPr>
          <w:rFonts w:asciiTheme="minorHAnsi" w:eastAsiaTheme="minorHAnsi" w:hAnsiTheme="minorHAnsi" w:cstheme="minorHAnsi"/>
          <w:b w:val="0"/>
          <w:bCs w:val="0"/>
          <w:sz w:val="20"/>
          <w:szCs w:val="22"/>
        </w:rPr>
        <w:id w:val="7554235"/>
        <w:docPartObj>
          <w:docPartGallery w:val="Table of Contents"/>
          <w:docPartUnique/>
        </w:docPartObj>
      </w:sdtPr>
      <w:sdtEndPr/>
      <w:sdtContent>
        <w:p w14:paraId="5710AA06" w14:textId="77777777" w:rsidR="0053238E" w:rsidRDefault="0053238E" w:rsidP="0053238E">
          <w:pPr>
            <w:pStyle w:val="Sisllysluettelonotsikko"/>
          </w:pPr>
          <w:r>
            <w:t>Sisältö</w:t>
          </w:r>
        </w:p>
        <w:p w14:paraId="3532AE64" w14:textId="44502A9B" w:rsidR="00C521B3" w:rsidRDefault="0053238E">
          <w:pPr>
            <w:pStyle w:val="Sisluet1"/>
            <w:rPr>
              <w:rFonts w:asciiTheme="minorHAnsi" w:eastAsiaTheme="minorEastAsia" w:hAnsiTheme="minorHAnsi" w:cstheme="minorBidi"/>
              <w:b w:val="0"/>
              <w:noProof/>
              <w:sz w:val="22"/>
              <w:szCs w:val="22"/>
              <w:lang w:eastAsia="fi-FI"/>
            </w:rPr>
          </w:pPr>
          <w:r>
            <w:fldChar w:fldCharType="begin"/>
          </w:r>
          <w:r>
            <w:instrText xml:space="preserve"> TOC \o "1-3" \u </w:instrText>
          </w:r>
          <w:r>
            <w:fldChar w:fldCharType="separate"/>
          </w:r>
          <w:r w:rsidR="00C521B3">
            <w:rPr>
              <w:noProof/>
            </w:rPr>
            <w:t>1</w:t>
          </w:r>
          <w:r w:rsidR="00C521B3">
            <w:rPr>
              <w:rFonts w:asciiTheme="minorHAnsi" w:eastAsiaTheme="minorEastAsia" w:hAnsiTheme="minorHAnsi" w:cstheme="minorBidi"/>
              <w:b w:val="0"/>
              <w:noProof/>
              <w:sz w:val="22"/>
              <w:szCs w:val="22"/>
              <w:lang w:eastAsia="fi-FI"/>
            </w:rPr>
            <w:tab/>
          </w:r>
          <w:r w:rsidR="00C521B3">
            <w:rPr>
              <w:noProof/>
            </w:rPr>
            <w:t>Johdanto ja käytännesääntöjen tarkoitus</w:t>
          </w:r>
          <w:r w:rsidR="00C521B3">
            <w:rPr>
              <w:noProof/>
            </w:rPr>
            <w:tab/>
          </w:r>
          <w:r w:rsidR="00C521B3">
            <w:rPr>
              <w:noProof/>
            </w:rPr>
            <w:fldChar w:fldCharType="begin"/>
          </w:r>
          <w:r w:rsidR="00C521B3">
            <w:rPr>
              <w:noProof/>
            </w:rPr>
            <w:instrText xml:space="preserve"> PAGEREF _Toc51941423 \h </w:instrText>
          </w:r>
          <w:r w:rsidR="00C521B3">
            <w:rPr>
              <w:noProof/>
            </w:rPr>
          </w:r>
          <w:r w:rsidR="00C521B3">
            <w:rPr>
              <w:noProof/>
            </w:rPr>
            <w:fldChar w:fldCharType="separate"/>
          </w:r>
          <w:r w:rsidR="00C521B3">
            <w:rPr>
              <w:noProof/>
            </w:rPr>
            <w:t>3</w:t>
          </w:r>
          <w:r w:rsidR="00C521B3">
            <w:rPr>
              <w:noProof/>
            </w:rPr>
            <w:fldChar w:fldCharType="end"/>
          </w:r>
        </w:p>
        <w:p w14:paraId="7458F9BB" w14:textId="1902902E" w:rsidR="00C521B3" w:rsidRDefault="00C521B3">
          <w:pPr>
            <w:pStyle w:val="Sisluet2"/>
            <w:rPr>
              <w:rFonts w:asciiTheme="minorHAnsi" w:eastAsiaTheme="minorEastAsia" w:hAnsiTheme="minorHAnsi" w:cstheme="minorBidi"/>
              <w:bCs w:val="0"/>
              <w:iCs w:val="0"/>
              <w:noProof/>
              <w:sz w:val="22"/>
              <w:szCs w:val="22"/>
              <w:lang w:eastAsia="fi-FI"/>
            </w:rPr>
          </w:pPr>
          <w:r>
            <w:rPr>
              <w:noProof/>
            </w:rPr>
            <w:t>1.1</w:t>
          </w:r>
          <w:r>
            <w:rPr>
              <w:rFonts w:asciiTheme="minorHAnsi" w:eastAsiaTheme="minorEastAsia" w:hAnsiTheme="minorHAnsi" w:cstheme="minorBidi"/>
              <w:bCs w:val="0"/>
              <w:iCs w:val="0"/>
              <w:noProof/>
              <w:sz w:val="22"/>
              <w:szCs w:val="22"/>
              <w:lang w:eastAsia="fi-FI"/>
            </w:rPr>
            <w:tab/>
          </w:r>
          <w:r>
            <w:rPr>
              <w:noProof/>
            </w:rPr>
            <w:t>Suosituksen versiot</w:t>
          </w:r>
          <w:r>
            <w:rPr>
              <w:noProof/>
            </w:rPr>
            <w:tab/>
          </w:r>
          <w:r>
            <w:rPr>
              <w:noProof/>
            </w:rPr>
            <w:fldChar w:fldCharType="begin"/>
          </w:r>
          <w:r>
            <w:rPr>
              <w:noProof/>
            </w:rPr>
            <w:instrText xml:space="preserve"> PAGEREF _Toc51941424 \h </w:instrText>
          </w:r>
          <w:r>
            <w:rPr>
              <w:noProof/>
            </w:rPr>
          </w:r>
          <w:r>
            <w:rPr>
              <w:noProof/>
            </w:rPr>
            <w:fldChar w:fldCharType="separate"/>
          </w:r>
          <w:r>
            <w:rPr>
              <w:noProof/>
            </w:rPr>
            <w:t>3</w:t>
          </w:r>
          <w:r>
            <w:rPr>
              <w:noProof/>
            </w:rPr>
            <w:fldChar w:fldCharType="end"/>
          </w:r>
        </w:p>
        <w:p w14:paraId="14717F1C" w14:textId="3EA3F6C1" w:rsidR="00C521B3" w:rsidRDefault="00C521B3">
          <w:pPr>
            <w:pStyle w:val="Sisluet1"/>
            <w:rPr>
              <w:rFonts w:asciiTheme="minorHAnsi" w:eastAsiaTheme="minorEastAsia" w:hAnsiTheme="minorHAnsi" w:cstheme="minorBidi"/>
              <w:b w:val="0"/>
              <w:noProof/>
              <w:sz w:val="22"/>
              <w:szCs w:val="22"/>
              <w:lang w:eastAsia="fi-FI"/>
            </w:rPr>
          </w:pPr>
          <w:r>
            <w:rPr>
              <w:noProof/>
            </w:rPr>
            <w:t>2</w:t>
          </w:r>
          <w:r>
            <w:rPr>
              <w:rFonts w:asciiTheme="minorHAnsi" w:eastAsiaTheme="minorEastAsia" w:hAnsiTheme="minorHAnsi" w:cstheme="minorBidi"/>
              <w:b w:val="0"/>
              <w:noProof/>
              <w:sz w:val="22"/>
              <w:szCs w:val="22"/>
              <w:lang w:eastAsia="fi-FI"/>
            </w:rPr>
            <w:tab/>
          </w:r>
          <w:r>
            <w:rPr>
              <w:noProof/>
            </w:rPr>
            <w:t>Aiheeseen liittyvä lainsäädäntö ja määräykset</w:t>
          </w:r>
          <w:r>
            <w:rPr>
              <w:noProof/>
            </w:rPr>
            <w:tab/>
          </w:r>
          <w:r>
            <w:rPr>
              <w:noProof/>
            </w:rPr>
            <w:fldChar w:fldCharType="begin"/>
          </w:r>
          <w:r>
            <w:rPr>
              <w:noProof/>
            </w:rPr>
            <w:instrText xml:space="preserve"> PAGEREF _Toc51941425 \h </w:instrText>
          </w:r>
          <w:r>
            <w:rPr>
              <w:noProof/>
            </w:rPr>
          </w:r>
          <w:r>
            <w:rPr>
              <w:noProof/>
            </w:rPr>
            <w:fldChar w:fldCharType="separate"/>
          </w:r>
          <w:r>
            <w:rPr>
              <w:noProof/>
            </w:rPr>
            <w:t>4</w:t>
          </w:r>
          <w:r>
            <w:rPr>
              <w:noProof/>
            </w:rPr>
            <w:fldChar w:fldCharType="end"/>
          </w:r>
        </w:p>
        <w:p w14:paraId="61261888" w14:textId="54476356" w:rsidR="00C521B3" w:rsidRDefault="00C521B3">
          <w:pPr>
            <w:pStyle w:val="Sisluet1"/>
            <w:rPr>
              <w:rFonts w:asciiTheme="minorHAnsi" w:eastAsiaTheme="minorEastAsia" w:hAnsiTheme="minorHAnsi" w:cstheme="minorBidi"/>
              <w:b w:val="0"/>
              <w:noProof/>
              <w:sz w:val="22"/>
              <w:szCs w:val="22"/>
              <w:lang w:eastAsia="fi-FI"/>
            </w:rPr>
          </w:pPr>
          <w:r>
            <w:rPr>
              <w:noProof/>
            </w:rPr>
            <w:t>3</w:t>
          </w:r>
          <w:r>
            <w:rPr>
              <w:rFonts w:asciiTheme="minorHAnsi" w:eastAsiaTheme="minorEastAsia" w:hAnsiTheme="minorHAnsi" w:cstheme="minorBidi"/>
              <w:b w:val="0"/>
              <w:noProof/>
              <w:sz w:val="22"/>
              <w:szCs w:val="22"/>
              <w:lang w:eastAsia="fi-FI"/>
            </w:rPr>
            <w:tab/>
          </w:r>
          <w:r>
            <w:rPr>
              <w:noProof/>
            </w:rPr>
            <w:t>Määritelmät</w:t>
          </w:r>
          <w:r>
            <w:rPr>
              <w:noProof/>
            </w:rPr>
            <w:tab/>
          </w:r>
          <w:r>
            <w:rPr>
              <w:noProof/>
            </w:rPr>
            <w:fldChar w:fldCharType="begin"/>
          </w:r>
          <w:r>
            <w:rPr>
              <w:noProof/>
            </w:rPr>
            <w:instrText xml:space="preserve"> PAGEREF _Toc51941426 \h </w:instrText>
          </w:r>
          <w:r>
            <w:rPr>
              <w:noProof/>
            </w:rPr>
          </w:r>
          <w:r>
            <w:rPr>
              <w:noProof/>
            </w:rPr>
            <w:fldChar w:fldCharType="separate"/>
          </w:r>
          <w:r>
            <w:rPr>
              <w:noProof/>
            </w:rPr>
            <w:t>5</w:t>
          </w:r>
          <w:r>
            <w:rPr>
              <w:noProof/>
            </w:rPr>
            <w:fldChar w:fldCharType="end"/>
          </w:r>
        </w:p>
        <w:p w14:paraId="0D87FE90" w14:textId="45F4108F" w:rsidR="00C521B3" w:rsidRDefault="00C521B3">
          <w:pPr>
            <w:pStyle w:val="Sisluet1"/>
            <w:rPr>
              <w:rFonts w:asciiTheme="minorHAnsi" w:eastAsiaTheme="minorEastAsia" w:hAnsiTheme="minorHAnsi" w:cstheme="minorBidi"/>
              <w:b w:val="0"/>
              <w:noProof/>
              <w:sz w:val="22"/>
              <w:szCs w:val="22"/>
              <w:lang w:eastAsia="fi-FI"/>
            </w:rPr>
          </w:pPr>
          <w:r>
            <w:rPr>
              <w:noProof/>
            </w:rPr>
            <w:t>4</w:t>
          </w:r>
          <w:r>
            <w:rPr>
              <w:rFonts w:asciiTheme="minorHAnsi" w:eastAsiaTheme="minorEastAsia" w:hAnsiTheme="minorHAnsi" w:cstheme="minorBidi"/>
              <w:b w:val="0"/>
              <w:noProof/>
              <w:sz w:val="22"/>
              <w:szCs w:val="22"/>
              <w:lang w:eastAsia="fi-FI"/>
            </w:rPr>
            <w:tab/>
          </w:r>
          <w:r>
            <w:rPr>
              <w:noProof/>
            </w:rPr>
            <w:t>Luottamusverkoston keskinäiset sopimukset</w:t>
          </w:r>
          <w:r>
            <w:rPr>
              <w:noProof/>
            </w:rPr>
            <w:tab/>
          </w:r>
          <w:r>
            <w:rPr>
              <w:noProof/>
            </w:rPr>
            <w:fldChar w:fldCharType="begin"/>
          </w:r>
          <w:r>
            <w:rPr>
              <w:noProof/>
            </w:rPr>
            <w:instrText xml:space="preserve"> PAGEREF _Toc51941427 \h </w:instrText>
          </w:r>
          <w:r>
            <w:rPr>
              <w:noProof/>
            </w:rPr>
          </w:r>
          <w:r>
            <w:rPr>
              <w:noProof/>
            </w:rPr>
            <w:fldChar w:fldCharType="separate"/>
          </w:r>
          <w:r>
            <w:rPr>
              <w:noProof/>
            </w:rPr>
            <w:t>7</w:t>
          </w:r>
          <w:r>
            <w:rPr>
              <w:noProof/>
            </w:rPr>
            <w:fldChar w:fldCharType="end"/>
          </w:r>
        </w:p>
        <w:p w14:paraId="353D9608" w14:textId="1CFFC65E" w:rsidR="00C521B3" w:rsidRDefault="00C521B3">
          <w:pPr>
            <w:pStyle w:val="Sisluet2"/>
            <w:rPr>
              <w:rFonts w:asciiTheme="minorHAnsi" w:eastAsiaTheme="minorEastAsia" w:hAnsiTheme="minorHAnsi" w:cstheme="minorBidi"/>
              <w:bCs w:val="0"/>
              <w:iCs w:val="0"/>
              <w:noProof/>
              <w:sz w:val="22"/>
              <w:szCs w:val="22"/>
              <w:lang w:eastAsia="fi-FI"/>
            </w:rPr>
          </w:pPr>
          <w:r>
            <w:rPr>
              <w:noProof/>
            </w:rPr>
            <w:t>4.1</w:t>
          </w:r>
          <w:r>
            <w:rPr>
              <w:rFonts w:asciiTheme="minorHAnsi" w:eastAsiaTheme="minorEastAsia" w:hAnsiTheme="minorHAnsi" w:cstheme="minorBidi"/>
              <w:bCs w:val="0"/>
              <w:iCs w:val="0"/>
              <w:noProof/>
              <w:sz w:val="22"/>
              <w:szCs w:val="22"/>
              <w:lang w:eastAsia="fi-FI"/>
            </w:rPr>
            <w:tab/>
          </w:r>
          <w:r>
            <w:rPr>
              <w:noProof/>
            </w:rPr>
            <w:t>Sopijapuolet</w:t>
          </w:r>
          <w:r>
            <w:rPr>
              <w:noProof/>
            </w:rPr>
            <w:tab/>
          </w:r>
          <w:r>
            <w:rPr>
              <w:noProof/>
            </w:rPr>
            <w:fldChar w:fldCharType="begin"/>
          </w:r>
          <w:r>
            <w:rPr>
              <w:noProof/>
            </w:rPr>
            <w:instrText xml:space="preserve"> PAGEREF _Toc51941428 \h </w:instrText>
          </w:r>
          <w:r>
            <w:rPr>
              <w:noProof/>
            </w:rPr>
          </w:r>
          <w:r>
            <w:rPr>
              <w:noProof/>
            </w:rPr>
            <w:fldChar w:fldCharType="separate"/>
          </w:r>
          <w:r>
            <w:rPr>
              <w:noProof/>
            </w:rPr>
            <w:t>7</w:t>
          </w:r>
          <w:r>
            <w:rPr>
              <w:noProof/>
            </w:rPr>
            <w:fldChar w:fldCharType="end"/>
          </w:r>
        </w:p>
        <w:p w14:paraId="16B181D5" w14:textId="785895EA" w:rsidR="00C521B3" w:rsidRDefault="00C521B3">
          <w:pPr>
            <w:pStyle w:val="Sisluet2"/>
            <w:rPr>
              <w:rFonts w:asciiTheme="minorHAnsi" w:eastAsiaTheme="minorEastAsia" w:hAnsiTheme="minorHAnsi" w:cstheme="minorBidi"/>
              <w:bCs w:val="0"/>
              <w:iCs w:val="0"/>
              <w:noProof/>
              <w:sz w:val="22"/>
              <w:szCs w:val="22"/>
              <w:lang w:eastAsia="fi-FI"/>
            </w:rPr>
          </w:pPr>
          <w:r>
            <w:rPr>
              <w:noProof/>
            </w:rPr>
            <w:t>4.2</w:t>
          </w:r>
          <w:r>
            <w:rPr>
              <w:rFonts w:asciiTheme="minorHAnsi" w:eastAsiaTheme="minorEastAsia" w:hAnsiTheme="minorHAnsi" w:cstheme="minorBidi"/>
              <w:bCs w:val="0"/>
              <w:iCs w:val="0"/>
              <w:noProof/>
              <w:sz w:val="22"/>
              <w:szCs w:val="22"/>
              <w:lang w:eastAsia="fi-FI"/>
            </w:rPr>
            <w:tab/>
          </w:r>
          <w:r>
            <w:rPr>
              <w:noProof/>
            </w:rPr>
            <w:t>Velvoite solmia sopimuksia</w:t>
          </w:r>
          <w:r>
            <w:rPr>
              <w:noProof/>
            </w:rPr>
            <w:tab/>
          </w:r>
          <w:r>
            <w:rPr>
              <w:noProof/>
            </w:rPr>
            <w:fldChar w:fldCharType="begin"/>
          </w:r>
          <w:r>
            <w:rPr>
              <w:noProof/>
            </w:rPr>
            <w:instrText xml:space="preserve"> PAGEREF _Toc51941429 \h </w:instrText>
          </w:r>
          <w:r>
            <w:rPr>
              <w:noProof/>
            </w:rPr>
          </w:r>
          <w:r>
            <w:rPr>
              <w:noProof/>
            </w:rPr>
            <w:fldChar w:fldCharType="separate"/>
          </w:r>
          <w:r>
            <w:rPr>
              <w:noProof/>
            </w:rPr>
            <w:t>7</w:t>
          </w:r>
          <w:r>
            <w:rPr>
              <w:noProof/>
            </w:rPr>
            <w:fldChar w:fldCharType="end"/>
          </w:r>
        </w:p>
        <w:p w14:paraId="32CE8273" w14:textId="3074D014" w:rsidR="00C521B3" w:rsidRDefault="00C521B3">
          <w:pPr>
            <w:pStyle w:val="Sisluet2"/>
            <w:rPr>
              <w:rFonts w:asciiTheme="minorHAnsi" w:eastAsiaTheme="minorEastAsia" w:hAnsiTheme="minorHAnsi" w:cstheme="minorBidi"/>
              <w:bCs w:val="0"/>
              <w:iCs w:val="0"/>
              <w:noProof/>
              <w:sz w:val="22"/>
              <w:szCs w:val="22"/>
              <w:lang w:eastAsia="fi-FI"/>
            </w:rPr>
          </w:pPr>
          <w:r>
            <w:rPr>
              <w:noProof/>
            </w:rPr>
            <w:t>4.3</w:t>
          </w:r>
          <w:r>
            <w:rPr>
              <w:rFonts w:asciiTheme="minorHAnsi" w:eastAsiaTheme="minorEastAsia" w:hAnsiTheme="minorHAnsi" w:cstheme="minorBidi"/>
              <w:bCs w:val="0"/>
              <w:iCs w:val="0"/>
              <w:noProof/>
              <w:sz w:val="22"/>
              <w:szCs w:val="22"/>
              <w:lang w:eastAsia="fi-FI"/>
            </w:rPr>
            <w:tab/>
          </w:r>
          <w:r>
            <w:rPr>
              <w:noProof/>
            </w:rPr>
            <w:t>Tunnistuspalveluntarjoajan omalle vastuulle ja luottamusverkoston yhteistyövastuulle kuuluvat asiat</w:t>
          </w:r>
          <w:r>
            <w:rPr>
              <w:noProof/>
            </w:rPr>
            <w:tab/>
          </w:r>
          <w:r>
            <w:rPr>
              <w:noProof/>
            </w:rPr>
            <w:fldChar w:fldCharType="begin"/>
          </w:r>
          <w:r>
            <w:rPr>
              <w:noProof/>
            </w:rPr>
            <w:instrText xml:space="preserve"> PAGEREF _Toc51941430 \h </w:instrText>
          </w:r>
          <w:r>
            <w:rPr>
              <w:noProof/>
            </w:rPr>
          </w:r>
          <w:r>
            <w:rPr>
              <w:noProof/>
            </w:rPr>
            <w:fldChar w:fldCharType="separate"/>
          </w:r>
          <w:r>
            <w:rPr>
              <w:noProof/>
            </w:rPr>
            <w:t>9</w:t>
          </w:r>
          <w:r>
            <w:rPr>
              <w:noProof/>
            </w:rPr>
            <w:fldChar w:fldCharType="end"/>
          </w:r>
        </w:p>
        <w:p w14:paraId="376F46DA" w14:textId="190131CF" w:rsidR="00C521B3" w:rsidRDefault="00C521B3">
          <w:pPr>
            <w:pStyle w:val="Sisluet2"/>
            <w:rPr>
              <w:rFonts w:asciiTheme="minorHAnsi" w:eastAsiaTheme="minorEastAsia" w:hAnsiTheme="minorHAnsi" w:cstheme="minorBidi"/>
              <w:bCs w:val="0"/>
              <w:iCs w:val="0"/>
              <w:noProof/>
              <w:sz w:val="22"/>
              <w:szCs w:val="22"/>
              <w:lang w:eastAsia="fi-FI"/>
            </w:rPr>
          </w:pPr>
          <w:r>
            <w:rPr>
              <w:noProof/>
            </w:rPr>
            <w:t>4.4</w:t>
          </w:r>
          <w:r>
            <w:rPr>
              <w:rFonts w:asciiTheme="minorHAnsi" w:eastAsiaTheme="minorEastAsia" w:hAnsiTheme="minorHAnsi" w:cstheme="minorBidi"/>
              <w:bCs w:val="0"/>
              <w:iCs w:val="0"/>
              <w:noProof/>
              <w:sz w:val="22"/>
              <w:szCs w:val="22"/>
              <w:lang w:eastAsia="fi-FI"/>
            </w:rPr>
            <w:tab/>
          </w:r>
          <w:r>
            <w:rPr>
              <w:noProof/>
            </w:rPr>
            <w:t>Tunnistusperiaatteet ja niiden muutoksista tiedottaminen</w:t>
          </w:r>
          <w:r>
            <w:rPr>
              <w:noProof/>
            </w:rPr>
            <w:tab/>
          </w:r>
          <w:r>
            <w:rPr>
              <w:noProof/>
            </w:rPr>
            <w:fldChar w:fldCharType="begin"/>
          </w:r>
          <w:r>
            <w:rPr>
              <w:noProof/>
            </w:rPr>
            <w:instrText xml:space="preserve"> PAGEREF _Toc51941431 \h </w:instrText>
          </w:r>
          <w:r>
            <w:rPr>
              <w:noProof/>
            </w:rPr>
          </w:r>
          <w:r>
            <w:rPr>
              <w:noProof/>
            </w:rPr>
            <w:fldChar w:fldCharType="separate"/>
          </w:r>
          <w:r>
            <w:rPr>
              <w:noProof/>
            </w:rPr>
            <w:t>9</w:t>
          </w:r>
          <w:r>
            <w:rPr>
              <w:noProof/>
            </w:rPr>
            <w:fldChar w:fldCharType="end"/>
          </w:r>
        </w:p>
        <w:p w14:paraId="42FDE134" w14:textId="02ACD455" w:rsidR="00C521B3" w:rsidRDefault="00C521B3">
          <w:pPr>
            <w:pStyle w:val="Sisluet2"/>
            <w:rPr>
              <w:rFonts w:asciiTheme="minorHAnsi" w:eastAsiaTheme="minorEastAsia" w:hAnsiTheme="minorHAnsi" w:cstheme="minorBidi"/>
              <w:bCs w:val="0"/>
              <w:iCs w:val="0"/>
              <w:noProof/>
              <w:sz w:val="22"/>
              <w:szCs w:val="22"/>
              <w:lang w:eastAsia="fi-FI"/>
            </w:rPr>
          </w:pPr>
          <w:r>
            <w:rPr>
              <w:noProof/>
            </w:rPr>
            <w:t>4.5</w:t>
          </w:r>
          <w:r>
            <w:rPr>
              <w:rFonts w:asciiTheme="minorHAnsi" w:eastAsiaTheme="minorEastAsia" w:hAnsiTheme="minorHAnsi" w:cstheme="minorBidi"/>
              <w:bCs w:val="0"/>
              <w:iCs w:val="0"/>
              <w:noProof/>
              <w:sz w:val="22"/>
              <w:szCs w:val="22"/>
              <w:lang w:eastAsia="fi-FI"/>
            </w:rPr>
            <w:tab/>
          </w:r>
          <w:r>
            <w:rPr>
              <w:noProof/>
            </w:rPr>
            <w:t>Tunnistuksen varmuustasot</w:t>
          </w:r>
          <w:r>
            <w:rPr>
              <w:noProof/>
            </w:rPr>
            <w:tab/>
          </w:r>
          <w:r>
            <w:rPr>
              <w:noProof/>
            </w:rPr>
            <w:fldChar w:fldCharType="begin"/>
          </w:r>
          <w:r>
            <w:rPr>
              <w:noProof/>
            </w:rPr>
            <w:instrText xml:space="preserve"> PAGEREF _Toc51941432 \h </w:instrText>
          </w:r>
          <w:r>
            <w:rPr>
              <w:noProof/>
            </w:rPr>
          </w:r>
          <w:r>
            <w:rPr>
              <w:noProof/>
            </w:rPr>
            <w:fldChar w:fldCharType="separate"/>
          </w:r>
          <w:r>
            <w:rPr>
              <w:noProof/>
            </w:rPr>
            <w:t>9</w:t>
          </w:r>
          <w:r>
            <w:rPr>
              <w:noProof/>
            </w:rPr>
            <w:fldChar w:fldCharType="end"/>
          </w:r>
        </w:p>
        <w:p w14:paraId="20B550B9" w14:textId="0DD1D968" w:rsidR="00C521B3" w:rsidRDefault="00C521B3">
          <w:pPr>
            <w:pStyle w:val="Sisluet2"/>
            <w:rPr>
              <w:rFonts w:asciiTheme="minorHAnsi" w:eastAsiaTheme="minorEastAsia" w:hAnsiTheme="minorHAnsi" w:cstheme="minorBidi"/>
              <w:bCs w:val="0"/>
              <w:iCs w:val="0"/>
              <w:noProof/>
              <w:sz w:val="22"/>
              <w:szCs w:val="22"/>
              <w:lang w:eastAsia="fi-FI"/>
            </w:rPr>
          </w:pPr>
          <w:r>
            <w:rPr>
              <w:noProof/>
            </w:rPr>
            <w:t>4.6</w:t>
          </w:r>
          <w:r>
            <w:rPr>
              <w:rFonts w:asciiTheme="minorHAnsi" w:eastAsiaTheme="minorEastAsia" w:hAnsiTheme="minorHAnsi" w:cstheme="minorBidi"/>
              <w:bCs w:val="0"/>
              <w:iCs w:val="0"/>
              <w:noProof/>
              <w:sz w:val="22"/>
              <w:szCs w:val="22"/>
              <w:lang w:eastAsia="fi-FI"/>
            </w:rPr>
            <w:tab/>
          </w:r>
          <w:r>
            <w:rPr>
              <w:noProof/>
            </w:rPr>
            <w:t>Tekniset rajapinnat ja tunnistamistietojen vähimmäissisältö</w:t>
          </w:r>
          <w:r>
            <w:rPr>
              <w:noProof/>
            </w:rPr>
            <w:tab/>
          </w:r>
          <w:r>
            <w:rPr>
              <w:noProof/>
            </w:rPr>
            <w:fldChar w:fldCharType="begin"/>
          </w:r>
          <w:r>
            <w:rPr>
              <w:noProof/>
            </w:rPr>
            <w:instrText xml:space="preserve"> PAGEREF _Toc51941433 \h </w:instrText>
          </w:r>
          <w:r>
            <w:rPr>
              <w:noProof/>
            </w:rPr>
          </w:r>
          <w:r>
            <w:rPr>
              <w:noProof/>
            </w:rPr>
            <w:fldChar w:fldCharType="separate"/>
          </w:r>
          <w:r>
            <w:rPr>
              <w:noProof/>
            </w:rPr>
            <w:t>10</w:t>
          </w:r>
          <w:r>
            <w:rPr>
              <w:noProof/>
            </w:rPr>
            <w:fldChar w:fldCharType="end"/>
          </w:r>
        </w:p>
        <w:p w14:paraId="66E691F6" w14:textId="69C2FE43" w:rsidR="00C521B3" w:rsidRDefault="00C521B3">
          <w:pPr>
            <w:pStyle w:val="Sisluet2"/>
            <w:rPr>
              <w:rFonts w:asciiTheme="minorHAnsi" w:eastAsiaTheme="minorEastAsia" w:hAnsiTheme="minorHAnsi" w:cstheme="minorBidi"/>
              <w:bCs w:val="0"/>
              <w:iCs w:val="0"/>
              <w:noProof/>
              <w:sz w:val="22"/>
              <w:szCs w:val="22"/>
              <w:lang w:eastAsia="fi-FI"/>
            </w:rPr>
          </w:pPr>
          <w:r>
            <w:rPr>
              <w:noProof/>
            </w:rPr>
            <w:t>4.7</w:t>
          </w:r>
          <w:r>
            <w:rPr>
              <w:rFonts w:asciiTheme="minorHAnsi" w:eastAsiaTheme="minorEastAsia" w:hAnsiTheme="minorHAnsi" w:cstheme="minorBidi"/>
              <w:bCs w:val="0"/>
              <w:iCs w:val="0"/>
              <w:noProof/>
              <w:sz w:val="22"/>
              <w:szCs w:val="22"/>
              <w:lang w:eastAsia="fi-FI"/>
            </w:rPr>
            <w:tab/>
          </w:r>
          <w:r>
            <w:rPr>
              <w:noProof/>
            </w:rPr>
            <w:t>Tietoturvahäiriöistä, vikatilanteista, huoltokatkoista ja muutostilanteista tiedottaminen luottamusverkostossa</w:t>
          </w:r>
          <w:r>
            <w:rPr>
              <w:noProof/>
            </w:rPr>
            <w:tab/>
          </w:r>
          <w:r>
            <w:rPr>
              <w:noProof/>
            </w:rPr>
            <w:fldChar w:fldCharType="begin"/>
          </w:r>
          <w:r>
            <w:rPr>
              <w:noProof/>
            </w:rPr>
            <w:instrText xml:space="preserve"> PAGEREF _Toc51941434 \h </w:instrText>
          </w:r>
          <w:r>
            <w:rPr>
              <w:noProof/>
            </w:rPr>
          </w:r>
          <w:r>
            <w:rPr>
              <w:noProof/>
            </w:rPr>
            <w:fldChar w:fldCharType="separate"/>
          </w:r>
          <w:r>
            <w:rPr>
              <w:noProof/>
            </w:rPr>
            <w:t>10</w:t>
          </w:r>
          <w:r>
            <w:rPr>
              <w:noProof/>
            </w:rPr>
            <w:fldChar w:fldCharType="end"/>
          </w:r>
        </w:p>
        <w:p w14:paraId="367A7285" w14:textId="4081A7DB" w:rsidR="00C521B3" w:rsidRDefault="00C521B3">
          <w:pPr>
            <w:pStyle w:val="Sisluet3"/>
            <w:tabs>
              <w:tab w:val="left" w:pos="2552"/>
            </w:tabs>
            <w:rPr>
              <w:rFonts w:asciiTheme="minorHAnsi" w:eastAsiaTheme="minorEastAsia" w:hAnsiTheme="minorHAnsi" w:cstheme="minorBidi"/>
              <w:bCs w:val="0"/>
              <w:noProof/>
              <w:sz w:val="22"/>
              <w:szCs w:val="22"/>
              <w:lang w:eastAsia="fi-FI"/>
            </w:rPr>
          </w:pPr>
          <w:r>
            <w:rPr>
              <w:noProof/>
            </w:rPr>
            <w:t>4.7.1</w:t>
          </w:r>
          <w:r>
            <w:rPr>
              <w:rFonts w:asciiTheme="minorHAnsi" w:eastAsiaTheme="minorEastAsia" w:hAnsiTheme="minorHAnsi" w:cstheme="minorBidi"/>
              <w:bCs w:val="0"/>
              <w:noProof/>
              <w:sz w:val="22"/>
              <w:szCs w:val="22"/>
              <w:lang w:eastAsia="fi-FI"/>
            </w:rPr>
            <w:tab/>
          </w:r>
          <w:r>
            <w:rPr>
              <w:noProof/>
            </w:rPr>
            <w:t>Mistä tilanteista ilmoitetaan</w:t>
          </w:r>
          <w:r>
            <w:rPr>
              <w:noProof/>
            </w:rPr>
            <w:tab/>
          </w:r>
          <w:r>
            <w:rPr>
              <w:noProof/>
            </w:rPr>
            <w:fldChar w:fldCharType="begin"/>
          </w:r>
          <w:r>
            <w:rPr>
              <w:noProof/>
            </w:rPr>
            <w:instrText xml:space="preserve"> PAGEREF _Toc51941435 \h </w:instrText>
          </w:r>
          <w:r>
            <w:rPr>
              <w:noProof/>
            </w:rPr>
          </w:r>
          <w:r>
            <w:rPr>
              <w:noProof/>
            </w:rPr>
            <w:fldChar w:fldCharType="separate"/>
          </w:r>
          <w:r>
            <w:rPr>
              <w:noProof/>
            </w:rPr>
            <w:t>10</w:t>
          </w:r>
          <w:r>
            <w:rPr>
              <w:noProof/>
            </w:rPr>
            <w:fldChar w:fldCharType="end"/>
          </w:r>
        </w:p>
        <w:p w14:paraId="12881E3A" w14:textId="30F0CE1F" w:rsidR="00C521B3" w:rsidRDefault="00C521B3">
          <w:pPr>
            <w:pStyle w:val="Sisluet3"/>
            <w:tabs>
              <w:tab w:val="left" w:pos="2552"/>
            </w:tabs>
            <w:rPr>
              <w:rFonts w:asciiTheme="minorHAnsi" w:eastAsiaTheme="minorEastAsia" w:hAnsiTheme="minorHAnsi" w:cstheme="minorBidi"/>
              <w:bCs w:val="0"/>
              <w:noProof/>
              <w:sz w:val="22"/>
              <w:szCs w:val="22"/>
              <w:lang w:eastAsia="fi-FI"/>
            </w:rPr>
          </w:pPr>
          <w:r>
            <w:rPr>
              <w:noProof/>
            </w:rPr>
            <w:t>4.7.2</w:t>
          </w:r>
          <w:r>
            <w:rPr>
              <w:rFonts w:asciiTheme="minorHAnsi" w:eastAsiaTheme="minorEastAsia" w:hAnsiTheme="minorHAnsi" w:cstheme="minorBidi"/>
              <w:bCs w:val="0"/>
              <w:noProof/>
              <w:sz w:val="22"/>
              <w:szCs w:val="22"/>
              <w:lang w:eastAsia="fi-FI"/>
            </w:rPr>
            <w:tab/>
          </w:r>
          <w:r>
            <w:rPr>
              <w:noProof/>
            </w:rPr>
            <w:t>Tiedottamisen käytännöt</w:t>
          </w:r>
          <w:r>
            <w:rPr>
              <w:noProof/>
            </w:rPr>
            <w:tab/>
          </w:r>
          <w:r>
            <w:rPr>
              <w:noProof/>
            </w:rPr>
            <w:fldChar w:fldCharType="begin"/>
          </w:r>
          <w:r>
            <w:rPr>
              <w:noProof/>
            </w:rPr>
            <w:instrText xml:space="preserve"> PAGEREF _Toc51941436 \h </w:instrText>
          </w:r>
          <w:r>
            <w:rPr>
              <w:noProof/>
            </w:rPr>
          </w:r>
          <w:r>
            <w:rPr>
              <w:noProof/>
            </w:rPr>
            <w:fldChar w:fldCharType="separate"/>
          </w:r>
          <w:r>
            <w:rPr>
              <w:noProof/>
            </w:rPr>
            <w:t>11</w:t>
          </w:r>
          <w:r>
            <w:rPr>
              <w:noProof/>
            </w:rPr>
            <w:fldChar w:fldCharType="end"/>
          </w:r>
        </w:p>
        <w:p w14:paraId="0AFC5C9B" w14:textId="43575D19" w:rsidR="00C521B3" w:rsidRDefault="00C521B3">
          <w:pPr>
            <w:pStyle w:val="Sisluet3"/>
            <w:tabs>
              <w:tab w:val="left" w:pos="2552"/>
            </w:tabs>
            <w:rPr>
              <w:rFonts w:asciiTheme="minorHAnsi" w:eastAsiaTheme="minorEastAsia" w:hAnsiTheme="minorHAnsi" w:cstheme="minorBidi"/>
              <w:bCs w:val="0"/>
              <w:noProof/>
              <w:sz w:val="22"/>
              <w:szCs w:val="22"/>
              <w:lang w:eastAsia="fi-FI"/>
            </w:rPr>
          </w:pPr>
          <w:r>
            <w:rPr>
              <w:noProof/>
            </w:rPr>
            <w:t>4.7.3</w:t>
          </w:r>
          <w:r>
            <w:rPr>
              <w:rFonts w:asciiTheme="minorHAnsi" w:eastAsiaTheme="minorEastAsia" w:hAnsiTheme="minorHAnsi" w:cstheme="minorBidi"/>
              <w:bCs w:val="0"/>
              <w:noProof/>
              <w:sz w:val="22"/>
              <w:szCs w:val="22"/>
              <w:lang w:eastAsia="fi-FI"/>
            </w:rPr>
            <w:tab/>
          </w:r>
          <w:r>
            <w:rPr>
              <w:noProof/>
            </w:rPr>
            <w:t>Häiriö-, muutos- ja tapahtumatietojen käsittely luottamusverkostossa</w:t>
          </w:r>
          <w:r>
            <w:rPr>
              <w:noProof/>
            </w:rPr>
            <w:tab/>
          </w:r>
          <w:r>
            <w:rPr>
              <w:noProof/>
            </w:rPr>
            <w:fldChar w:fldCharType="begin"/>
          </w:r>
          <w:r>
            <w:rPr>
              <w:noProof/>
            </w:rPr>
            <w:instrText xml:space="preserve"> PAGEREF _Toc51941437 \h </w:instrText>
          </w:r>
          <w:r>
            <w:rPr>
              <w:noProof/>
            </w:rPr>
          </w:r>
          <w:r>
            <w:rPr>
              <w:noProof/>
            </w:rPr>
            <w:fldChar w:fldCharType="separate"/>
          </w:r>
          <w:r>
            <w:rPr>
              <w:noProof/>
            </w:rPr>
            <w:t>11</w:t>
          </w:r>
          <w:r>
            <w:rPr>
              <w:noProof/>
            </w:rPr>
            <w:fldChar w:fldCharType="end"/>
          </w:r>
        </w:p>
        <w:p w14:paraId="0E796F5E" w14:textId="3528C015" w:rsidR="00C521B3" w:rsidRDefault="00C521B3">
          <w:pPr>
            <w:pStyle w:val="Sisluet3"/>
            <w:tabs>
              <w:tab w:val="left" w:pos="2552"/>
            </w:tabs>
            <w:rPr>
              <w:rFonts w:asciiTheme="minorHAnsi" w:eastAsiaTheme="minorEastAsia" w:hAnsiTheme="minorHAnsi" w:cstheme="minorBidi"/>
              <w:bCs w:val="0"/>
              <w:noProof/>
              <w:sz w:val="22"/>
              <w:szCs w:val="22"/>
              <w:lang w:eastAsia="fi-FI"/>
            </w:rPr>
          </w:pPr>
          <w:r>
            <w:rPr>
              <w:noProof/>
            </w:rPr>
            <w:t>4.7.4</w:t>
          </w:r>
          <w:r>
            <w:rPr>
              <w:rFonts w:asciiTheme="minorHAnsi" w:eastAsiaTheme="minorEastAsia" w:hAnsiTheme="minorHAnsi" w:cstheme="minorBidi"/>
              <w:bCs w:val="0"/>
              <w:noProof/>
              <w:sz w:val="22"/>
              <w:szCs w:val="22"/>
              <w:lang w:eastAsia="fi-FI"/>
            </w:rPr>
            <w:tab/>
          </w:r>
          <w:r>
            <w:rPr>
              <w:noProof/>
            </w:rPr>
            <w:t>Yhteistyö virhetilanteiden selvittämiseksi</w:t>
          </w:r>
          <w:r>
            <w:rPr>
              <w:noProof/>
            </w:rPr>
            <w:tab/>
          </w:r>
          <w:r>
            <w:rPr>
              <w:noProof/>
            </w:rPr>
            <w:fldChar w:fldCharType="begin"/>
          </w:r>
          <w:r>
            <w:rPr>
              <w:noProof/>
            </w:rPr>
            <w:instrText xml:space="preserve"> PAGEREF _Toc51941438 \h </w:instrText>
          </w:r>
          <w:r>
            <w:rPr>
              <w:noProof/>
            </w:rPr>
          </w:r>
          <w:r>
            <w:rPr>
              <w:noProof/>
            </w:rPr>
            <w:fldChar w:fldCharType="separate"/>
          </w:r>
          <w:r>
            <w:rPr>
              <w:noProof/>
            </w:rPr>
            <w:t>12</w:t>
          </w:r>
          <w:r>
            <w:rPr>
              <w:noProof/>
            </w:rPr>
            <w:fldChar w:fldCharType="end"/>
          </w:r>
        </w:p>
        <w:p w14:paraId="63B22072" w14:textId="5FA6FDA7" w:rsidR="00C521B3" w:rsidRDefault="00C521B3">
          <w:pPr>
            <w:pStyle w:val="Sisluet3"/>
            <w:tabs>
              <w:tab w:val="left" w:pos="2552"/>
            </w:tabs>
            <w:rPr>
              <w:rFonts w:asciiTheme="minorHAnsi" w:eastAsiaTheme="minorEastAsia" w:hAnsiTheme="minorHAnsi" w:cstheme="minorBidi"/>
              <w:bCs w:val="0"/>
              <w:noProof/>
              <w:sz w:val="22"/>
              <w:szCs w:val="22"/>
              <w:lang w:eastAsia="fi-FI"/>
            </w:rPr>
          </w:pPr>
          <w:r>
            <w:rPr>
              <w:noProof/>
            </w:rPr>
            <w:t>4.7.5</w:t>
          </w:r>
          <w:r>
            <w:rPr>
              <w:rFonts w:asciiTheme="minorHAnsi" w:eastAsiaTheme="minorEastAsia" w:hAnsiTheme="minorHAnsi" w:cstheme="minorBidi"/>
              <w:bCs w:val="0"/>
              <w:noProof/>
              <w:sz w:val="22"/>
              <w:szCs w:val="22"/>
              <w:lang w:eastAsia="fi-FI"/>
            </w:rPr>
            <w:tab/>
          </w:r>
          <w:r>
            <w:rPr>
              <w:noProof/>
            </w:rPr>
            <w:t>Viranomaiselle tehtävät häiriöilmoitukset</w:t>
          </w:r>
          <w:r>
            <w:rPr>
              <w:noProof/>
            </w:rPr>
            <w:tab/>
          </w:r>
          <w:r>
            <w:rPr>
              <w:noProof/>
            </w:rPr>
            <w:fldChar w:fldCharType="begin"/>
          </w:r>
          <w:r>
            <w:rPr>
              <w:noProof/>
            </w:rPr>
            <w:instrText xml:space="preserve"> PAGEREF _Toc51941439 \h </w:instrText>
          </w:r>
          <w:r>
            <w:rPr>
              <w:noProof/>
            </w:rPr>
          </w:r>
          <w:r>
            <w:rPr>
              <w:noProof/>
            </w:rPr>
            <w:fldChar w:fldCharType="separate"/>
          </w:r>
          <w:r>
            <w:rPr>
              <w:noProof/>
            </w:rPr>
            <w:t>12</w:t>
          </w:r>
          <w:r>
            <w:rPr>
              <w:noProof/>
            </w:rPr>
            <w:fldChar w:fldCharType="end"/>
          </w:r>
        </w:p>
        <w:p w14:paraId="43939134" w14:textId="57CEAA26" w:rsidR="00C521B3" w:rsidRDefault="00C521B3">
          <w:pPr>
            <w:pStyle w:val="Sisluet2"/>
            <w:rPr>
              <w:rFonts w:asciiTheme="minorHAnsi" w:eastAsiaTheme="minorEastAsia" w:hAnsiTheme="minorHAnsi" w:cstheme="minorBidi"/>
              <w:bCs w:val="0"/>
              <w:iCs w:val="0"/>
              <w:noProof/>
              <w:sz w:val="22"/>
              <w:szCs w:val="22"/>
              <w:lang w:eastAsia="fi-FI"/>
            </w:rPr>
          </w:pPr>
          <w:r>
            <w:rPr>
              <w:noProof/>
            </w:rPr>
            <w:t>4.8</w:t>
          </w:r>
          <w:r>
            <w:rPr>
              <w:rFonts w:asciiTheme="minorHAnsi" w:eastAsiaTheme="minorEastAsia" w:hAnsiTheme="minorHAnsi" w:cstheme="minorBidi"/>
              <w:bCs w:val="0"/>
              <w:iCs w:val="0"/>
              <w:noProof/>
              <w:sz w:val="22"/>
              <w:szCs w:val="22"/>
              <w:lang w:eastAsia="fi-FI"/>
            </w:rPr>
            <w:tab/>
          </w:r>
          <w:r>
            <w:rPr>
              <w:noProof/>
            </w:rPr>
            <w:t>Käytettävyys</w:t>
          </w:r>
          <w:r>
            <w:rPr>
              <w:noProof/>
            </w:rPr>
            <w:tab/>
          </w:r>
          <w:r>
            <w:rPr>
              <w:noProof/>
            </w:rPr>
            <w:fldChar w:fldCharType="begin"/>
          </w:r>
          <w:r>
            <w:rPr>
              <w:noProof/>
            </w:rPr>
            <w:instrText xml:space="preserve"> PAGEREF _Toc51941440 \h </w:instrText>
          </w:r>
          <w:r>
            <w:rPr>
              <w:noProof/>
            </w:rPr>
          </w:r>
          <w:r>
            <w:rPr>
              <w:noProof/>
            </w:rPr>
            <w:fldChar w:fldCharType="separate"/>
          </w:r>
          <w:r>
            <w:rPr>
              <w:noProof/>
            </w:rPr>
            <w:t>13</w:t>
          </w:r>
          <w:r>
            <w:rPr>
              <w:noProof/>
            </w:rPr>
            <w:fldChar w:fldCharType="end"/>
          </w:r>
        </w:p>
        <w:p w14:paraId="0F363EED" w14:textId="5DB2D465" w:rsidR="00C521B3" w:rsidRDefault="00C521B3">
          <w:pPr>
            <w:pStyle w:val="Sisluet2"/>
            <w:rPr>
              <w:rFonts w:asciiTheme="minorHAnsi" w:eastAsiaTheme="minorEastAsia" w:hAnsiTheme="minorHAnsi" w:cstheme="minorBidi"/>
              <w:bCs w:val="0"/>
              <w:iCs w:val="0"/>
              <w:noProof/>
              <w:sz w:val="22"/>
              <w:szCs w:val="22"/>
              <w:lang w:eastAsia="fi-FI"/>
            </w:rPr>
          </w:pPr>
          <w:r>
            <w:rPr>
              <w:noProof/>
            </w:rPr>
            <w:t>4.9</w:t>
          </w:r>
          <w:r>
            <w:rPr>
              <w:rFonts w:asciiTheme="minorHAnsi" w:eastAsiaTheme="minorEastAsia" w:hAnsiTheme="minorHAnsi" w:cstheme="minorBidi"/>
              <w:bCs w:val="0"/>
              <w:iCs w:val="0"/>
              <w:noProof/>
              <w:sz w:val="22"/>
              <w:szCs w:val="22"/>
              <w:lang w:eastAsia="fi-FI"/>
            </w:rPr>
            <w:tab/>
          </w:r>
          <w:r>
            <w:rPr>
              <w:noProof/>
            </w:rPr>
            <w:t>Luottamusverkoston teknisen kokonaisuuden käyttöön liittyvät maksut</w:t>
          </w:r>
          <w:r>
            <w:rPr>
              <w:noProof/>
            </w:rPr>
            <w:tab/>
          </w:r>
          <w:r>
            <w:rPr>
              <w:noProof/>
            </w:rPr>
            <w:fldChar w:fldCharType="begin"/>
          </w:r>
          <w:r>
            <w:rPr>
              <w:noProof/>
            </w:rPr>
            <w:instrText xml:space="preserve"> PAGEREF _Toc51941441 \h </w:instrText>
          </w:r>
          <w:r>
            <w:rPr>
              <w:noProof/>
            </w:rPr>
          </w:r>
          <w:r>
            <w:rPr>
              <w:noProof/>
            </w:rPr>
            <w:fldChar w:fldCharType="separate"/>
          </w:r>
          <w:r>
            <w:rPr>
              <w:noProof/>
            </w:rPr>
            <w:t>13</w:t>
          </w:r>
          <w:r>
            <w:rPr>
              <w:noProof/>
            </w:rPr>
            <w:fldChar w:fldCharType="end"/>
          </w:r>
        </w:p>
        <w:p w14:paraId="2F18C511" w14:textId="4679C278" w:rsidR="00C521B3" w:rsidRDefault="00C521B3">
          <w:pPr>
            <w:pStyle w:val="Sisluet2"/>
            <w:tabs>
              <w:tab w:val="left" w:pos="1418"/>
            </w:tabs>
            <w:rPr>
              <w:rFonts w:asciiTheme="minorHAnsi" w:eastAsiaTheme="minorEastAsia" w:hAnsiTheme="minorHAnsi" w:cstheme="minorBidi"/>
              <w:bCs w:val="0"/>
              <w:iCs w:val="0"/>
              <w:noProof/>
              <w:sz w:val="22"/>
              <w:szCs w:val="22"/>
              <w:lang w:eastAsia="fi-FI"/>
            </w:rPr>
          </w:pPr>
          <w:r>
            <w:rPr>
              <w:noProof/>
            </w:rPr>
            <w:t>4.10</w:t>
          </w:r>
          <w:r>
            <w:rPr>
              <w:rFonts w:asciiTheme="minorHAnsi" w:eastAsiaTheme="minorEastAsia" w:hAnsiTheme="minorHAnsi" w:cstheme="minorBidi"/>
              <w:bCs w:val="0"/>
              <w:iCs w:val="0"/>
              <w:noProof/>
              <w:sz w:val="22"/>
              <w:szCs w:val="22"/>
              <w:lang w:eastAsia="fi-FI"/>
            </w:rPr>
            <w:tab/>
          </w:r>
          <w:r>
            <w:rPr>
              <w:noProof/>
            </w:rPr>
            <w:t xml:space="preserve">Välineiden käyttörajoitukset </w:t>
          </w:r>
          <w:r>
            <w:rPr>
              <w:noProof/>
            </w:rPr>
            <w:tab/>
          </w:r>
          <w:r>
            <w:rPr>
              <w:noProof/>
            </w:rPr>
            <w:fldChar w:fldCharType="begin"/>
          </w:r>
          <w:r>
            <w:rPr>
              <w:noProof/>
            </w:rPr>
            <w:instrText xml:space="preserve"> PAGEREF _Toc51941442 \h </w:instrText>
          </w:r>
          <w:r>
            <w:rPr>
              <w:noProof/>
            </w:rPr>
          </w:r>
          <w:r>
            <w:rPr>
              <w:noProof/>
            </w:rPr>
            <w:fldChar w:fldCharType="separate"/>
          </w:r>
          <w:r>
            <w:rPr>
              <w:noProof/>
            </w:rPr>
            <w:t>14</w:t>
          </w:r>
          <w:r>
            <w:rPr>
              <w:noProof/>
            </w:rPr>
            <w:fldChar w:fldCharType="end"/>
          </w:r>
        </w:p>
        <w:p w14:paraId="644CF524" w14:textId="7CA88EF4" w:rsidR="00C521B3" w:rsidRDefault="00C521B3">
          <w:pPr>
            <w:pStyle w:val="Sisluet2"/>
            <w:tabs>
              <w:tab w:val="left" w:pos="1418"/>
            </w:tabs>
            <w:rPr>
              <w:rFonts w:asciiTheme="minorHAnsi" w:eastAsiaTheme="minorEastAsia" w:hAnsiTheme="minorHAnsi" w:cstheme="minorBidi"/>
              <w:bCs w:val="0"/>
              <w:iCs w:val="0"/>
              <w:noProof/>
              <w:sz w:val="22"/>
              <w:szCs w:val="22"/>
              <w:lang w:eastAsia="fi-FI"/>
            </w:rPr>
          </w:pPr>
          <w:r>
            <w:rPr>
              <w:noProof/>
            </w:rPr>
            <w:t>4.11</w:t>
          </w:r>
          <w:r>
            <w:rPr>
              <w:rFonts w:asciiTheme="minorHAnsi" w:eastAsiaTheme="minorEastAsia" w:hAnsiTheme="minorHAnsi" w:cstheme="minorBidi"/>
              <w:bCs w:val="0"/>
              <w:iCs w:val="0"/>
              <w:noProof/>
              <w:sz w:val="22"/>
              <w:szCs w:val="22"/>
              <w:lang w:eastAsia="fi-FI"/>
            </w:rPr>
            <w:tab/>
          </w:r>
          <w:r>
            <w:rPr>
              <w:noProof/>
            </w:rPr>
            <w:t>Tavaramerkkien käyttö</w:t>
          </w:r>
          <w:r>
            <w:rPr>
              <w:noProof/>
            </w:rPr>
            <w:tab/>
          </w:r>
          <w:r>
            <w:rPr>
              <w:noProof/>
            </w:rPr>
            <w:fldChar w:fldCharType="begin"/>
          </w:r>
          <w:r>
            <w:rPr>
              <w:noProof/>
            </w:rPr>
            <w:instrText xml:space="preserve"> PAGEREF _Toc51941443 \h </w:instrText>
          </w:r>
          <w:r>
            <w:rPr>
              <w:noProof/>
            </w:rPr>
          </w:r>
          <w:r>
            <w:rPr>
              <w:noProof/>
            </w:rPr>
            <w:fldChar w:fldCharType="separate"/>
          </w:r>
          <w:r>
            <w:rPr>
              <w:noProof/>
            </w:rPr>
            <w:t>14</w:t>
          </w:r>
          <w:r>
            <w:rPr>
              <w:noProof/>
            </w:rPr>
            <w:fldChar w:fldCharType="end"/>
          </w:r>
        </w:p>
        <w:p w14:paraId="7765495B" w14:textId="6AD0B5DB" w:rsidR="00C521B3" w:rsidRDefault="00C521B3">
          <w:pPr>
            <w:pStyle w:val="Sisluet2"/>
            <w:tabs>
              <w:tab w:val="left" w:pos="1418"/>
            </w:tabs>
            <w:rPr>
              <w:rFonts w:asciiTheme="minorHAnsi" w:eastAsiaTheme="minorEastAsia" w:hAnsiTheme="minorHAnsi" w:cstheme="minorBidi"/>
              <w:bCs w:val="0"/>
              <w:iCs w:val="0"/>
              <w:noProof/>
              <w:sz w:val="22"/>
              <w:szCs w:val="22"/>
              <w:lang w:eastAsia="fi-FI"/>
            </w:rPr>
          </w:pPr>
          <w:r>
            <w:rPr>
              <w:noProof/>
            </w:rPr>
            <w:t>4.12</w:t>
          </w:r>
          <w:r>
            <w:rPr>
              <w:rFonts w:asciiTheme="minorHAnsi" w:eastAsiaTheme="minorEastAsia" w:hAnsiTheme="minorHAnsi" w:cstheme="minorBidi"/>
              <w:bCs w:val="0"/>
              <w:iCs w:val="0"/>
              <w:noProof/>
              <w:sz w:val="22"/>
              <w:szCs w:val="22"/>
              <w:lang w:eastAsia="fi-FI"/>
            </w:rPr>
            <w:tab/>
          </w:r>
          <w:r>
            <w:rPr>
              <w:noProof/>
            </w:rPr>
            <w:t>Sopijapuolten keskinäinen vastuunjako ja vahingonkorvaukset</w:t>
          </w:r>
          <w:r>
            <w:rPr>
              <w:noProof/>
            </w:rPr>
            <w:tab/>
          </w:r>
          <w:r>
            <w:rPr>
              <w:noProof/>
            </w:rPr>
            <w:fldChar w:fldCharType="begin"/>
          </w:r>
          <w:r>
            <w:rPr>
              <w:noProof/>
            </w:rPr>
            <w:instrText xml:space="preserve"> PAGEREF _Toc51941444 \h </w:instrText>
          </w:r>
          <w:r>
            <w:rPr>
              <w:noProof/>
            </w:rPr>
          </w:r>
          <w:r>
            <w:rPr>
              <w:noProof/>
            </w:rPr>
            <w:fldChar w:fldCharType="separate"/>
          </w:r>
          <w:r>
            <w:rPr>
              <w:noProof/>
            </w:rPr>
            <w:t>15</w:t>
          </w:r>
          <w:r>
            <w:rPr>
              <w:noProof/>
            </w:rPr>
            <w:fldChar w:fldCharType="end"/>
          </w:r>
        </w:p>
        <w:p w14:paraId="03BC1BC0" w14:textId="4C0CB179" w:rsidR="00C521B3" w:rsidRDefault="00C521B3">
          <w:pPr>
            <w:pStyle w:val="Sisluet3"/>
            <w:tabs>
              <w:tab w:val="left" w:pos="2552"/>
            </w:tabs>
            <w:rPr>
              <w:rFonts w:asciiTheme="minorHAnsi" w:eastAsiaTheme="minorEastAsia" w:hAnsiTheme="minorHAnsi" w:cstheme="minorBidi"/>
              <w:bCs w:val="0"/>
              <w:noProof/>
              <w:sz w:val="22"/>
              <w:szCs w:val="22"/>
              <w:lang w:eastAsia="fi-FI"/>
            </w:rPr>
          </w:pPr>
          <w:r>
            <w:rPr>
              <w:noProof/>
            </w:rPr>
            <w:t>4.12.1</w:t>
          </w:r>
          <w:r>
            <w:rPr>
              <w:rFonts w:asciiTheme="minorHAnsi" w:eastAsiaTheme="minorEastAsia" w:hAnsiTheme="minorHAnsi" w:cstheme="minorBidi"/>
              <w:bCs w:val="0"/>
              <w:noProof/>
              <w:sz w:val="22"/>
              <w:szCs w:val="22"/>
              <w:lang w:eastAsia="fi-FI"/>
            </w:rPr>
            <w:tab/>
          </w:r>
          <w:r>
            <w:rPr>
              <w:noProof/>
            </w:rPr>
            <w:t>Vastuu sopijapuolten välillä tunnistuksen välityksessä</w:t>
          </w:r>
          <w:r>
            <w:rPr>
              <w:noProof/>
            </w:rPr>
            <w:tab/>
          </w:r>
          <w:r>
            <w:rPr>
              <w:noProof/>
            </w:rPr>
            <w:fldChar w:fldCharType="begin"/>
          </w:r>
          <w:r>
            <w:rPr>
              <w:noProof/>
            </w:rPr>
            <w:instrText xml:space="preserve"> PAGEREF _Toc51941445 \h </w:instrText>
          </w:r>
          <w:r>
            <w:rPr>
              <w:noProof/>
            </w:rPr>
          </w:r>
          <w:r>
            <w:rPr>
              <w:noProof/>
            </w:rPr>
            <w:fldChar w:fldCharType="separate"/>
          </w:r>
          <w:r>
            <w:rPr>
              <w:noProof/>
            </w:rPr>
            <w:t>15</w:t>
          </w:r>
          <w:r>
            <w:rPr>
              <w:noProof/>
            </w:rPr>
            <w:fldChar w:fldCharType="end"/>
          </w:r>
        </w:p>
        <w:p w14:paraId="6281599B" w14:textId="09D89926" w:rsidR="00C521B3" w:rsidRDefault="00C521B3">
          <w:pPr>
            <w:pStyle w:val="Sisluet3"/>
            <w:tabs>
              <w:tab w:val="left" w:pos="2552"/>
            </w:tabs>
            <w:rPr>
              <w:rFonts w:asciiTheme="minorHAnsi" w:eastAsiaTheme="minorEastAsia" w:hAnsiTheme="minorHAnsi" w:cstheme="minorBidi"/>
              <w:bCs w:val="0"/>
              <w:noProof/>
              <w:sz w:val="22"/>
              <w:szCs w:val="22"/>
              <w:lang w:eastAsia="fi-FI"/>
            </w:rPr>
          </w:pPr>
          <w:r>
            <w:rPr>
              <w:noProof/>
            </w:rPr>
            <w:t>4.12.2</w:t>
          </w:r>
          <w:r>
            <w:rPr>
              <w:rFonts w:asciiTheme="minorHAnsi" w:eastAsiaTheme="minorEastAsia" w:hAnsiTheme="minorHAnsi" w:cstheme="minorBidi"/>
              <w:bCs w:val="0"/>
              <w:noProof/>
              <w:sz w:val="22"/>
              <w:szCs w:val="22"/>
              <w:lang w:eastAsia="fi-FI"/>
            </w:rPr>
            <w:tab/>
          </w:r>
          <w:r>
            <w:rPr>
              <w:noProof/>
            </w:rPr>
            <w:t>Vastuu ensitunnistamisen ketjutuksessa</w:t>
          </w:r>
          <w:r>
            <w:rPr>
              <w:noProof/>
            </w:rPr>
            <w:tab/>
          </w:r>
          <w:r>
            <w:rPr>
              <w:noProof/>
            </w:rPr>
            <w:fldChar w:fldCharType="begin"/>
          </w:r>
          <w:r>
            <w:rPr>
              <w:noProof/>
            </w:rPr>
            <w:instrText xml:space="preserve"> PAGEREF _Toc51941446 \h </w:instrText>
          </w:r>
          <w:r>
            <w:rPr>
              <w:noProof/>
            </w:rPr>
          </w:r>
          <w:r>
            <w:rPr>
              <w:noProof/>
            </w:rPr>
            <w:fldChar w:fldCharType="separate"/>
          </w:r>
          <w:r>
            <w:rPr>
              <w:noProof/>
            </w:rPr>
            <w:t>16</w:t>
          </w:r>
          <w:r>
            <w:rPr>
              <w:noProof/>
            </w:rPr>
            <w:fldChar w:fldCharType="end"/>
          </w:r>
        </w:p>
        <w:p w14:paraId="17578CBE" w14:textId="555DBAD6" w:rsidR="00C521B3" w:rsidRDefault="00C521B3">
          <w:pPr>
            <w:pStyle w:val="Sisluet2"/>
            <w:tabs>
              <w:tab w:val="left" w:pos="1418"/>
            </w:tabs>
            <w:rPr>
              <w:rFonts w:asciiTheme="minorHAnsi" w:eastAsiaTheme="minorEastAsia" w:hAnsiTheme="minorHAnsi" w:cstheme="minorBidi"/>
              <w:bCs w:val="0"/>
              <w:iCs w:val="0"/>
              <w:noProof/>
              <w:sz w:val="22"/>
              <w:szCs w:val="22"/>
              <w:lang w:eastAsia="fi-FI"/>
            </w:rPr>
          </w:pPr>
          <w:r>
            <w:rPr>
              <w:noProof/>
            </w:rPr>
            <w:t>4.13</w:t>
          </w:r>
          <w:r>
            <w:rPr>
              <w:rFonts w:asciiTheme="minorHAnsi" w:eastAsiaTheme="minorEastAsia" w:hAnsiTheme="minorHAnsi" w:cstheme="minorBidi"/>
              <w:bCs w:val="0"/>
              <w:iCs w:val="0"/>
              <w:noProof/>
              <w:sz w:val="22"/>
              <w:szCs w:val="22"/>
              <w:lang w:eastAsia="fi-FI"/>
            </w:rPr>
            <w:tab/>
          </w:r>
          <w:r>
            <w:rPr>
              <w:noProof/>
            </w:rPr>
            <w:t>Tietosuoja</w:t>
          </w:r>
          <w:r>
            <w:rPr>
              <w:noProof/>
            </w:rPr>
            <w:tab/>
          </w:r>
          <w:r>
            <w:rPr>
              <w:noProof/>
            </w:rPr>
            <w:fldChar w:fldCharType="begin"/>
          </w:r>
          <w:r>
            <w:rPr>
              <w:noProof/>
            </w:rPr>
            <w:instrText xml:space="preserve"> PAGEREF _Toc51941447 \h </w:instrText>
          </w:r>
          <w:r>
            <w:rPr>
              <w:noProof/>
            </w:rPr>
          </w:r>
          <w:r>
            <w:rPr>
              <w:noProof/>
            </w:rPr>
            <w:fldChar w:fldCharType="separate"/>
          </w:r>
          <w:r>
            <w:rPr>
              <w:noProof/>
            </w:rPr>
            <w:t>16</w:t>
          </w:r>
          <w:r>
            <w:rPr>
              <w:noProof/>
            </w:rPr>
            <w:fldChar w:fldCharType="end"/>
          </w:r>
        </w:p>
        <w:p w14:paraId="14BF0B0D" w14:textId="373D0BED" w:rsidR="00C521B3" w:rsidRDefault="00C521B3">
          <w:pPr>
            <w:pStyle w:val="Sisluet2"/>
            <w:tabs>
              <w:tab w:val="left" w:pos="1418"/>
            </w:tabs>
            <w:rPr>
              <w:rFonts w:asciiTheme="minorHAnsi" w:eastAsiaTheme="minorEastAsia" w:hAnsiTheme="minorHAnsi" w:cstheme="minorBidi"/>
              <w:bCs w:val="0"/>
              <w:iCs w:val="0"/>
              <w:noProof/>
              <w:sz w:val="22"/>
              <w:szCs w:val="22"/>
              <w:lang w:eastAsia="fi-FI"/>
            </w:rPr>
          </w:pPr>
          <w:r>
            <w:rPr>
              <w:noProof/>
            </w:rPr>
            <w:t>4.14</w:t>
          </w:r>
          <w:r>
            <w:rPr>
              <w:rFonts w:asciiTheme="minorHAnsi" w:eastAsiaTheme="minorEastAsia" w:hAnsiTheme="minorHAnsi" w:cstheme="minorBidi"/>
              <w:bCs w:val="0"/>
              <w:iCs w:val="0"/>
              <w:noProof/>
              <w:sz w:val="22"/>
              <w:szCs w:val="22"/>
              <w:lang w:eastAsia="fi-FI"/>
            </w:rPr>
            <w:tab/>
          </w:r>
          <w:r>
            <w:rPr>
              <w:noProof/>
            </w:rPr>
            <w:t>Salassapito</w:t>
          </w:r>
          <w:r>
            <w:rPr>
              <w:noProof/>
            </w:rPr>
            <w:tab/>
          </w:r>
          <w:r>
            <w:rPr>
              <w:noProof/>
            </w:rPr>
            <w:fldChar w:fldCharType="begin"/>
          </w:r>
          <w:r>
            <w:rPr>
              <w:noProof/>
            </w:rPr>
            <w:instrText xml:space="preserve"> PAGEREF _Toc51941448 \h </w:instrText>
          </w:r>
          <w:r>
            <w:rPr>
              <w:noProof/>
            </w:rPr>
          </w:r>
          <w:r>
            <w:rPr>
              <w:noProof/>
            </w:rPr>
            <w:fldChar w:fldCharType="separate"/>
          </w:r>
          <w:r>
            <w:rPr>
              <w:noProof/>
            </w:rPr>
            <w:t>16</w:t>
          </w:r>
          <w:r>
            <w:rPr>
              <w:noProof/>
            </w:rPr>
            <w:fldChar w:fldCharType="end"/>
          </w:r>
        </w:p>
        <w:p w14:paraId="0017A3C7" w14:textId="44E20C94" w:rsidR="00C521B3" w:rsidRDefault="00C521B3">
          <w:pPr>
            <w:pStyle w:val="Sisluet2"/>
            <w:tabs>
              <w:tab w:val="left" w:pos="1418"/>
            </w:tabs>
            <w:rPr>
              <w:rFonts w:asciiTheme="minorHAnsi" w:eastAsiaTheme="minorEastAsia" w:hAnsiTheme="minorHAnsi" w:cstheme="minorBidi"/>
              <w:bCs w:val="0"/>
              <w:iCs w:val="0"/>
              <w:noProof/>
              <w:sz w:val="22"/>
              <w:szCs w:val="22"/>
              <w:lang w:eastAsia="fi-FI"/>
            </w:rPr>
          </w:pPr>
          <w:r>
            <w:rPr>
              <w:noProof/>
            </w:rPr>
            <w:t>4.15</w:t>
          </w:r>
          <w:r>
            <w:rPr>
              <w:rFonts w:asciiTheme="minorHAnsi" w:eastAsiaTheme="minorEastAsia" w:hAnsiTheme="minorHAnsi" w:cstheme="minorBidi"/>
              <w:bCs w:val="0"/>
              <w:iCs w:val="0"/>
              <w:noProof/>
              <w:sz w:val="22"/>
              <w:szCs w:val="22"/>
              <w:lang w:eastAsia="fi-FI"/>
            </w:rPr>
            <w:tab/>
          </w:r>
          <w:r>
            <w:rPr>
              <w:noProof/>
            </w:rPr>
            <w:t>Tunnistustapahtumien välittämisen tilapäinen keskeyttäminen</w:t>
          </w:r>
          <w:r>
            <w:rPr>
              <w:noProof/>
            </w:rPr>
            <w:tab/>
          </w:r>
          <w:r>
            <w:rPr>
              <w:noProof/>
            </w:rPr>
            <w:fldChar w:fldCharType="begin"/>
          </w:r>
          <w:r>
            <w:rPr>
              <w:noProof/>
            </w:rPr>
            <w:instrText xml:space="preserve"> PAGEREF _Toc51941449 \h </w:instrText>
          </w:r>
          <w:r>
            <w:rPr>
              <w:noProof/>
            </w:rPr>
          </w:r>
          <w:r>
            <w:rPr>
              <w:noProof/>
            </w:rPr>
            <w:fldChar w:fldCharType="separate"/>
          </w:r>
          <w:r>
            <w:rPr>
              <w:noProof/>
            </w:rPr>
            <w:t>16</w:t>
          </w:r>
          <w:r>
            <w:rPr>
              <w:noProof/>
            </w:rPr>
            <w:fldChar w:fldCharType="end"/>
          </w:r>
        </w:p>
        <w:p w14:paraId="25F2C9A9" w14:textId="1E21C7DB" w:rsidR="00C521B3" w:rsidRDefault="00C521B3">
          <w:pPr>
            <w:pStyle w:val="Sisluet2"/>
            <w:tabs>
              <w:tab w:val="left" w:pos="1418"/>
            </w:tabs>
            <w:rPr>
              <w:rFonts w:asciiTheme="minorHAnsi" w:eastAsiaTheme="minorEastAsia" w:hAnsiTheme="minorHAnsi" w:cstheme="minorBidi"/>
              <w:bCs w:val="0"/>
              <w:iCs w:val="0"/>
              <w:noProof/>
              <w:sz w:val="22"/>
              <w:szCs w:val="22"/>
              <w:lang w:eastAsia="fi-FI"/>
            </w:rPr>
          </w:pPr>
          <w:r>
            <w:rPr>
              <w:noProof/>
            </w:rPr>
            <w:t>4.16</w:t>
          </w:r>
          <w:r>
            <w:rPr>
              <w:rFonts w:asciiTheme="minorHAnsi" w:eastAsiaTheme="minorEastAsia" w:hAnsiTheme="minorHAnsi" w:cstheme="minorBidi"/>
              <w:bCs w:val="0"/>
              <w:iCs w:val="0"/>
              <w:noProof/>
              <w:sz w:val="22"/>
              <w:szCs w:val="22"/>
              <w:lang w:eastAsia="fi-FI"/>
            </w:rPr>
            <w:tab/>
          </w:r>
          <w:r>
            <w:rPr>
              <w:noProof/>
            </w:rPr>
            <w:t>Sopimuksen päättyminen</w:t>
          </w:r>
          <w:r>
            <w:rPr>
              <w:noProof/>
            </w:rPr>
            <w:tab/>
          </w:r>
          <w:r>
            <w:rPr>
              <w:noProof/>
            </w:rPr>
            <w:fldChar w:fldCharType="begin"/>
          </w:r>
          <w:r>
            <w:rPr>
              <w:noProof/>
            </w:rPr>
            <w:instrText xml:space="preserve"> PAGEREF _Toc51941450 \h </w:instrText>
          </w:r>
          <w:r>
            <w:rPr>
              <w:noProof/>
            </w:rPr>
          </w:r>
          <w:r>
            <w:rPr>
              <w:noProof/>
            </w:rPr>
            <w:fldChar w:fldCharType="separate"/>
          </w:r>
          <w:r>
            <w:rPr>
              <w:noProof/>
            </w:rPr>
            <w:t>16</w:t>
          </w:r>
          <w:r>
            <w:rPr>
              <w:noProof/>
            </w:rPr>
            <w:fldChar w:fldCharType="end"/>
          </w:r>
        </w:p>
        <w:p w14:paraId="6E2F0CFE" w14:textId="6091284E" w:rsidR="00C521B3" w:rsidRDefault="00C521B3">
          <w:pPr>
            <w:pStyle w:val="Sisluet2"/>
            <w:tabs>
              <w:tab w:val="left" w:pos="1418"/>
            </w:tabs>
            <w:rPr>
              <w:rFonts w:asciiTheme="minorHAnsi" w:eastAsiaTheme="minorEastAsia" w:hAnsiTheme="minorHAnsi" w:cstheme="minorBidi"/>
              <w:bCs w:val="0"/>
              <w:iCs w:val="0"/>
              <w:noProof/>
              <w:sz w:val="22"/>
              <w:szCs w:val="22"/>
              <w:lang w:eastAsia="fi-FI"/>
            </w:rPr>
          </w:pPr>
          <w:r>
            <w:rPr>
              <w:noProof/>
            </w:rPr>
            <w:t>4.17</w:t>
          </w:r>
          <w:r>
            <w:rPr>
              <w:rFonts w:asciiTheme="minorHAnsi" w:eastAsiaTheme="minorEastAsia" w:hAnsiTheme="minorHAnsi" w:cstheme="minorBidi"/>
              <w:bCs w:val="0"/>
              <w:iCs w:val="0"/>
              <w:noProof/>
              <w:sz w:val="22"/>
              <w:szCs w:val="22"/>
              <w:lang w:eastAsia="fi-FI"/>
            </w:rPr>
            <w:tab/>
          </w:r>
          <w:r>
            <w:rPr>
              <w:noProof/>
            </w:rPr>
            <w:t>Sopimuksen siirto</w:t>
          </w:r>
          <w:r>
            <w:rPr>
              <w:noProof/>
            </w:rPr>
            <w:tab/>
          </w:r>
          <w:r>
            <w:rPr>
              <w:noProof/>
            </w:rPr>
            <w:fldChar w:fldCharType="begin"/>
          </w:r>
          <w:r>
            <w:rPr>
              <w:noProof/>
            </w:rPr>
            <w:instrText xml:space="preserve"> PAGEREF _Toc51941451 \h </w:instrText>
          </w:r>
          <w:r>
            <w:rPr>
              <w:noProof/>
            </w:rPr>
          </w:r>
          <w:r>
            <w:rPr>
              <w:noProof/>
            </w:rPr>
            <w:fldChar w:fldCharType="separate"/>
          </w:r>
          <w:r>
            <w:rPr>
              <w:noProof/>
            </w:rPr>
            <w:t>17</w:t>
          </w:r>
          <w:r>
            <w:rPr>
              <w:noProof/>
            </w:rPr>
            <w:fldChar w:fldCharType="end"/>
          </w:r>
        </w:p>
        <w:p w14:paraId="1E126762" w14:textId="79FD42F7" w:rsidR="00C521B3" w:rsidRDefault="00C521B3">
          <w:pPr>
            <w:pStyle w:val="Sisluet2"/>
            <w:tabs>
              <w:tab w:val="left" w:pos="1418"/>
            </w:tabs>
            <w:rPr>
              <w:rFonts w:asciiTheme="minorHAnsi" w:eastAsiaTheme="minorEastAsia" w:hAnsiTheme="minorHAnsi" w:cstheme="minorBidi"/>
              <w:bCs w:val="0"/>
              <w:iCs w:val="0"/>
              <w:noProof/>
              <w:sz w:val="22"/>
              <w:szCs w:val="22"/>
              <w:lang w:eastAsia="fi-FI"/>
            </w:rPr>
          </w:pPr>
          <w:r>
            <w:rPr>
              <w:noProof/>
            </w:rPr>
            <w:t>4.18</w:t>
          </w:r>
          <w:r>
            <w:rPr>
              <w:rFonts w:asciiTheme="minorHAnsi" w:eastAsiaTheme="minorEastAsia" w:hAnsiTheme="minorHAnsi" w:cstheme="minorBidi"/>
              <w:bCs w:val="0"/>
              <w:iCs w:val="0"/>
              <w:noProof/>
              <w:sz w:val="22"/>
              <w:szCs w:val="22"/>
              <w:lang w:eastAsia="fi-FI"/>
            </w:rPr>
            <w:tab/>
          </w:r>
          <w:r>
            <w:rPr>
              <w:noProof/>
            </w:rPr>
            <w:t>Riitojen ratkaiseminen</w:t>
          </w:r>
          <w:r>
            <w:rPr>
              <w:noProof/>
            </w:rPr>
            <w:tab/>
          </w:r>
          <w:r>
            <w:rPr>
              <w:noProof/>
            </w:rPr>
            <w:fldChar w:fldCharType="begin"/>
          </w:r>
          <w:r>
            <w:rPr>
              <w:noProof/>
            </w:rPr>
            <w:instrText xml:space="preserve"> PAGEREF _Toc51941452 \h </w:instrText>
          </w:r>
          <w:r>
            <w:rPr>
              <w:noProof/>
            </w:rPr>
          </w:r>
          <w:r>
            <w:rPr>
              <w:noProof/>
            </w:rPr>
            <w:fldChar w:fldCharType="separate"/>
          </w:r>
          <w:r>
            <w:rPr>
              <w:noProof/>
            </w:rPr>
            <w:t>17</w:t>
          </w:r>
          <w:r>
            <w:rPr>
              <w:noProof/>
            </w:rPr>
            <w:fldChar w:fldCharType="end"/>
          </w:r>
        </w:p>
        <w:p w14:paraId="4314DEDD" w14:textId="78194BFE" w:rsidR="00C521B3" w:rsidRDefault="00C521B3">
          <w:pPr>
            <w:pStyle w:val="Sisluet1"/>
            <w:rPr>
              <w:rFonts w:asciiTheme="minorHAnsi" w:eastAsiaTheme="minorEastAsia" w:hAnsiTheme="minorHAnsi" w:cstheme="minorBidi"/>
              <w:b w:val="0"/>
              <w:noProof/>
              <w:sz w:val="22"/>
              <w:szCs w:val="22"/>
              <w:lang w:eastAsia="fi-FI"/>
            </w:rPr>
          </w:pPr>
          <w:r>
            <w:rPr>
              <w:noProof/>
            </w:rPr>
            <w:t>5</w:t>
          </w:r>
          <w:r>
            <w:rPr>
              <w:rFonts w:asciiTheme="minorHAnsi" w:eastAsiaTheme="minorEastAsia" w:hAnsiTheme="minorHAnsi" w:cstheme="minorBidi"/>
              <w:b w:val="0"/>
              <w:noProof/>
              <w:sz w:val="22"/>
              <w:szCs w:val="22"/>
              <w:lang w:eastAsia="fi-FI"/>
            </w:rPr>
            <w:tab/>
          </w:r>
          <w:r>
            <w:rPr>
              <w:noProof/>
            </w:rPr>
            <w:t>Käytännesääntöjen muuttaminen</w:t>
          </w:r>
          <w:r>
            <w:rPr>
              <w:noProof/>
            </w:rPr>
            <w:tab/>
          </w:r>
          <w:r>
            <w:rPr>
              <w:noProof/>
            </w:rPr>
            <w:fldChar w:fldCharType="begin"/>
          </w:r>
          <w:r>
            <w:rPr>
              <w:noProof/>
            </w:rPr>
            <w:instrText xml:space="preserve"> PAGEREF _Toc51941453 \h </w:instrText>
          </w:r>
          <w:r>
            <w:rPr>
              <w:noProof/>
            </w:rPr>
          </w:r>
          <w:r>
            <w:rPr>
              <w:noProof/>
            </w:rPr>
            <w:fldChar w:fldCharType="separate"/>
          </w:r>
          <w:r>
            <w:rPr>
              <w:noProof/>
            </w:rPr>
            <w:t>17</w:t>
          </w:r>
          <w:r>
            <w:rPr>
              <w:noProof/>
            </w:rPr>
            <w:fldChar w:fldCharType="end"/>
          </w:r>
        </w:p>
        <w:p w14:paraId="12B689F9" w14:textId="0CE97A8D" w:rsidR="00C521B3" w:rsidRDefault="00C521B3">
          <w:pPr>
            <w:pStyle w:val="Sisluet1"/>
            <w:rPr>
              <w:rFonts w:asciiTheme="minorHAnsi" w:eastAsiaTheme="minorEastAsia" w:hAnsiTheme="minorHAnsi" w:cstheme="minorBidi"/>
              <w:b w:val="0"/>
              <w:noProof/>
              <w:sz w:val="22"/>
              <w:szCs w:val="22"/>
              <w:lang w:eastAsia="fi-FI"/>
            </w:rPr>
          </w:pPr>
          <w:r>
            <w:rPr>
              <w:noProof/>
            </w:rPr>
            <w:t>6</w:t>
          </w:r>
          <w:r>
            <w:rPr>
              <w:rFonts w:asciiTheme="minorHAnsi" w:eastAsiaTheme="minorEastAsia" w:hAnsiTheme="minorHAnsi" w:cstheme="minorBidi"/>
              <w:b w:val="0"/>
              <w:noProof/>
              <w:sz w:val="22"/>
              <w:szCs w:val="22"/>
              <w:lang w:eastAsia="fi-FI"/>
            </w:rPr>
            <w:tab/>
          </w:r>
          <w:r>
            <w:rPr>
              <w:noProof/>
            </w:rPr>
            <w:t>Liitteet</w:t>
          </w:r>
          <w:r>
            <w:rPr>
              <w:noProof/>
            </w:rPr>
            <w:tab/>
          </w:r>
          <w:r>
            <w:rPr>
              <w:noProof/>
            </w:rPr>
            <w:fldChar w:fldCharType="begin"/>
          </w:r>
          <w:r>
            <w:rPr>
              <w:noProof/>
            </w:rPr>
            <w:instrText xml:space="preserve"> PAGEREF _Toc51941454 \h </w:instrText>
          </w:r>
          <w:r>
            <w:rPr>
              <w:noProof/>
            </w:rPr>
          </w:r>
          <w:r>
            <w:rPr>
              <w:noProof/>
            </w:rPr>
            <w:fldChar w:fldCharType="separate"/>
          </w:r>
          <w:r>
            <w:rPr>
              <w:noProof/>
            </w:rPr>
            <w:t>18</w:t>
          </w:r>
          <w:r>
            <w:rPr>
              <w:noProof/>
            </w:rPr>
            <w:fldChar w:fldCharType="end"/>
          </w:r>
        </w:p>
        <w:p w14:paraId="7FD7C615" w14:textId="5A7303F1" w:rsidR="00C521B3" w:rsidRDefault="00C521B3">
          <w:pPr>
            <w:pStyle w:val="Sisluet1"/>
            <w:rPr>
              <w:rFonts w:asciiTheme="minorHAnsi" w:eastAsiaTheme="minorEastAsia" w:hAnsiTheme="minorHAnsi" w:cstheme="minorBidi"/>
              <w:b w:val="0"/>
              <w:noProof/>
              <w:sz w:val="22"/>
              <w:szCs w:val="22"/>
              <w:lang w:eastAsia="fi-FI"/>
            </w:rPr>
          </w:pPr>
          <w:r>
            <w:rPr>
              <w:noProof/>
            </w:rPr>
            <w:t>7</w:t>
          </w:r>
          <w:r>
            <w:rPr>
              <w:rFonts w:asciiTheme="minorHAnsi" w:eastAsiaTheme="minorEastAsia" w:hAnsiTheme="minorHAnsi" w:cstheme="minorBidi"/>
              <w:b w:val="0"/>
              <w:noProof/>
              <w:sz w:val="22"/>
              <w:szCs w:val="22"/>
              <w:lang w:eastAsia="fi-FI"/>
            </w:rPr>
            <w:tab/>
          </w:r>
          <w:r>
            <w:rPr>
              <w:noProof/>
            </w:rPr>
            <w:t>Viitteet</w:t>
          </w:r>
          <w:r>
            <w:rPr>
              <w:noProof/>
            </w:rPr>
            <w:tab/>
          </w:r>
          <w:r>
            <w:rPr>
              <w:noProof/>
            </w:rPr>
            <w:fldChar w:fldCharType="begin"/>
          </w:r>
          <w:r>
            <w:rPr>
              <w:noProof/>
            </w:rPr>
            <w:instrText xml:space="preserve"> PAGEREF _Toc51941455 \h </w:instrText>
          </w:r>
          <w:r>
            <w:rPr>
              <w:noProof/>
            </w:rPr>
          </w:r>
          <w:r>
            <w:rPr>
              <w:noProof/>
            </w:rPr>
            <w:fldChar w:fldCharType="separate"/>
          </w:r>
          <w:r>
            <w:rPr>
              <w:noProof/>
            </w:rPr>
            <w:t>18</w:t>
          </w:r>
          <w:r>
            <w:rPr>
              <w:noProof/>
            </w:rPr>
            <w:fldChar w:fldCharType="end"/>
          </w:r>
        </w:p>
        <w:p w14:paraId="08DBB58D" w14:textId="642D340C" w:rsidR="0053238E" w:rsidRDefault="0053238E" w:rsidP="0053238E">
          <w:r>
            <w:rPr>
              <w:rFonts w:asciiTheme="majorHAnsi" w:eastAsiaTheme="majorEastAsia" w:hAnsiTheme="majorHAnsi" w:cstheme="majorHAnsi"/>
              <w:b/>
              <w:szCs w:val="20"/>
            </w:rPr>
            <w:fldChar w:fldCharType="end"/>
          </w:r>
        </w:p>
      </w:sdtContent>
    </w:sdt>
    <w:bookmarkEnd w:id="0"/>
    <w:p w14:paraId="6FD0AA87" w14:textId="77777777" w:rsidR="0053238E" w:rsidRDefault="0053238E" w:rsidP="0053238E">
      <w:pPr>
        <w:rPr>
          <w:rFonts w:asciiTheme="majorHAnsi" w:eastAsiaTheme="majorEastAsia" w:hAnsiTheme="majorHAnsi" w:cstheme="majorHAnsi"/>
          <w:b/>
          <w:bCs/>
          <w:sz w:val="26"/>
          <w:szCs w:val="28"/>
        </w:rPr>
      </w:pPr>
      <w:r>
        <w:br w:type="page"/>
      </w:r>
    </w:p>
    <w:p w14:paraId="60636B6A" w14:textId="77777777" w:rsidR="00403A32" w:rsidRDefault="00403A32" w:rsidP="00403A32">
      <w:pPr>
        <w:pStyle w:val="Otsikko1"/>
      </w:pPr>
      <w:bookmarkStart w:id="1" w:name="_Toc486337989"/>
      <w:bookmarkStart w:id="2" w:name="_Toc51941423"/>
      <w:r>
        <w:lastRenderedPageBreak/>
        <w:t>Johdanto ja käytännesääntöjen tarkoitus</w:t>
      </w:r>
      <w:bookmarkEnd w:id="1"/>
      <w:bookmarkEnd w:id="2"/>
    </w:p>
    <w:p w14:paraId="611CA7B5" w14:textId="725699E4" w:rsidR="00403A32" w:rsidRDefault="00403A32" w:rsidP="00403A32">
      <w:pPr>
        <w:pStyle w:val="Leipteksti"/>
      </w:pPr>
      <w:r>
        <w:t xml:space="preserve">Nämä käytännesäännöt sekä tietosuojaa koskeva liite täydentävät lakia, asetusta ja lakiin perustuvia Liikenne- ja viestintävirasto Traficomin teknisiä määräyksiä vahvasta sähköisestä tunnistamisesta ja tunnistuspalveluntarjoajien luottamusverkostosta.  </w:t>
      </w:r>
    </w:p>
    <w:p w14:paraId="235AC1AB" w14:textId="71BAA4FE" w:rsidR="00403A32" w:rsidRDefault="00403A32" w:rsidP="00403A32">
      <w:pPr>
        <w:pStyle w:val="Leipteksti"/>
      </w:pPr>
      <w:r>
        <w:t xml:space="preserve">Käytännesäännöt on </w:t>
      </w:r>
      <w:r w:rsidR="0000775A">
        <w:t xml:space="preserve">alun perin </w:t>
      </w:r>
      <w:r>
        <w:t xml:space="preserve">laadittu viranomaisten ja elinkeinoelämän yhteistyönä Viestintäviraston asettamassa Tunnistaminen ja luottamuspalvelut -työryhmässä, </w:t>
      </w:r>
      <w:r w:rsidRPr="002A212A">
        <w:t>jossa ovat olleet edustettuina mm. pankit, teleyritykset ja Väestörekisterikeskus</w:t>
      </w:r>
      <w:r w:rsidR="009636ED" w:rsidRPr="002A212A">
        <w:t xml:space="preserve"> (nykyisin Digi- ja väestötietovirasto)</w:t>
      </w:r>
      <w:r w:rsidRPr="002A212A">
        <w:t xml:space="preserve">. </w:t>
      </w:r>
      <w:r w:rsidR="0000775A" w:rsidRPr="002A212A">
        <w:t>Nykyinen versio on laadittu Liikenne- ja viestintäviraston asettamassa luottamusverk</w:t>
      </w:r>
      <w:r w:rsidR="0000775A">
        <w:t xml:space="preserve">oston yhteistoimintaryhmässä. </w:t>
      </w:r>
      <w:r>
        <w:t xml:space="preserve">Käytännesäännöt ovat oikeudelliselta luonteeltaan Liikenne- ja viestintäviraston suositus. </w:t>
      </w:r>
    </w:p>
    <w:p w14:paraId="6BA47DCB" w14:textId="014D00C6" w:rsidR="00403A32" w:rsidRDefault="00403A32" w:rsidP="00403A32">
      <w:pPr>
        <w:pStyle w:val="Leipteksti"/>
      </w:pPr>
      <w:r>
        <w:t>Vahvasta sähköisestä tunnistamisesta ja sähköisistä luottamuspalveluista annetun lain (617/2009, jäljempänä tunnistuslaki) [1] muutoksella (</w:t>
      </w:r>
      <w:r w:rsidR="002A212A">
        <w:t>139/2015</w:t>
      </w:r>
      <w:r>
        <w:t xml:space="preserve">) säädettiin tunnistuspalveluiden luottamusverkoston muodostamisesta. Luottamusverkoston tavoitteena on edistää yleiskäyttöisten, käytettävyydeltään ja turvallisuudeltaan edistyksellisten tunnistuspalveluiden tarjontaa markkinoilla ja edistää sähköisen asioinnin turvallisuutta.  Verkosto mahdollistaa eri tunnistusvälineiden välittämisen asiointipalveluille yhtenäisillä teknisillä ja hallinnollisilla järjestelyillä. Luottamusverkoston hallinnollisista käytännöistä, teknisistä rajapinnoista ja hallinnollisista vastuista annetaan tarkempia säännöksiä valtioneuvoston asetuksella vahvan sähköisen tunnistuspalvelun tarjoajien luottamusverkostosta (169/2016, jäljempänä </w:t>
      </w:r>
      <w:proofErr w:type="gramStart"/>
      <w:r>
        <w:t>luottamusverkostoasetus)[</w:t>
      </w:r>
      <w:proofErr w:type="gramEnd"/>
      <w:r>
        <w:t>2].</w:t>
      </w:r>
    </w:p>
    <w:p w14:paraId="205721E9" w14:textId="65DBF4DA" w:rsidR="00403A32" w:rsidRDefault="00B54D30" w:rsidP="00403A32">
      <w:pPr>
        <w:pStyle w:val="Leipteksti"/>
      </w:pPr>
      <w:r>
        <w:t xml:space="preserve">Tunnistuslakiin </w:t>
      </w:r>
      <w:r w:rsidR="008C2451">
        <w:t>tehtiin</w:t>
      </w:r>
      <w:r>
        <w:t xml:space="preserve"> vuonna 2019 merkittäviä muutoksia säännöksiin</w:t>
      </w:r>
      <w:r w:rsidR="008C2451">
        <w:t xml:space="preserve"> (laki 412/2019)</w:t>
      </w:r>
      <w:r>
        <w:t xml:space="preserve">, jotka koskevat luottamusverkoston toimintaa. Uudet säännökset määrittelevät aiempaa yksityiskohtaisemmin, </w:t>
      </w:r>
      <w:r w:rsidR="008C2451">
        <w:t xml:space="preserve">millaiset toimitusehdot tunnistuspalvelun käyttöoikeudesta on laadittava ja millä menettelyin käyttöoikeus myönnetään. </w:t>
      </w:r>
      <w:r w:rsidR="008C2451" w:rsidRPr="002A212A">
        <w:rPr>
          <w:color w:val="64A5E7" w:themeColor="background2" w:themeTint="99"/>
        </w:rPr>
        <w:t>[Näiden muutosten johdosta k</w:t>
      </w:r>
      <w:r w:rsidRPr="002A212A">
        <w:rPr>
          <w:color w:val="64A5E7" w:themeColor="background2" w:themeTint="99"/>
        </w:rPr>
        <w:t>äytännesäännöt ja niiden liite on päivitetty vuonna 202</w:t>
      </w:r>
      <w:r w:rsidR="002A212A" w:rsidRPr="002A212A">
        <w:rPr>
          <w:color w:val="64A5E7" w:themeColor="background2" w:themeTint="99"/>
        </w:rPr>
        <w:t>x</w:t>
      </w:r>
      <w:r w:rsidRPr="002A212A">
        <w:rPr>
          <w:color w:val="64A5E7" w:themeColor="background2" w:themeTint="99"/>
        </w:rPr>
        <w:t>. Päivityksessä huomioitiin vuonna 2019 voimaan tulleet lainsäädäntömuutokset sekä</w:t>
      </w:r>
      <w:r w:rsidR="008C2451" w:rsidRPr="002A212A">
        <w:rPr>
          <w:color w:val="64A5E7" w:themeColor="background2" w:themeTint="99"/>
        </w:rPr>
        <w:t xml:space="preserve"> liitteen osalta EU:n yleinen</w:t>
      </w:r>
      <w:r w:rsidRPr="002A212A">
        <w:rPr>
          <w:color w:val="64A5E7" w:themeColor="background2" w:themeTint="99"/>
        </w:rPr>
        <w:t xml:space="preserve"> tietosuoja-asetus.]</w:t>
      </w:r>
      <w:r w:rsidR="002A212A">
        <w:t xml:space="preserve"> </w:t>
      </w:r>
      <w:bookmarkStart w:id="3" w:name="_GoBack"/>
      <w:r w:rsidR="00403A32">
        <w:t>Käytännesääntöjen tarkoitus on kuvata yhteiset tavoitteet, periaatteet ja toimenpiteet luottamusverkoston toiminnalle, jotta henkilö voidaan tunnistaa asiointipalveluissa luotettavasti ja tehokkaasti riippumatta siitä, miten luottamusverkoston sisällä toimivat yritykset ovat organisoineet toimintansa. Käytännesääntöjen tarkoitus on helpottaa sopimusten tekemistä luottamusverkoston sisällä.</w:t>
      </w:r>
      <w:bookmarkEnd w:id="3"/>
      <w:r w:rsidR="00403A32">
        <w:t xml:space="preserve"> </w:t>
      </w:r>
    </w:p>
    <w:p w14:paraId="49BCA72F" w14:textId="18C24FCA" w:rsidR="00403A32" w:rsidRDefault="00403A32" w:rsidP="00403A32">
      <w:pPr>
        <w:pStyle w:val="Leipteksti"/>
      </w:pPr>
      <w:r>
        <w:t xml:space="preserve">Käytännesäännöissä käydään yleisellä tasolla läpi eri sopimusteemoja ja kuvataan niitä koskeva keskeinen säädäntö. Käytännesäännöissä annetaan myös toimialan kanssa käytyjen keskustelujen perusteella hyväksi todettuja käytäntöjä, joita voi hyödyntää sopimuksissa. Käytännesäännöt ja tietosuojaa koskevan liitteen voi ottaa liitteeksi sopimukseen tai niihin voi viitata sopimuksessa. Käytännesäännöt eivät ole sisällöltään tyhjentäviä. Sopijapuolet voivat sisällyttää sopimuksiin myös muita ehtoja. Sopijapuolten keskinäisissä sopimuksissa on luonnollisesti huomioitava myös muu luottamusverkoston jäsenten toimintaa ohjaava säädäntö, kuten kuluttajansuoja- ja kilpailuoikeus, jota ohjeessa ei ole säädösympäristön laajuuden vuoksi kokonaisuudessaan läpikäyty. Kuluttajansuojalain ja kilpailulain noudattamisen valvonta ei kuulu </w:t>
      </w:r>
      <w:r w:rsidR="008C2451">
        <w:t>Liikenne- ja v</w:t>
      </w:r>
      <w:r>
        <w:t>iestintävirastolle, vaan niitä valvovat Kuluttaja-asiamies ja Kilpailu- ja kuluttajavirasto.</w:t>
      </w:r>
    </w:p>
    <w:p w14:paraId="6566911C" w14:textId="77777777" w:rsidR="00403A32" w:rsidRDefault="00403A32" w:rsidP="00403A32">
      <w:pPr>
        <w:pStyle w:val="Otsikko2"/>
      </w:pPr>
      <w:bookmarkStart w:id="4" w:name="_Toc486337990"/>
      <w:bookmarkStart w:id="5" w:name="_Toc51941424"/>
      <w:r>
        <w:lastRenderedPageBreak/>
        <w:t>Suosituksen versiot</w:t>
      </w:r>
      <w:bookmarkEnd w:id="4"/>
      <w:bookmarkEnd w:id="5"/>
    </w:p>
    <w:p w14:paraId="2AD9D39D" w14:textId="77777777" w:rsidR="00403A32" w:rsidRDefault="00403A32" w:rsidP="00403A32">
      <w:pPr>
        <w:pStyle w:val="Leipteksti"/>
      </w:pPr>
      <w:r>
        <w:t xml:space="preserve">Suositusta täydennetään ja muutetaan tarvittaessa. Tällöin </w:t>
      </w:r>
      <w:r w:rsidRPr="00CF156C">
        <w:t>suosituksen numero 216 säilyy</w:t>
      </w:r>
      <w:r>
        <w:t>, mutta päivämäärä vaihtuu ja vuosiluku vaihtuu tarvittaessa. Suosituksen muutetut versiot listataan seuraavaan taulukkoon</w:t>
      </w:r>
    </w:p>
    <w:tbl>
      <w:tblPr>
        <w:tblStyle w:val="Viestintvirastotaulukko"/>
        <w:tblW w:w="0" w:type="auto"/>
        <w:tblInd w:w="1306" w:type="dxa"/>
        <w:tblLook w:val="04A0" w:firstRow="1" w:lastRow="0" w:firstColumn="1" w:lastColumn="0" w:noHBand="0" w:noVBand="1"/>
      </w:tblPr>
      <w:tblGrid>
        <w:gridCol w:w="4643"/>
        <w:gridCol w:w="3685"/>
      </w:tblGrid>
      <w:tr w:rsidR="0000775A" w14:paraId="794468A4" w14:textId="77777777" w:rsidTr="0000775A">
        <w:trPr>
          <w:cnfStyle w:val="100000000000" w:firstRow="1" w:lastRow="0" w:firstColumn="0" w:lastColumn="0" w:oddVBand="0" w:evenVBand="0" w:oddHBand="0" w:evenHBand="0" w:firstRowFirstColumn="0" w:firstRowLastColumn="0" w:lastRowFirstColumn="0" w:lastRowLastColumn="0"/>
        </w:trPr>
        <w:tc>
          <w:tcPr>
            <w:tcW w:w="4643" w:type="dxa"/>
          </w:tcPr>
          <w:p w14:paraId="0197EBDB" w14:textId="77777777" w:rsidR="00403A32" w:rsidRDefault="00403A32" w:rsidP="0000775A">
            <w:pPr>
              <w:pStyle w:val="Leipteksti"/>
              <w:ind w:left="0"/>
            </w:pPr>
            <w:r>
              <w:t>Suosituksen versio ja päivämäärä</w:t>
            </w:r>
          </w:p>
        </w:tc>
        <w:tc>
          <w:tcPr>
            <w:tcW w:w="3685" w:type="dxa"/>
          </w:tcPr>
          <w:p w14:paraId="3C3FDE6A" w14:textId="77777777" w:rsidR="00403A32" w:rsidRDefault="00403A32" w:rsidP="0000775A">
            <w:pPr>
              <w:pStyle w:val="Leipteksti"/>
              <w:ind w:left="0"/>
            </w:pPr>
            <w:r>
              <w:t>Tehdyt muutokset</w:t>
            </w:r>
          </w:p>
        </w:tc>
      </w:tr>
      <w:tr w:rsidR="0000775A" w14:paraId="59D62983" w14:textId="77777777" w:rsidTr="0000775A">
        <w:tc>
          <w:tcPr>
            <w:tcW w:w="4643" w:type="dxa"/>
          </w:tcPr>
          <w:p w14:paraId="506F429B" w14:textId="3C7633C8" w:rsidR="00403A32" w:rsidRDefault="00403A32" w:rsidP="0000775A">
            <w:pPr>
              <w:pStyle w:val="Leipteksti"/>
              <w:ind w:left="0"/>
            </w:pPr>
            <w:r>
              <w:t>Julkaistu suositus 216/2017 S 3.4.2017</w:t>
            </w:r>
          </w:p>
        </w:tc>
        <w:tc>
          <w:tcPr>
            <w:tcW w:w="3685" w:type="dxa"/>
          </w:tcPr>
          <w:p w14:paraId="575B04DB" w14:textId="77777777" w:rsidR="00403A32" w:rsidRDefault="00403A32" w:rsidP="0000775A">
            <w:pPr>
              <w:pStyle w:val="Leipteksti"/>
              <w:ind w:left="0"/>
            </w:pPr>
            <w:r>
              <w:t>1. julkaistu versio</w:t>
            </w:r>
          </w:p>
        </w:tc>
      </w:tr>
      <w:tr w:rsidR="0000775A" w14:paraId="4633D3F7" w14:textId="77777777" w:rsidTr="0000775A">
        <w:tc>
          <w:tcPr>
            <w:tcW w:w="4643" w:type="dxa"/>
          </w:tcPr>
          <w:p w14:paraId="08036C45" w14:textId="7A5E2CC4" w:rsidR="00403A32" w:rsidRDefault="00403A32" w:rsidP="0000775A">
            <w:pPr>
              <w:pStyle w:val="Leipteksti"/>
              <w:ind w:left="0"/>
            </w:pPr>
            <w:r>
              <w:t>Korjattu suosituksen versio 216/2017 S 3.7.2017 ja ensimmäinen versio tietosuojaliitteestä</w:t>
            </w:r>
          </w:p>
        </w:tc>
        <w:tc>
          <w:tcPr>
            <w:tcW w:w="3685" w:type="dxa"/>
          </w:tcPr>
          <w:p w14:paraId="065D5934" w14:textId="77777777" w:rsidR="00403A32" w:rsidRDefault="00403A32" w:rsidP="0000775A">
            <w:pPr>
              <w:pStyle w:val="Leipteksti"/>
              <w:ind w:left="0"/>
            </w:pPr>
            <w:r>
              <w:t>2. julkaistu versio</w:t>
            </w:r>
          </w:p>
        </w:tc>
      </w:tr>
      <w:tr w:rsidR="0000775A" w14:paraId="6B2E4E0E" w14:textId="77777777" w:rsidTr="0000775A">
        <w:tc>
          <w:tcPr>
            <w:tcW w:w="4643" w:type="dxa"/>
          </w:tcPr>
          <w:p w14:paraId="4D578DC9" w14:textId="411B6FF0" w:rsidR="00403A32" w:rsidRDefault="008C2451" w:rsidP="008C2451">
            <w:pPr>
              <w:pStyle w:val="Leipteksti"/>
              <w:ind w:left="0"/>
            </w:pPr>
            <w:r>
              <w:t>Suositus 216/202</w:t>
            </w:r>
            <w:r w:rsidR="00CD1C54">
              <w:t>2</w:t>
            </w:r>
            <w:r>
              <w:t xml:space="preserve"> x.x.202</w:t>
            </w:r>
            <w:r w:rsidR="00CD1C54">
              <w:t>2</w:t>
            </w:r>
            <w:r>
              <w:t xml:space="preserve"> ja toinen versio tietosuojaliitteestä</w:t>
            </w:r>
          </w:p>
        </w:tc>
        <w:tc>
          <w:tcPr>
            <w:tcW w:w="3685" w:type="dxa"/>
          </w:tcPr>
          <w:p w14:paraId="32E736CE" w14:textId="04662602" w:rsidR="00403A32" w:rsidRDefault="00403A32" w:rsidP="008C2451">
            <w:pPr>
              <w:pStyle w:val="Leipteksti"/>
              <w:ind w:left="0"/>
            </w:pPr>
            <w:r>
              <w:t>3. julkaistu versio</w:t>
            </w:r>
            <w:r w:rsidR="008C2451">
              <w:t>. Otettu huomioon lainmuutos 412/2019</w:t>
            </w:r>
          </w:p>
        </w:tc>
      </w:tr>
    </w:tbl>
    <w:p w14:paraId="35A5C25B" w14:textId="36AFB0B5" w:rsidR="00403A32" w:rsidRDefault="0000775A" w:rsidP="00403A32">
      <w:pPr>
        <w:pStyle w:val="Leipteksti"/>
      </w:pPr>
      <w:r>
        <w:br/>
      </w:r>
      <w:r w:rsidR="00403A32">
        <w:t>Voimassa oleva suositus julkaista</w:t>
      </w:r>
      <w:r w:rsidR="00403A32" w:rsidRPr="008C2451">
        <w:t xml:space="preserve">an </w:t>
      </w:r>
      <w:r w:rsidR="008C2451">
        <w:t>Liikenne- ja v</w:t>
      </w:r>
      <w:r w:rsidR="00403A32" w:rsidRPr="008C2451">
        <w:t xml:space="preserve">iestintäviraston verkkosivulla </w:t>
      </w:r>
      <w:r w:rsidR="008C2451" w:rsidRPr="008C2451">
        <w:t>https://www.kyberturvallisuuskeskus.fi/fi/toimintamme/saantely-ja-valvonta/sahkoinen-tunnistaminen</w:t>
      </w:r>
    </w:p>
    <w:p w14:paraId="331DED88" w14:textId="77777777" w:rsidR="00403A32" w:rsidRDefault="00403A32" w:rsidP="00403A32">
      <w:pPr>
        <w:pStyle w:val="Otsikko1"/>
      </w:pPr>
      <w:bookmarkStart w:id="6" w:name="_Toc486337991"/>
      <w:bookmarkStart w:id="7" w:name="_Toc51941425"/>
      <w:r>
        <w:t>Aiheeseen liittyvä lainsäädäntö</w:t>
      </w:r>
      <w:bookmarkEnd w:id="6"/>
      <w:r>
        <w:t xml:space="preserve"> ja määräykset</w:t>
      </w:r>
      <w:bookmarkEnd w:id="7"/>
    </w:p>
    <w:p w14:paraId="1E2E5765" w14:textId="6DD3A961" w:rsidR="00403A32" w:rsidRDefault="00403A32" w:rsidP="00403A32">
      <w:pPr>
        <w:pStyle w:val="Leipteksti"/>
      </w:pPr>
      <w:r>
        <w:t xml:space="preserve">Luottamusverkostoa koskevaa tunnistuslain 12 a </w:t>
      </w:r>
      <w:proofErr w:type="gramStart"/>
      <w:r>
        <w:t>§:ää</w:t>
      </w:r>
      <w:proofErr w:type="gramEnd"/>
      <w:r>
        <w:t xml:space="preserve"> sovellettiin ensimmäisen kerran 1.5.2017. Luottamusverkostoasetus annettiin 10.3.2016, ja myös sitä sovelletaan 1.5.2017 alkaen. EU:n </w:t>
      </w:r>
      <w:proofErr w:type="spellStart"/>
      <w:r>
        <w:t>eIDAS</w:t>
      </w:r>
      <w:proofErr w:type="spellEnd"/>
      <w:r>
        <w:t>-asetukseen liittyvät muutokset tunnistuslakiin tulivat voimaan 1.7.2016, ja Viestintäviraston määräys 72/2016 M sähköisistä tunnistus- ja luottamuspalveluista annettiin 2.11.2016. Määräys korvattiin määräyksellä 72A/2018, joka annettiin 14.5.2018 (jäljempänä määräys 72 tai M72) [3].</w:t>
      </w:r>
    </w:p>
    <w:p w14:paraId="69F594BF" w14:textId="5C7067DD" w:rsidR="00403A32" w:rsidRDefault="00403A32" w:rsidP="00403A32">
      <w:pPr>
        <w:pStyle w:val="Leipteksti"/>
      </w:pPr>
      <w:r>
        <w:t xml:space="preserve">Vahvassa sähköisessä tunnistamisessa on otettava huomioon myös Euroopan </w:t>
      </w:r>
      <w:r w:rsidR="008C2451">
        <w:t>u</w:t>
      </w:r>
      <w:r>
        <w:t xml:space="preserve">nionin parlamentin ja neuvoston 23.7.2014 antama nk. </w:t>
      </w:r>
      <w:proofErr w:type="spellStart"/>
      <w:r>
        <w:t>eIDAS</w:t>
      </w:r>
      <w:proofErr w:type="spellEnd"/>
      <w:r>
        <w:t>-asetus (EU) 910/2014 [4]. Siinä säädetään ehdoista, joiden mukaisesti jäsenvaltiot tunnustavat toisen jäsenvaltion ilmoitetun sähköisen tunnistamisen järjestelmän piiriin kuuluvat luonnollisten henkilöiden ja oikeushenkilöiden sähköisen tunnistamisen menetelmät.</w:t>
      </w:r>
    </w:p>
    <w:p w14:paraId="0D58416D" w14:textId="38AA84B6" w:rsidR="00403A32" w:rsidRDefault="00403A32" w:rsidP="00403A32">
      <w:pPr>
        <w:pStyle w:val="Leipteksti"/>
      </w:pPr>
      <w:proofErr w:type="spellStart"/>
      <w:r>
        <w:t>eIDAS</w:t>
      </w:r>
      <w:proofErr w:type="spellEnd"/>
      <w:r>
        <w:t xml:space="preserve">-asetuksessa ja sitä tarkentavassa komission täytäntöönpanoasetuksessa (EU) 2015/1502 </w:t>
      </w:r>
      <w:r w:rsidR="0000775A">
        <w:t xml:space="preserve">(jäljempänä </w:t>
      </w:r>
      <w:proofErr w:type="spellStart"/>
      <w:r w:rsidR="0000775A">
        <w:t>LoA</w:t>
      </w:r>
      <w:proofErr w:type="spellEnd"/>
      <w:r w:rsidR="0000775A">
        <w:t xml:space="preserve">-täytäntöönpanoasetus) </w:t>
      </w:r>
      <w:r>
        <w:t xml:space="preserve">[5] määritellään kolme tunnistamisen varmuustasoa, jotka on huomioitu tunnistuslaissa siten, että korotettu ja korkea taso katsotaan vahvaksi sähköiseksi tunnistamiseksi. Tunnistamisen varmuustasojen lisäksi on jossain määrin huomioitava valmius rajat ylittävään tunnistamisen välittämiseen, johon liittyy komission täytäntöönpanoasetus (EU) 2015/1501 [6]. Tunnistuslain 42 c §:n mukaan </w:t>
      </w:r>
      <w:r w:rsidR="008C2451">
        <w:t xml:space="preserve">Digi- ja väestötietovirasto </w:t>
      </w:r>
      <w:r>
        <w:t xml:space="preserve">ylläpitää kansallista solmupistettä eli </w:t>
      </w:r>
      <w:proofErr w:type="spellStart"/>
      <w:r>
        <w:t>PEPSiä</w:t>
      </w:r>
      <w:proofErr w:type="spellEnd"/>
      <w:r>
        <w:t xml:space="preserve"> (Pan-European Proxy Server). PEPS ei ole osa luottamusverkostoa.</w:t>
      </w:r>
    </w:p>
    <w:p w14:paraId="0DD2A481" w14:textId="77777777" w:rsidR="00403A32" w:rsidRDefault="00403A32" w:rsidP="00403A32">
      <w:pPr>
        <w:pStyle w:val="Leipteksti"/>
      </w:pPr>
      <w:r>
        <w:t>Normien soveltamisjärjestys epäselvissä tilanteissa voidaan kuvata seuraavasti:</w:t>
      </w:r>
    </w:p>
    <w:p w14:paraId="64FD9B4A" w14:textId="77777777" w:rsidR="00403A32" w:rsidRDefault="00403A32" w:rsidP="00403A32">
      <w:pPr>
        <w:pStyle w:val="Leipteksti"/>
        <w:numPr>
          <w:ilvl w:val="0"/>
          <w:numId w:val="6"/>
        </w:numPr>
        <w:spacing w:after="220"/>
      </w:pPr>
      <w:proofErr w:type="spellStart"/>
      <w:r>
        <w:t>eIDAS</w:t>
      </w:r>
      <w:proofErr w:type="spellEnd"/>
      <w:r>
        <w:t xml:space="preserve"> (niissä tapauksissa, joissa soveltuu tilanteeseen) sekä mahdolliset muut asiaan liittyvät EU:n asetukset</w:t>
      </w:r>
    </w:p>
    <w:p w14:paraId="703B4916" w14:textId="77777777" w:rsidR="00403A32" w:rsidRDefault="00403A32" w:rsidP="00403A32">
      <w:pPr>
        <w:pStyle w:val="Leipteksti"/>
        <w:numPr>
          <w:ilvl w:val="0"/>
          <w:numId w:val="6"/>
        </w:numPr>
        <w:spacing w:after="220"/>
      </w:pPr>
      <w:r>
        <w:t>Tunnistuslaki sekä mahdolliset muut asiaan liittyvät kansalliset lait</w:t>
      </w:r>
    </w:p>
    <w:p w14:paraId="2D6FBDB7" w14:textId="77777777" w:rsidR="00403A32" w:rsidRDefault="00403A32" w:rsidP="00403A32">
      <w:pPr>
        <w:pStyle w:val="Leipteksti"/>
        <w:numPr>
          <w:ilvl w:val="0"/>
          <w:numId w:val="6"/>
        </w:numPr>
        <w:spacing w:after="220"/>
      </w:pPr>
      <w:r>
        <w:t>Valtioneuvoston luottamusverkostoasetus</w:t>
      </w:r>
    </w:p>
    <w:p w14:paraId="32CDDE89" w14:textId="02481FA2" w:rsidR="00403A32" w:rsidRDefault="008C2451" w:rsidP="00403A32">
      <w:pPr>
        <w:pStyle w:val="Leipteksti"/>
        <w:numPr>
          <w:ilvl w:val="0"/>
          <w:numId w:val="6"/>
        </w:numPr>
        <w:spacing w:after="220"/>
      </w:pPr>
      <w:r>
        <w:lastRenderedPageBreak/>
        <w:t>Liikenne- ja v</w:t>
      </w:r>
      <w:r w:rsidR="00403A32">
        <w:t>iestintäviraston määräys 72A</w:t>
      </w:r>
    </w:p>
    <w:p w14:paraId="1EDF0B6F" w14:textId="77777777" w:rsidR="00403A32" w:rsidRDefault="00403A32" w:rsidP="00403A32">
      <w:pPr>
        <w:pStyle w:val="Leipteksti"/>
        <w:numPr>
          <w:ilvl w:val="0"/>
          <w:numId w:val="6"/>
        </w:numPr>
        <w:spacing w:after="220"/>
      </w:pPr>
      <w:r>
        <w:t xml:space="preserve">Tunnistuspalveluntarjoajan tunnistusperiaatteet  </w:t>
      </w:r>
    </w:p>
    <w:p w14:paraId="6DC656BF" w14:textId="54303F39" w:rsidR="00403A32" w:rsidRDefault="00403A32" w:rsidP="00403A32">
      <w:pPr>
        <w:pStyle w:val="Leipteksti"/>
        <w:numPr>
          <w:ilvl w:val="0"/>
          <w:numId w:val="6"/>
        </w:numPr>
        <w:spacing w:after="220"/>
      </w:pPr>
      <w:r>
        <w:t xml:space="preserve">Sopimus </w:t>
      </w:r>
      <w:r w:rsidR="00DA37F9">
        <w:t>tunnistus</w:t>
      </w:r>
      <w:r>
        <w:t>välineen tarjoajan ja välityspalvelun</w:t>
      </w:r>
      <w:r w:rsidR="00DA37F9">
        <w:t xml:space="preserve"> tarjoajan</w:t>
      </w:r>
      <w:r>
        <w:t xml:space="preserve"> välillä</w:t>
      </w:r>
    </w:p>
    <w:p w14:paraId="6CFACAC8" w14:textId="1B2F8D36" w:rsidR="00403A32" w:rsidRDefault="008C2451" w:rsidP="00403A32">
      <w:pPr>
        <w:pStyle w:val="Leipteksti"/>
        <w:numPr>
          <w:ilvl w:val="0"/>
          <w:numId w:val="6"/>
        </w:numPr>
        <w:spacing w:after="220"/>
      </w:pPr>
      <w:r>
        <w:t>Liikenne- ja v</w:t>
      </w:r>
      <w:r w:rsidR="00403A32">
        <w:t>iestintäviraston suositus luottamusverkoston käytännesäännöistä</w:t>
      </w:r>
      <w:r w:rsidR="00DA37F9">
        <w:t>.</w:t>
      </w:r>
    </w:p>
    <w:p w14:paraId="6C423BFC" w14:textId="77777777" w:rsidR="00403A32" w:rsidRDefault="00403A32" w:rsidP="00403A32">
      <w:pPr>
        <w:pStyle w:val="Otsikko1"/>
      </w:pPr>
      <w:bookmarkStart w:id="8" w:name="_Toc486337992"/>
      <w:bookmarkStart w:id="9" w:name="_Toc51941426"/>
      <w:r>
        <w:t>Määritelmät</w:t>
      </w:r>
      <w:bookmarkEnd w:id="8"/>
      <w:bookmarkEnd w:id="9"/>
    </w:p>
    <w:p w14:paraId="440430F3" w14:textId="0F3AC5E7" w:rsidR="00403A32" w:rsidRPr="00900F54" w:rsidRDefault="00403A32" w:rsidP="00403A32">
      <w:pPr>
        <w:pStyle w:val="Leipteksti"/>
      </w:pPr>
      <w:r w:rsidRPr="00900F54">
        <w:t xml:space="preserve">Käytännesäännöissä käytettävät määritelmät perustuvat tunnistuslakiin, luottamusverkostoasetukseen ja </w:t>
      </w:r>
      <w:proofErr w:type="spellStart"/>
      <w:r w:rsidRPr="00900F54">
        <w:t>eIDAS</w:t>
      </w:r>
      <w:proofErr w:type="spellEnd"/>
      <w:r w:rsidRPr="00900F54">
        <w:t>-asetukseen. Uusia määritelmiä on laadittu siltä osin, ku</w:t>
      </w:r>
      <w:r w:rsidR="009A2221">
        <w:t>i</w:t>
      </w:r>
      <w:r w:rsidRPr="00900F54">
        <w:t>n määritelmää ei löydy säännöksistä.</w:t>
      </w:r>
    </w:p>
    <w:tbl>
      <w:tblPr>
        <w:tblStyle w:val="TaulukkoRuudukko"/>
        <w:tblW w:w="0" w:type="auto"/>
        <w:tblInd w:w="1242" w:type="dxa"/>
        <w:tblLook w:val="04A0" w:firstRow="1" w:lastRow="0" w:firstColumn="1" w:lastColumn="0" w:noHBand="0" w:noVBand="1"/>
      </w:tblPr>
      <w:tblGrid>
        <w:gridCol w:w="2914"/>
        <w:gridCol w:w="5585"/>
      </w:tblGrid>
      <w:tr w:rsidR="00403A32" w:rsidRPr="0024675A" w14:paraId="65471E86" w14:textId="77777777" w:rsidTr="0000775A">
        <w:tc>
          <w:tcPr>
            <w:tcW w:w="2929" w:type="dxa"/>
          </w:tcPr>
          <w:p w14:paraId="6FD6C499" w14:textId="77777777" w:rsidR="00403A32" w:rsidRPr="008C2451" w:rsidRDefault="00403A32" w:rsidP="008C2451">
            <w:pPr>
              <w:pStyle w:val="Normalvasen"/>
              <w:spacing w:after="240"/>
              <w:rPr>
                <w:b/>
                <w:sz w:val="20"/>
                <w:lang w:val="fi-FI"/>
              </w:rPr>
            </w:pPr>
            <w:r w:rsidRPr="008C2451">
              <w:rPr>
                <w:b/>
                <w:sz w:val="20"/>
                <w:lang w:val="fi-FI"/>
              </w:rPr>
              <w:t>Käsite</w:t>
            </w:r>
          </w:p>
        </w:tc>
        <w:tc>
          <w:tcPr>
            <w:tcW w:w="5618" w:type="dxa"/>
          </w:tcPr>
          <w:p w14:paraId="1D41181F" w14:textId="77777777" w:rsidR="00403A32" w:rsidRPr="008C2451" w:rsidRDefault="00403A32" w:rsidP="008C2451">
            <w:pPr>
              <w:pStyle w:val="Normalvasen"/>
              <w:spacing w:after="240"/>
              <w:rPr>
                <w:b/>
                <w:i/>
                <w:sz w:val="20"/>
                <w:lang w:val="fi-FI"/>
              </w:rPr>
            </w:pPr>
            <w:r w:rsidRPr="008C2451">
              <w:rPr>
                <w:b/>
                <w:i/>
                <w:sz w:val="20"/>
                <w:lang w:val="fi-FI"/>
              </w:rPr>
              <w:t>Lähde ja selitys</w:t>
            </w:r>
          </w:p>
        </w:tc>
      </w:tr>
      <w:tr w:rsidR="00403A32" w:rsidRPr="006E7C38" w14:paraId="5C44DCAD" w14:textId="77777777" w:rsidTr="0000775A">
        <w:tc>
          <w:tcPr>
            <w:tcW w:w="2929" w:type="dxa"/>
          </w:tcPr>
          <w:p w14:paraId="746ADC88" w14:textId="77777777" w:rsidR="00403A32" w:rsidRPr="008C2451" w:rsidRDefault="00403A32" w:rsidP="008C2451">
            <w:pPr>
              <w:pStyle w:val="Normalvasen"/>
              <w:spacing w:after="240"/>
              <w:rPr>
                <w:sz w:val="20"/>
                <w:lang w:val="fi-FI"/>
              </w:rPr>
            </w:pPr>
            <w:r w:rsidRPr="008C2451">
              <w:rPr>
                <w:sz w:val="20"/>
                <w:lang w:val="fi-FI"/>
              </w:rPr>
              <w:t>Asiointipalvelu</w:t>
            </w:r>
          </w:p>
        </w:tc>
        <w:tc>
          <w:tcPr>
            <w:tcW w:w="5618" w:type="dxa"/>
          </w:tcPr>
          <w:p w14:paraId="429B5627" w14:textId="77777777" w:rsidR="00403A32" w:rsidRPr="008C2451" w:rsidRDefault="00403A32" w:rsidP="008C2451">
            <w:pPr>
              <w:pStyle w:val="Normalvasen"/>
              <w:spacing w:after="240"/>
              <w:rPr>
                <w:sz w:val="20"/>
              </w:rPr>
            </w:pPr>
            <w:r w:rsidRPr="008C2451">
              <w:rPr>
                <w:sz w:val="20"/>
                <w:lang w:val="fi-FI"/>
              </w:rPr>
              <w:t xml:space="preserve">Sähköiseen tunnistamiseen luottava osapuoli </w:t>
            </w:r>
          </w:p>
        </w:tc>
      </w:tr>
      <w:tr w:rsidR="00403A32" w:rsidRPr="006E7C38" w14:paraId="15C4A754" w14:textId="77777777" w:rsidTr="0000775A">
        <w:tc>
          <w:tcPr>
            <w:tcW w:w="2929" w:type="dxa"/>
          </w:tcPr>
          <w:p w14:paraId="58D2AFC3" w14:textId="77777777" w:rsidR="00403A32" w:rsidRPr="008C2451" w:rsidRDefault="00403A32" w:rsidP="008C2451">
            <w:pPr>
              <w:pStyle w:val="Normalvasen"/>
              <w:spacing w:after="240"/>
              <w:rPr>
                <w:sz w:val="20"/>
                <w:lang w:val="fi-FI"/>
              </w:rPr>
            </w:pPr>
            <w:r w:rsidRPr="008C2451">
              <w:rPr>
                <w:sz w:val="20"/>
                <w:lang w:val="fi-FI"/>
              </w:rPr>
              <w:t>Korkea varmuustaso</w:t>
            </w:r>
          </w:p>
        </w:tc>
        <w:tc>
          <w:tcPr>
            <w:tcW w:w="5618" w:type="dxa"/>
          </w:tcPr>
          <w:p w14:paraId="25ADC0A8" w14:textId="195A6E2E" w:rsidR="00403A32" w:rsidRPr="008C2451" w:rsidRDefault="00403A32" w:rsidP="0000775A">
            <w:pPr>
              <w:pStyle w:val="Normalvasen"/>
              <w:spacing w:after="240"/>
              <w:rPr>
                <w:sz w:val="20"/>
                <w:lang w:val="fi-FI"/>
              </w:rPr>
            </w:pPr>
            <w:r w:rsidRPr="008C2451">
              <w:rPr>
                <w:sz w:val="20"/>
                <w:lang w:val="fi-FI"/>
              </w:rPr>
              <w:t>Korkea varmuustaso tarkoittaa sähköisen tunnistamisen järjestelmän yhteydessä sähköisen tunnistamisen menetelmää, joka tarjoaa korkeamman luottamustason henkilön väitetyn tai esitetyn henkilöllisyyden osalta kuin korotetun varmuustason omaava sähköisen tunnistamisen menetelmä ja jota luonnehditaan suhteessa siihen liittyviin teknisiin eritelmiin, standardeihin ja menettelyihin sekä teknisiin tarkastuksiin, joiden tarkoituksena on estää henkilöllisyyden väärinkäyttö tai muuttaminen. (</w:t>
            </w:r>
            <w:proofErr w:type="spellStart"/>
            <w:r w:rsidRPr="008C2451">
              <w:rPr>
                <w:sz w:val="20"/>
                <w:lang w:val="fi-FI"/>
              </w:rPr>
              <w:t>eIDAS</w:t>
            </w:r>
            <w:proofErr w:type="spellEnd"/>
            <w:r w:rsidRPr="008C2451">
              <w:rPr>
                <w:sz w:val="20"/>
                <w:lang w:val="fi-FI"/>
              </w:rPr>
              <w:t xml:space="preserve">-asetus art. 8.2 ja komission </w:t>
            </w:r>
            <w:proofErr w:type="spellStart"/>
            <w:r w:rsidRPr="008C2451">
              <w:rPr>
                <w:sz w:val="20"/>
                <w:lang w:val="fi-FI"/>
              </w:rPr>
              <w:t>L</w:t>
            </w:r>
            <w:r w:rsidR="008C2451">
              <w:rPr>
                <w:sz w:val="20"/>
                <w:lang w:val="fi-FI"/>
              </w:rPr>
              <w:t>o</w:t>
            </w:r>
            <w:r w:rsidRPr="008C2451">
              <w:rPr>
                <w:sz w:val="20"/>
                <w:lang w:val="fi-FI"/>
              </w:rPr>
              <w:t>A</w:t>
            </w:r>
            <w:proofErr w:type="spellEnd"/>
            <w:r w:rsidRPr="008C2451">
              <w:rPr>
                <w:sz w:val="20"/>
                <w:lang w:val="fi-FI"/>
              </w:rPr>
              <w:t>-täytäntöönpanoasetus (EU) 2015/1502)</w:t>
            </w:r>
          </w:p>
        </w:tc>
      </w:tr>
      <w:tr w:rsidR="00403A32" w:rsidRPr="00230C49" w14:paraId="6FB07097" w14:textId="77777777" w:rsidTr="0000775A">
        <w:tc>
          <w:tcPr>
            <w:tcW w:w="2929" w:type="dxa"/>
          </w:tcPr>
          <w:p w14:paraId="34540121" w14:textId="77777777" w:rsidR="00403A32" w:rsidRPr="008C2451" w:rsidRDefault="00403A32" w:rsidP="008C2451">
            <w:pPr>
              <w:pStyle w:val="Normalvasen"/>
              <w:spacing w:after="240"/>
              <w:rPr>
                <w:rStyle w:val="Korostus"/>
                <w:sz w:val="20"/>
                <w:lang w:val="fi-FI"/>
              </w:rPr>
            </w:pPr>
            <w:r w:rsidRPr="008C2451">
              <w:rPr>
                <w:sz w:val="20"/>
                <w:lang w:val="fi-FI"/>
              </w:rPr>
              <w:t>Korotettu varmuustaso</w:t>
            </w:r>
          </w:p>
        </w:tc>
        <w:tc>
          <w:tcPr>
            <w:tcW w:w="5618" w:type="dxa"/>
          </w:tcPr>
          <w:p w14:paraId="15BC30FF" w14:textId="1035101B" w:rsidR="00403A32" w:rsidRPr="008C2451" w:rsidRDefault="00403A32" w:rsidP="0000775A">
            <w:pPr>
              <w:pStyle w:val="Normalvasen"/>
              <w:spacing w:after="240"/>
              <w:rPr>
                <w:rStyle w:val="Korostus"/>
                <w:iCs w:val="0"/>
                <w:sz w:val="20"/>
                <w:lang w:val="fi-FI"/>
              </w:rPr>
            </w:pPr>
            <w:r w:rsidRPr="008C2451">
              <w:rPr>
                <w:sz w:val="20"/>
                <w:lang w:val="fi-FI"/>
              </w:rPr>
              <w:t>Korotettu varmuustaso tarkoittaa sähköisen tunnistamisen järjestelmän yhteydessä sähköisen tunnistamisen menetelmää, joka tarjoaa merkittävän luottamustason henkilön väitetyn tai esitetyn henkilöllisyyden osalta ja jota luonnehditaan suhteessa siihen liittyviin teknisiin eritelmiin, standardeihin ja menettelyihin sekä teknisiin tarkastuksiin, joiden tarkoituksena on vähentää merkittävässä määrin henkilöllisyyden väärinkäytön tai muuttamisen riskiä. (</w:t>
            </w:r>
            <w:proofErr w:type="spellStart"/>
            <w:r w:rsidRPr="008C2451">
              <w:rPr>
                <w:sz w:val="20"/>
                <w:lang w:val="fi-FI"/>
              </w:rPr>
              <w:t>eIDAS</w:t>
            </w:r>
            <w:proofErr w:type="spellEnd"/>
            <w:r w:rsidRPr="008C2451">
              <w:rPr>
                <w:sz w:val="20"/>
                <w:lang w:val="fi-FI"/>
              </w:rPr>
              <w:t xml:space="preserve">-asetus art. 8.2 ja komission </w:t>
            </w:r>
            <w:proofErr w:type="spellStart"/>
            <w:r w:rsidRPr="008C2451">
              <w:rPr>
                <w:sz w:val="20"/>
                <w:lang w:val="fi-FI"/>
              </w:rPr>
              <w:t>L</w:t>
            </w:r>
            <w:r w:rsidR="008C2451">
              <w:rPr>
                <w:sz w:val="20"/>
                <w:lang w:val="fi-FI"/>
              </w:rPr>
              <w:t>o</w:t>
            </w:r>
            <w:r w:rsidRPr="008C2451">
              <w:rPr>
                <w:sz w:val="20"/>
                <w:lang w:val="fi-FI"/>
              </w:rPr>
              <w:t>A</w:t>
            </w:r>
            <w:proofErr w:type="spellEnd"/>
            <w:r w:rsidRPr="008C2451">
              <w:rPr>
                <w:sz w:val="20"/>
                <w:lang w:val="fi-FI"/>
              </w:rPr>
              <w:t>-täytäntöönpanoasetus (EU) 2015/1502)</w:t>
            </w:r>
          </w:p>
        </w:tc>
      </w:tr>
      <w:tr w:rsidR="00403A32" w:rsidRPr="00230C49" w14:paraId="4A6062BD" w14:textId="77777777" w:rsidTr="0000775A">
        <w:tc>
          <w:tcPr>
            <w:tcW w:w="2929" w:type="dxa"/>
          </w:tcPr>
          <w:p w14:paraId="5EDC3568" w14:textId="77777777" w:rsidR="00403A32" w:rsidRPr="008C2451" w:rsidRDefault="00403A32" w:rsidP="008C2451">
            <w:pPr>
              <w:pStyle w:val="Normalvasen"/>
              <w:spacing w:after="240"/>
              <w:rPr>
                <w:sz w:val="20"/>
                <w:lang w:val="fi-FI"/>
              </w:rPr>
            </w:pPr>
            <w:r w:rsidRPr="008C2451">
              <w:rPr>
                <w:rStyle w:val="Korostus"/>
                <w:i w:val="0"/>
                <w:sz w:val="20"/>
                <w:lang w:val="fi-FI"/>
              </w:rPr>
              <w:t>Luottamusverkosto</w:t>
            </w:r>
          </w:p>
        </w:tc>
        <w:tc>
          <w:tcPr>
            <w:tcW w:w="5618" w:type="dxa"/>
          </w:tcPr>
          <w:p w14:paraId="40F9CDFE" w14:textId="6DD183E2" w:rsidR="00403A32" w:rsidRPr="008C2451" w:rsidRDefault="009A2221" w:rsidP="008C2451">
            <w:pPr>
              <w:pStyle w:val="Normalvasen"/>
              <w:spacing w:after="240"/>
              <w:rPr>
                <w:color w:val="0000FF"/>
                <w:sz w:val="20"/>
                <w:u w:val="single"/>
                <w:lang w:val="fi-FI"/>
              </w:rPr>
            </w:pPr>
            <w:r>
              <w:rPr>
                <w:sz w:val="20"/>
                <w:lang w:val="fi-FI"/>
              </w:rPr>
              <w:t>Liikenne- ja viestintävirasto</w:t>
            </w:r>
            <w:r w:rsidR="00403A32" w:rsidRPr="008C2451">
              <w:rPr>
                <w:sz w:val="20"/>
                <w:lang w:val="fi-FI"/>
              </w:rPr>
              <w:t xml:space="preserve">on ilmoituksen tehneiden tunnistuspalvelun tarjoajien verkosto. </w:t>
            </w:r>
            <w:r w:rsidR="00403A32" w:rsidRPr="008C2451">
              <w:rPr>
                <w:rStyle w:val="Korostus"/>
                <w:i w:val="0"/>
                <w:sz w:val="20"/>
                <w:lang w:val="fi-FI"/>
              </w:rPr>
              <w:t>(Tunnistuslaki 2 §</w:t>
            </w:r>
            <w:r w:rsidR="00403A32" w:rsidRPr="008C2451">
              <w:rPr>
                <w:sz w:val="20"/>
                <w:lang w:val="fi-FI"/>
              </w:rPr>
              <w:t>)</w:t>
            </w:r>
          </w:p>
        </w:tc>
      </w:tr>
      <w:tr w:rsidR="00403A32" w:rsidRPr="00230C49" w14:paraId="13E74228" w14:textId="77777777" w:rsidTr="0000775A">
        <w:tc>
          <w:tcPr>
            <w:tcW w:w="2929" w:type="dxa"/>
          </w:tcPr>
          <w:p w14:paraId="6EB8C1DA" w14:textId="77777777" w:rsidR="00403A32" w:rsidRPr="008C2451" w:rsidRDefault="00403A32" w:rsidP="008C2451">
            <w:pPr>
              <w:pStyle w:val="Normalvasen"/>
              <w:spacing w:after="240"/>
              <w:rPr>
                <w:sz w:val="20"/>
                <w:lang w:val="fi-FI"/>
              </w:rPr>
            </w:pPr>
            <w:r w:rsidRPr="008C2451">
              <w:rPr>
                <w:sz w:val="20"/>
                <w:lang w:val="fi-FI"/>
              </w:rPr>
              <w:t>Luottamusverkoston tekninen kokonaisuus</w:t>
            </w:r>
          </w:p>
        </w:tc>
        <w:tc>
          <w:tcPr>
            <w:tcW w:w="5618" w:type="dxa"/>
          </w:tcPr>
          <w:p w14:paraId="40F1B631" w14:textId="640B2938" w:rsidR="00403A32" w:rsidRPr="008C2451" w:rsidRDefault="0000775A" w:rsidP="008C2451">
            <w:pPr>
              <w:pStyle w:val="Normalvasen"/>
              <w:spacing w:after="240"/>
              <w:rPr>
                <w:sz w:val="20"/>
                <w:lang w:val="fi-FI"/>
              </w:rPr>
            </w:pPr>
            <w:r>
              <w:rPr>
                <w:sz w:val="20"/>
                <w:lang w:val="fi-FI"/>
              </w:rPr>
              <w:t>Liikenne- ja viestintävirasto</w:t>
            </w:r>
            <w:r w:rsidR="00403A32" w:rsidRPr="008C2451">
              <w:rPr>
                <w:sz w:val="20"/>
                <w:lang w:val="fi-FI"/>
              </w:rPr>
              <w:t>on ilmoituksen tehneiden tunnistuspalvelun tarjoajien tunnistuspalveluiden muodostama tekninen toimintaympäristö, jolla toimeenpannaan luottamusverkostoon perustuva sähköinen tunnistaminen.</w:t>
            </w:r>
          </w:p>
        </w:tc>
      </w:tr>
      <w:tr w:rsidR="00403A32" w:rsidRPr="00230C49" w14:paraId="3BC6F9C1" w14:textId="77777777" w:rsidTr="0000775A">
        <w:tc>
          <w:tcPr>
            <w:tcW w:w="2929" w:type="dxa"/>
          </w:tcPr>
          <w:p w14:paraId="29E1AF88" w14:textId="77777777" w:rsidR="00403A32" w:rsidRPr="008C2451" w:rsidRDefault="00403A32" w:rsidP="008C2451">
            <w:pPr>
              <w:pStyle w:val="Normalvasen"/>
              <w:spacing w:after="240"/>
              <w:rPr>
                <w:sz w:val="20"/>
                <w:lang w:val="fi-FI"/>
              </w:rPr>
            </w:pPr>
            <w:r w:rsidRPr="008C2451">
              <w:rPr>
                <w:sz w:val="20"/>
                <w:lang w:val="fi-FI"/>
              </w:rPr>
              <w:lastRenderedPageBreak/>
              <w:t>Tekninen rajapinta</w:t>
            </w:r>
          </w:p>
        </w:tc>
        <w:tc>
          <w:tcPr>
            <w:tcW w:w="5618" w:type="dxa"/>
          </w:tcPr>
          <w:p w14:paraId="5217B452" w14:textId="46E96939" w:rsidR="00403A32" w:rsidRPr="008C2451" w:rsidRDefault="00403A32" w:rsidP="008C2451">
            <w:pPr>
              <w:pStyle w:val="Normalvasen"/>
              <w:spacing w:after="240"/>
              <w:rPr>
                <w:sz w:val="20"/>
                <w:lang w:val="fi-FI"/>
              </w:rPr>
            </w:pPr>
            <w:r w:rsidRPr="008C2451">
              <w:rPr>
                <w:sz w:val="20"/>
                <w:lang w:val="fi-FI"/>
              </w:rPr>
              <w:t>Rajapinta tarkoittaa tiedonsiirtoon liittyviä määrittelyjä ja toteutuksia kahden eri järjestelmän tai niiden osien välillä. (M 72 3 §)</w:t>
            </w:r>
          </w:p>
          <w:p w14:paraId="6E9FE12B" w14:textId="77777777" w:rsidR="00403A32" w:rsidRPr="008C2451" w:rsidRDefault="00403A32" w:rsidP="008C2451">
            <w:pPr>
              <w:pStyle w:val="Normalvasen"/>
              <w:spacing w:after="240"/>
              <w:rPr>
                <w:sz w:val="20"/>
                <w:lang w:val="fi-FI"/>
              </w:rPr>
            </w:pPr>
            <w:r w:rsidRPr="008C2451">
              <w:rPr>
                <w:sz w:val="20"/>
                <w:lang w:val="fi-FI"/>
              </w:rPr>
              <w:t>Teknisiä rajapintoja ovat:</w:t>
            </w:r>
          </w:p>
          <w:p w14:paraId="068E14C1" w14:textId="77777777" w:rsidR="00403A32" w:rsidRPr="008C2451" w:rsidRDefault="00403A32" w:rsidP="008C2451">
            <w:pPr>
              <w:pStyle w:val="Normalvasen"/>
              <w:spacing w:after="240"/>
              <w:rPr>
                <w:sz w:val="20"/>
                <w:lang w:val="fi-FI"/>
              </w:rPr>
            </w:pPr>
            <w:r w:rsidRPr="008C2451">
              <w:rPr>
                <w:sz w:val="20"/>
                <w:lang w:val="fi-FI"/>
              </w:rPr>
              <w:t>1)</w:t>
            </w:r>
            <w:r w:rsidRPr="008C2451">
              <w:rPr>
                <w:sz w:val="20"/>
                <w:lang w:val="fi-FI"/>
              </w:rPr>
              <w:t> </w:t>
            </w:r>
            <w:r w:rsidRPr="008C2451">
              <w:rPr>
                <w:sz w:val="20"/>
                <w:lang w:val="fi-FI"/>
              </w:rPr>
              <w:t>tunnistusvälineen tarjoajien välinen rajapinta;</w:t>
            </w:r>
          </w:p>
          <w:p w14:paraId="13BED368" w14:textId="77777777" w:rsidR="00403A32" w:rsidRPr="008C2451" w:rsidRDefault="00403A32" w:rsidP="008C2451">
            <w:pPr>
              <w:pStyle w:val="Normalvasen"/>
              <w:spacing w:after="240"/>
              <w:rPr>
                <w:sz w:val="20"/>
                <w:lang w:val="fi-FI"/>
              </w:rPr>
            </w:pPr>
            <w:r w:rsidRPr="008C2451">
              <w:rPr>
                <w:sz w:val="20"/>
                <w:lang w:val="fi-FI"/>
              </w:rPr>
              <w:t>2)</w:t>
            </w:r>
            <w:r w:rsidRPr="008C2451">
              <w:rPr>
                <w:sz w:val="20"/>
                <w:lang w:val="fi-FI"/>
              </w:rPr>
              <w:t> </w:t>
            </w:r>
            <w:r w:rsidRPr="008C2451">
              <w:rPr>
                <w:sz w:val="20"/>
                <w:lang w:val="fi-FI"/>
              </w:rPr>
              <w:t>tunnistusvälineen tarjoajan ja tunnistusvälityspalvelun tarjoajan välinen rajapinta;</w:t>
            </w:r>
          </w:p>
          <w:p w14:paraId="1AC10577" w14:textId="77777777" w:rsidR="00403A32" w:rsidRPr="008C2451" w:rsidRDefault="00403A32" w:rsidP="008C2451">
            <w:pPr>
              <w:pStyle w:val="Normalvasen"/>
              <w:spacing w:after="240"/>
              <w:rPr>
                <w:sz w:val="20"/>
                <w:lang w:val="fi-FI"/>
              </w:rPr>
            </w:pPr>
            <w:r w:rsidRPr="008C2451">
              <w:rPr>
                <w:sz w:val="20"/>
                <w:lang w:val="fi-FI"/>
              </w:rPr>
              <w:t>3)</w:t>
            </w:r>
            <w:r w:rsidRPr="008C2451">
              <w:rPr>
                <w:sz w:val="20"/>
                <w:lang w:val="fi-FI"/>
              </w:rPr>
              <w:t> </w:t>
            </w:r>
            <w:r w:rsidRPr="008C2451">
              <w:rPr>
                <w:sz w:val="20"/>
                <w:lang w:val="fi-FI"/>
              </w:rPr>
              <w:t>tunnistusvälityspalvelun tarjoajan ja tunnistuspalveluun luottavan osapuolen välinen rajapinta.</w:t>
            </w:r>
          </w:p>
          <w:p w14:paraId="79FB610C" w14:textId="11816F2D" w:rsidR="00403A32" w:rsidRPr="008C2451" w:rsidRDefault="00403A32" w:rsidP="008C2451">
            <w:pPr>
              <w:pStyle w:val="Normalvasen"/>
              <w:spacing w:after="240"/>
              <w:rPr>
                <w:sz w:val="20"/>
                <w:lang w:val="fi-FI"/>
              </w:rPr>
            </w:pPr>
            <w:r w:rsidRPr="008C2451">
              <w:rPr>
                <w:sz w:val="20"/>
                <w:lang w:val="fi-FI"/>
              </w:rPr>
              <w:t>(Luottamusverkostoasetus 1 §)</w:t>
            </w:r>
          </w:p>
        </w:tc>
      </w:tr>
      <w:tr w:rsidR="00403A32" w:rsidRPr="00DD4FC6" w14:paraId="6A52D0A0" w14:textId="77777777" w:rsidTr="0000775A">
        <w:trPr>
          <w:trHeight w:val="903"/>
        </w:trPr>
        <w:tc>
          <w:tcPr>
            <w:tcW w:w="2929" w:type="dxa"/>
          </w:tcPr>
          <w:p w14:paraId="5B682645" w14:textId="77777777" w:rsidR="00403A32" w:rsidRPr="008C2451" w:rsidRDefault="00403A32" w:rsidP="008C2451">
            <w:pPr>
              <w:pStyle w:val="Normalvasen"/>
              <w:spacing w:after="240"/>
              <w:rPr>
                <w:sz w:val="20"/>
                <w:lang w:val="fi-FI"/>
              </w:rPr>
            </w:pPr>
            <w:r w:rsidRPr="008C2451">
              <w:rPr>
                <w:sz w:val="20"/>
                <w:lang w:val="fi-FI"/>
              </w:rPr>
              <w:t>Tunnistuspalvelu</w:t>
            </w:r>
          </w:p>
        </w:tc>
        <w:tc>
          <w:tcPr>
            <w:tcW w:w="5618" w:type="dxa"/>
          </w:tcPr>
          <w:p w14:paraId="45911802" w14:textId="77777777" w:rsidR="00403A32" w:rsidRPr="008C2451" w:rsidRDefault="00403A32" w:rsidP="008C2451">
            <w:pPr>
              <w:pStyle w:val="Normalvasen"/>
              <w:spacing w:after="240"/>
              <w:rPr>
                <w:sz w:val="20"/>
                <w:lang w:val="fi-FI"/>
              </w:rPr>
            </w:pPr>
            <w:r w:rsidRPr="008C2451">
              <w:rPr>
                <w:sz w:val="20"/>
                <w:lang w:val="fi-FI"/>
              </w:rPr>
              <w:t>Kunkin sopijapuolen toteuttama palvelu, johon sopijapuolen asiakkaat liittyvät ja joka on yhteensopiva luottamusverkoston teknisen kokonaisuuden kanssa. Sopijapuoli ylläpitää omaa tunnistuspalveluaan ja voi toimia tunnistusvälineen tarjoajana ja/tai tunnistusvälityspalveluna omille asiakkailleen. Sopijapuoli tuotteistaa ja hinnoittelee itsenäisesti luottamusverkoston teknistä kokonaisuutta hyödyntävän palvelunsa asiointipalveluille sekä tekee näiden kanssa omat sopimuksensa.</w:t>
            </w:r>
          </w:p>
        </w:tc>
      </w:tr>
      <w:tr w:rsidR="00403A32" w:rsidRPr="00DD4FC6" w14:paraId="7FBD96B7" w14:textId="77777777" w:rsidTr="008C2451">
        <w:trPr>
          <w:trHeight w:val="617"/>
        </w:trPr>
        <w:tc>
          <w:tcPr>
            <w:tcW w:w="2929" w:type="dxa"/>
          </w:tcPr>
          <w:p w14:paraId="061A8A68" w14:textId="77777777" w:rsidR="00403A32" w:rsidRPr="008C2451" w:rsidRDefault="00403A32" w:rsidP="008C2451">
            <w:pPr>
              <w:pStyle w:val="Normalvasen"/>
              <w:spacing w:after="240"/>
              <w:rPr>
                <w:sz w:val="20"/>
                <w:lang w:val="fi-FI"/>
              </w:rPr>
            </w:pPr>
            <w:r w:rsidRPr="008C2451">
              <w:rPr>
                <w:rStyle w:val="Korostus"/>
                <w:i w:val="0"/>
                <w:sz w:val="20"/>
                <w:lang w:val="fi-FI"/>
              </w:rPr>
              <w:t>Tunnistuspalvelun tarjoaja</w:t>
            </w:r>
          </w:p>
        </w:tc>
        <w:tc>
          <w:tcPr>
            <w:tcW w:w="5618" w:type="dxa"/>
          </w:tcPr>
          <w:p w14:paraId="433C6A0F" w14:textId="77777777" w:rsidR="00403A32" w:rsidRPr="008C2451" w:rsidRDefault="00403A32" w:rsidP="008C2451">
            <w:pPr>
              <w:pStyle w:val="Normalvasen"/>
              <w:spacing w:after="240"/>
              <w:rPr>
                <w:sz w:val="20"/>
                <w:lang w:val="fi-FI"/>
              </w:rPr>
            </w:pPr>
            <w:r w:rsidRPr="008C2451">
              <w:rPr>
                <w:sz w:val="20"/>
                <w:lang w:val="fi-FI"/>
              </w:rPr>
              <w:t>Tunnistusvälityspalvelun tarjoajaa tai tunnistusvälineen tarjoajaa.</w:t>
            </w:r>
            <w:r w:rsidRPr="008C2451" w:rsidDel="00040179">
              <w:rPr>
                <w:sz w:val="20"/>
                <w:lang w:val="fi-FI"/>
              </w:rPr>
              <w:t xml:space="preserve"> </w:t>
            </w:r>
            <w:r w:rsidRPr="008C2451">
              <w:rPr>
                <w:rStyle w:val="Korostus"/>
                <w:i w:val="0"/>
                <w:sz w:val="20"/>
                <w:lang w:val="fi-FI"/>
              </w:rPr>
              <w:t>(Tunnistuslaki 2 §)</w:t>
            </w:r>
          </w:p>
        </w:tc>
      </w:tr>
      <w:tr w:rsidR="00403A32" w:rsidRPr="006E7C38" w14:paraId="2304D78D" w14:textId="77777777" w:rsidTr="0000775A">
        <w:tc>
          <w:tcPr>
            <w:tcW w:w="2929" w:type="dxa"/>
          </w:tcPr>
          <w:p w14:paraId="274BDF72" w14:textId="77777777" w:rsidR="00403A32" w:rsidRPr="008C2451" w:rsidRDefault="00403A32" w:rsidP="008C2451">
            <w:pPr>
              <w:pStyle w:val="Normalvasen"/>
              <w:spacing w:after="240"/>
              <w:rPr>
                <w:sz w:val="20"/>
                <w:lang w:val="fi-FI"/>
              </w:rPr>
            </w:pPr>
            <w:r w:rsidRPr="008C2451">
              <w:rPr>
                <w:sz w:val="20"/>
                <w:lang w:val="fi-FI"/>
              </w:rPr>
              <w:t>Tunnistusperiaatteet</w:t>
            </w:r>
          </w:p>
        </w:tc>
        <w:tc>
          <w:tcPr>
            <w:tcW w:w="5618" w:type="dxa"/>
          </w:tcPr>
          <w:p w14:paraId="24C7E0B9" w14:textId="77777777" w:rsidR="00403A32" w:rsidRPr="008C2451" w:rsidRDefault="00403A32" w:rsidP="008C2451">
            <w:pPr>
              <w:pStyle w:val="Normalvasen"/>
              <w:spacing w:after="240"/>
              <w:rPr>
                <w:color w:val="0000FF"/>
                <w:sz w:val="20"/>
                <w:u w:val="single"/>
                <w:lang w:val="fi-FI"/>
              </w:rPr>
            </w:pPr>
            <w:r w:rsidRPr="008C2451">
              <w:rPr>
                <w:sz w:val="20"/>
                <w:lang w:val="fi-FI"/>
              </w:rPr>
              <w:t>Tunnistuspalvelun tarjoajalla on oltava tunnistusperiaatteet, joissa määritellään tarkemmin, kuinka palveluntarjoaja täyttää tässä laissa tarkoitetut velvollisuutensa. (Tunnistuslaki 14 §)</w:t>
            </w:r>
          </w:p>
        </w:tc>
      </w:tr>
      <w:tr w:rsidR="00403A32" w:rsidRPr="006E7C38" w14:paraId="0BA4606C" w14:textId="77777777" w:rsidTr="0000775A">
        <w:tc>
          <w:tcPr>
            <w:tcW w:w="2929" w:type="dxa"/>
          </w:tcPr>
          <w:p w14:paraId="0BCDF47F" w14:textId="77777777" w:rsidR="00403A32" w:rsidRPr="008C2451" w:rsidRDefault="00403A32" w:rsidP="008C2451">
            <w:pPr>
              <w:pStyle w:val="Normalvasen"/>
              <w:spacing w:after="240"/>
              <w:rPr>
                <w:rStyle w:val="Korostus"/>
                <w:sz w:val="20"/>
                <w:lang w:val="fi-FI"/>
              </w:rPr>
            </w:pPr>
            <w:r w:rsidRPr="008C2451">
              <w:rPr>
                <w:sz w:val="20"/>
                <w:lang w:val="fi-FI"/>
              </w:rPr>
              <w:t>Tunnistustapahtuma</w:t>
            </w:r>
          </w:p>
        </w:tc>
        <w:tc>
          <w:tcPr>
            <w:tcW w:w="5618" w:type="dxa"/>
          </w:tcPr>
          <w:p w14:paraId="77296F6B" w14:textId="77777777" w:rsidR="00403A32" w:rsidRPr="008C2451" w:rsidRDefault="00403A32" w:rsidP="008C2451">
            <w:pPr>
              <w:pStyle w:val="Normalvasen"/>
              <w:spacing w:after="240"/>
              <w:rPr>
                <w:sz w:val="20"/>
                <w:lang w:val="fi-FI"/>
              </w:rPr>
            </w:pPr>
            <w:r w:rsidRPr="008C2451">
              <w:rPr>
                <w:rStyle w:val="Korostus"/>
                <w:i w:val="0"/>
                <w:sz w:val="20"/>
                <w:lang w:val="fi-FI"/>
              </w:rPr>
              <w:t xml:space="preserve">Tapahtumaketju, jossa tunnistusvälineen haltija </w:t>
            </w:r>
            <w:proofErr w:type="spellStart"/>
            <w:r w:rsidRPr="008C2451">
              <w:rPr>
                <w:rStyle w:val="Korostus"/>
                <w:i w:val="0"/>
                <w:sz w:val="20"/>
                <w:lang w:val="fi-FI"/>
              </w:rPr>
              <w:t>tunnistautuu</w:t>
            </w:r>
            <w:proofErr w:type="spellEnd"/>
            <w:r w:rsidRPr="008C2451">
              <w:rPr>
                <w:rStyle w:val="Korostus"/>
                <w:i w:val="0"/>
                <w:sz w:val="20"/>
                <w:lang w:val="fi-FI"/>
              </w:rPr>
              <w:t xml:space="preserve"> luottavan osapuolen palveluun (asiointipalvelu), ja asiointipalvelu käyttää yhden tai useamman sopijapuolen tunnistuspalvelua tunnistusvälineen haltijan henkilöllisyyden tai muun ominaisuuden selvittämiseen. </w:t>
            </w:r>
          </w:p>
        </w:tc>
      </w:tr>
      <w:tr w:rsidR="00403A32" w:rsidRPr="00B43A5D" w14:paraId="6D8B759F" w14:textId="77777777" w:rsidTr="0000775A">
        <w:tc>
          <w:tcPr>
            <w:tcW w:w="2929" w:type="dxa"/>
          </w:tcPr>
          <w:p w14:paraId="3C13CF26" w14:textId="77777777" w:rsidR="00403A32" w:rsidRPr="008C2451" w:rsidRDefault="00403A32" w:rsidP="008C2451">
            <w:pPr>
              <w:pStyle w:val="Normalvasen"/>
              <w:spacing w:after="240"/>
              <w:rPr>
                <w:sz w:val="20"/>
                <w:lang w:val="fi-FI"/>
              </w:rPr>
            </w:pPr>
            <w:r w:rsidRPr="008C2451">
              <w:rPr>
                <w:rStyle w:val="Korostus"/>
                <w:i w:val="0"/>
                <w:sz w:val="20"/>
                <w:lang w:val="fi-FI"/>
              </w:rPr>
              <w:t>Tunnistusväline</w:t>
            </w:r>
          </w:p>
        </w:tc>
        <w:tc>
          <w:tcPr>
            <w:tcW w:w="5618" w:type="dxa"/>
          </w:tcPr>
          <w:p w14:paraId="5EFEBC52" w14:textId="5A1F4E7C" w:rsidR="00403A32" w:rsidRPr="008C2451" w:rsidRDefault="009A2221" w:rsidP="008C2451">
            <w:pPr>
              <w:pStyle w:val="Normalvasen"/>
              <w:spacing w:after="240"/>
              <w:rPr>
                <w:sz w:val="20"/>
                <w:lang w:val="fi-FI"/>
              </w:rPr>
            </w:pPr>
            <w:proofErr w:type="spellStart"/>
            <w:r>
              <w:rPr>
                <w:iCs/>
                <w:sz w:val="20"/>
                <w:lang w:val="fi-FI"/>
              </w:rPr>
              <w:t>eIDAS</w:t>
            </w:r>
            <w:proofErr w:type="spellEnd"/>
            <w:r>
              <w:rPr>
                <w:iCs/>
                <w:sz w:val="20"/>
                <w:lang w:val="fi-FI"/>
              </w:rPr>
              <w:t>-</w:t>
            </w:r>
            <w:r w:rsidR="00403A32" w:rsidRPr="008C2451">
              <w:rPr>
                <w:sz w:val="20"/>
                <w:lang w:val="fi-FI"/>
              </w:rPr>
              <w:t>asetuksen 3 artiklan 2 kohdassa tarkoitettu sähköisen tunnistamisen menetelmä eli aineellinen ja/tai aineeton kokonaisuus, joka sisältää henkilön tunnistetietoja ja jota käytetään verkkopalveluun liittyvään todentamiseen.</w:t>
            </w:r>
            <w:r w:rsidR="00403A32" w:rsidRPr="008C2451">
              <w:rPr>
                <w:rStyle w:val="Korostus"/>
                <w:i w:val="0"/>
                <w:sz w:val="20"/>
                <w:lang w:val="fi-FI"/>
              </w:rPr>
              <w:t xml:space="preserve"> (Tunnistuslaki 2 §)</w:t>
            </w:r>
          </w:p>
        </w:tc>
      </w:tr>
      <w:tr w:rsidR="00403A32" w:rsidRPr="00B43A5D" w14:paraId="7EAE01B4" w14:textId="77777777" w:rsidTr="0000775A">
        <w:tc>
          <w:tcPr>
            <w:tcW w:w="2929" w:type="dxa"/>
          </w:tcPr>
          <w:p w14:paraId="1A2C3AD1" w14:textId="77777777" w:rsidR="00403A32" w:rsidRPr="008C2451" w:rsidRDefault="00403A32" w:rsidP="008C2451">
            <w:pPr>
              <w:pStyle w:val="Normalvasen"/>
              <w:spacing w:after="240"/>
              <w:rPr>
                <w:sz w:val="20"/>
                <w:lang w:val="fi-FI"/>
              </w:rPr>
            </w:pPr>
            <w:r w:rsidRPr="008C2451">
              <w:rPr>
                <w:rStyle w:val="Korostus"/>
                <w:i w:val="0"/>
                <w:sz w:val="20"/>
                <w:lang w:val="fi-FI"/>
              </w:rPr>
              <w:t>Tunnistusvälineen haltija</w:t>
            </w:r>
          </w:p>
        </w:tc>
        <w:tc>
          <w:tcPr>
            <w:tcW w:w="5618" w:type="dxa"/>
          </w:tcPr>
          <w:p w14:paraId="2DD926B0" w14:textId="64F86E32" w:rsidR="00403A32" w:rsidRPr="008C2451" w:rsidRDefault="00403A32" w:rsidP="008C2451">
            <w:pPr>
              <w:pStyle w:val="Normalvasen"/>
              <w:spacing w:after="240"/>
              <w:rPr>
                <w:sz w:val="20"/>
                <w:lang w:val="fi-FI"/>
              </w:rPr>
            </w:pPr>
            <w:r w:rsidRPr="008C2451">
              <w:rPr>
                <w:sz w:val="20"/>
                <w:lang w:val="fi-FI"/>
              </w:rPr>
              <w:t>Luonnollinen henkilö, jolle tunnistuspalvelun tarjoaja on sopimukseen perustuen antanut tunnistusvälineen</w:t>
            </w:r>
            <w:r w:rsidR="009A2221">
              <w:rPr>
                <w:sz w:val="20"/>
                <w:lang w:val="fi-FI"/>
              </w:rPr>
              <w:t>.</w:t>
            </w:r>
            <w:r w:rsidRPr="008C2451">
              <w:rPr>
                <w:sz w:val="20"/>
                <w:lang w:val="fi-FI"/>
              </w:rPr>
              <w:t xml:space="preserve"> </w:t>
            </w:r>
            <w:r w:rsidRPr="008C2451">
              <w:rPr>
                <w:rStyle w:val="Korostus"/>
                <w:i w:val="0"/>
                <w:sz w:val="20"/>
                <w:lang w:val="fi-FI"/>
              </w:rPr>
              <w:t>(Tunnistuslaki 2 §)</w:t>
            </w:r>
          </w:p>
        </w:tc>
      </w:tr>
      <w:tr w:rsidR="00403A32" w:rsidRPr="00F03971" w14:paraId="77895A01" w14:textId="77777777" w:rsidTr="0000775A">
        <w:tc>
          <w:tcPr>
            <w:tcW w:w="2929" w:type="dxa"/>
          </w:tcPr>
          <w:p w14:paraId="74845970" w14:textId="33ED6AF9" w:rsidR="00403A32" w:rsidRPr="008C2451" w:rsidRDefault="00403A32" w:rsidP="008C2451">
            <w:pPr>
              <w:pStyle w:val="Normalvasen"/>
              <w:spacing w:after="240"/>
              <w:rPr>
                <w:sz w:val="20"/>
                <w:lang w:val="fi-FI"/>
              </w:rPr>
            </w:pPr>
            <w:r w:rsidRPr="008C2451">
              <w:rPr>
                <w:sz w:val="20"/>
                <w:lang w:val="fi-FI"/>
              </w:rPr>
              <w:t>Tunnistusvälineen tarjoaja</w:t>
            </w:r>
          </w:p>
        </w:tc>
        <w:tc>
          <w:tcPr>
            <w:tcW w:w="5618" w:type="dxa"/>
          </w:tcPr>
          <w:p w14:paraId="1468120E" w14:textId="0E1A119E" w:rsidR="00403A32" w:rsidRPr="008C2451" w:rsidRDefault="00403A32" w:rsidP="008C2451">
            <w:pPr>
              <w:pStyle w:val="Normalvasen"/>
              <w:spacing w:after="240"/>
              <w:rPr>
                <w:sz w:val="20"/>
                <w:lang w:val="fi-FI"/>
              </w:rPr>
            </w:pPr>
            <w:r w:rsidRPr="008C2451">
              <w:rPr>
                <w:rStyle w:val="Korostus"/>
                <w:i w:val="0"/>
                <w:sz w:val="20"/>
                <w:lang w:val="fi-FI"/>
              </w:rPr>
              <w:t xml:space="preserve">Palveluntarjoaja, joka tarjoaa tai laskee liikkeelle vahvan sähköisen tunnistamisen tunnistusvälineitä </w:t>
            </w:r>
            <w:r w:rsidRPr="008C2451">
              <w:rPr>
                <w:rStyle w:val="Korostus"/>
                <w:i w:val="0"/>
                <w:sz w:val="20"/>
                <w:lang w:val="fi-FI"/>
              </w:rPr>
              <w:lastRenderedPageBreak/>
              <w:t>yleisölle sekä tarjoaa tunnistusvälinettään tunnistusvälityspalvelun tarjoajalle välitettäväksi luottamusverkostossa. (Tunnistuslaki 2 §)</w:t>
            </w:r>
          </w:p>
        </w:tc>
      </w:tr>
      <w:tr w:rsidR="00403A32" w:rsidRPr="004509F6" w14:paraId="27E2D5D1" w14:textId="77777777" w:rsidTr="0000775A">
        <w:tc>
          <w:tcPr>
            <w:tcW w:w="2929" w:type="dxa"/>
          </w:tcPr>
          <w:p w14:paraId="6B4EDE08" w14:textId="094AF42C" w:rsidR="00403A32" w:rsidRPr="008C2451" w:rsidRDefault="00403A32" w:rsidP="008C2451">
            <w:pPr>
              <w:pStyle w:val="Normalvasen"/>
              <w:spacing w:after="240"/>
              <w:rPr>
                <w:sz w:val="20"/>
                <w:lang w:val="fi-FI"/>
              </w:rPr>
            </w:pPr>
            <w:r w:rsidRPr="008C2451">
              <w:rPr>
                <w:sz w:val="20"/>
                <w:lang w:val="fi-FI"/>
              </w:rPr>
              <w:lastRenderedPageBreak/>
              <w:t>Tunnistusvälityspalvelun tarjoaja</w:t>
            </w:r>
          </w:p>
        </w:tc>
        <w:tc>
          <w:tcPr>
            <w:tcW w:w="5618" w:type="dxa"/>
          </w:tcPr>
          <w:p w14:paraId="4BA8DAE8" w14:textId="5684F9E9" w:rsidR="00403A32" w:rsidRPr="008C2451" w:rsidRDefault="00403A32" w:rsidP="008C2451">
            <w:pPr>
              <w:pStyle w:val="Normalvasen"/>
              <w:spacing w:after="240"/>
              <w:rPr>
                <w:sz w:val="20"/>
                <w:lang w:val="fi-FI"/>
              </w:rPr>
            </w:pPr>
            <w:r w:rsidRPr="008C2451">
              <w:rPr>
                <w:rStyle w:val="Korostus"/>
                <w:i w:val="0"/>
                <w:sz w:val="20"/>
                <w:lang w:val="fi-FI"/>
              </w:rPr>
              <w:t>Palveluntarjoaja, joka välittää vahvan sähköisen tunnistamisen tunnistustapahtumia sähköiseen tunnistukseen luottavalle osapuolelle</w:t>
            </w:r>
            <w:r w:rsidR="009A2221">
              <w:rPr>
                <w:rStyle w:val="Korostus"/>
                <w:i w:val="0"/>
                <w:sz w:val="20"/>
                <w:lang w:val="fi-FI"/>
              </w:rPr>
              <w:t>.</w:t>
            </w:r>
            <w:r w:rsidRPr="008C2451">
              <w:rPr>
                <w:rStyle w:val="Korostus"/>
                <w:i w:val="0"/>
                <w:sz w:val="20"/>
                <w:lang w:val="fi-FI"/>
              </w:rPr>
              <w:t xml:space="preserve"> (Tunnistuslaki 2 §)</w:t>
            </w:r>
          </w:p>
        </w:tc>
      </w:tr>
      <w:tr w:rsidR="00403A32" w:rsidRPr="00230C49" w14:paraId="4868539E" w14:textId="77777777" w:rsidTr="0000775A">
        <w:tc>
          <w:tcPr>
            <w:tcW w:w="2929" w:type="dxa"/>
          </w:tcPr>
          <w:p w14:paraId="44317D1B" w14:textId="2297B25B" w:rsidR="00403A32" w:rsidRPr="008C2451" w:rsidRDefault="00403A32" w:rsidP="008C2451">
            <w:pPr>
              <w:pStyle w:val="Normalvasen"/>
              <w:spacing w:after="240"/>
              <w:rPr>
                <w:rStyle w:val="Korostus"/>
                <w:i w:val="0"/>
                <w:sz w:val="20"/>
                <w:lang w:val="fi-FI"/>
              </w:rPr>
            </w:pPr>
            <w:r w:rsidRPr="008C2451">
              <w:rPr>
                <w:rStyle w:val="Korostus"/>
                <w:i w:val="0"/>
                <w:sz w:val="20"/>
                <w:lang w:val="fi-FI"/>
              </w:rPr>
              <w:t>Vahva sähköinen tunnistaminen</w:t>
            </w:r>
          </w:p>
        </w:tc>
        <w:tc>
          <w:tcPr>
            <w:tcW w:w="5618" w:type="dxa"/>
          </w:tcPr>
          <w:p w14:paraId="399947E8" w14:textId="3FAF89DE" w:rsidR="00403A32" w:rsidRPr="008C2451" w:rsidRDefault="00403A32" w:rsidP="009A2221">
            <w:pPr>
              <w:pStyle w:val="Normalvasen"/>
              <w:spacing w:after="240"/>
              <w:rPr>
                <w:rStyle w:val="Korostus"/>
                <w:i w:val="0"/>
                <w:sz w:val="20"/>
                <w:lang w:val="fi-FI"/>
              </w:rPr>
            </w:pPr>
            <w:r w:rsidRPr="008C2451">
              <w:rPr>
                <w:rStyle w:val="Korostus"/>
                <w:i w:val="0"/>
                <w:sz w:val="20"/>
                <w:lang w:val="fi-FI"/>
              </w:rPr>
              <w:t xml:space="preserve">Henkilön, oikeushenkilön tai oikeushenkilöä edustavan luonnollisen henkilön yksilöimistä ja tunnisteen aitouden ja oikeellisuuden todentamista sähköistä menetelmää käyttäen, joka täyttää </w:t>
            </w:r>
            <w:proofErr w:type="spellStart"/>
            <w:r w:rsidR="009A2221">
              <w:rPr>
                <w:rStyle w:val="Korostus"/>
                <w:i w:val="0"/>
                <w:sz w:val="20"/>
                <w:lang w:val="fi-FI"/>
              </w:rPr>
              <w:t>eIDAS</w:t>
            </w:r>
            <w:proofErr w:type="spellEnd"/>
            <w:r w:rsidR="009A2221">
              <w:rPr>
                <w:rStyle w:val="Korostus"/>
                <w:i w:val="0"/>
                <w:sz w:val="20"/>
                <w:lang w:val="fi-FI"/>
              </w:rPr>
              <w:t>-</w:t>
            </w:r>
            <w:r w:rsidRPr="008C2451">
              <w:rPr>
                <w:rStyle w:val="Korostus"/>
                <w:i w:val="0"/>
                <w:sz w:val="20"/>
                <w:lang w:val="fi-FI"/>
              </w:rPr>
              <w:t xml:space="preserve">asetuksen 8 artiklan 2 kohdan b alakohdassa tarkoitetun korotetun varmuustason tai mainitun kohdan c alakohdassa tarkoitetun korkean varmuustason vaatimukset. (Tunnistuslaki 2 § ja </w:t>
            </w:r>
            <w:proofErr w:type="spellStart"/>
            <w:r w:rsidRPr="008C2451">
              <w:rPr>
                <w:rStyle w:val="Korostus"/>
                <w:i w:val="0"/>
                <w:sz w:val="20"/>
                <w:lang w:val="fi-FI"/>
              </w:rPr>
              <w:t>eIDAS</w:t>
            </w:r>
            <w:proofErr w:type="spellEnd"/>
            <w:r w:rsidRPr="008C2451">
              <w:rPr>
                <w:rStyle w:val="Korostus"/>
                <w:i w:val="0"/>
                <w:sz w:val="20"/>
                <w:lang w:val="fi-FI"/>
              </w:rPr>
              <w:t>-asetus 8 art</w:t>
            </w:r>
            <w:r w:rsidR="009A2221">
              <w:rPr>
                <w:rStyle w:val="Korostus"/>
                <w:i w:val="0"/>
                <w:sz w:val="20"/>
                <w:lang w:val="fi-FI"/>
              </w:rPr>
              <w:t>.</w:t>
            </w:r>
            <w:r w:rsidRPr="008C2451">
              <w:rPr>
                <w:rStyle w:val="Korostus"/>
                <w:i w:val="0"/>
                <w:sz w:val="20"/>
                <w:lang w:val="fi-FI"/>
              </w:rPr>
              <w:t>)</w:t>
            </w:r>
          </w:p>
        </w:tc>
      </w:tr>
    </w:tbl>
    <w:p w14:paraId="655CA10C" w14:textId="2BA25B5B" w:rsidR="00403A32" w:rsidRDefault="00403A32" w:rsidP="00403A32">
      <w:pPr>
        <w:pStyle w:val="Leipteksti"/>
      </w:pPr>
    </w:p>
    <w:p w14:paraId="2D9B4298" w14:textId="597F4B17" w:rsidR="00403A32" w:rsidRDefault="00403A32" w:rsidP="00403A32">
      <w:pPr>
        <w:pStyle w:val="Otsikko1"/>
      </w:pPr>
      <w:bookmarkStart w:id="10" w:name="_Toc486337993"/>
      <w:bookmarkStart w:id="11" w:name="_Toc51941427"/>
      <w:r w:rsidRPr="009E170D">
        <w:t>Luottamusverkoston keskinäiset sopimukset</w:t>
      </w:r>
      <w:bookmarkEnd w:id="10"/>
      <w:bookmarkEnd w:id="11"/>
    </w:p>
    <w:p w14:paraId="1F981A0A" w14:textId="29B96DC8" w:rsidR="002A212A" w:rsidRPr="002A212A" w:rsidRDefault="00EB6C50" w:rsidP="002A212A">
      <w:pPr>
        <w:pStyle w:val="Leipteksti"/>
      </w:pPr>
      <w:r>
        <w:rPr>
          <w:noProof/>
          <w:lang w:eastAsia="fi-FI"/>
        </w:rPr>
        <mc:AlternateContent>
          <mc:Choice Requires="wps">
            <w:drawing>
              <wp:inline distT="0" distB="0" distL="0" distR="0" wp14:anchorId="048CEC5B" wp14:editId="6D8CE8FC">
                <wp:extent cx="5569527" cy="1404620"/>
                <wp:effectExtent l="0" t="0" r="1270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32221225" w14:textId="75B8AE6E" w:rsidR="00017634" w:rsidRPr="00EB6C50" w:rsidRDefault="00D83385" w:rsidP="00EB6C50">
                            <w:pPr>
                              <w:pStyle w:val="Kommentinteksti"/>
                            </w:pPr>
                            <w:r>
                              <w:t xml:space="preserve">Kommentti: </w:t>
                            </w:r>
                            <w:r w:rsidR="00017634" w:rsidRPr="00EB6C50">
                              <w:t xml:space="preserve">Tunnistuslain 42 a §:n mukaan Liikenne- ja viestintäviraston ratkaisuvaltaan eivät kuulu osapuolten välistä sopimussuhdetta tai korvausvastuuta koskevat asiat. </w:t>
                            </w:r>
                          </w:p>
                          <w:p w14:paraId="601ED906" w14:textId="77777777" w:rsidR="00017634" w:rsidRPr="00EB6C50" w:rsidRDefault="00017634" w:rsidP="00EB6C50">
                            <w:pPr>
                              <w:pStyle w:val="Kommentinteksti"/>
                            </w:pPr>
                          </w:p>
                          <w:p w14:paraId="1A78B53E" w14:textId="627A1850" w:rsidR="00017634" w:rsidRPr="00EB6C50" w:rsidRDefault="00017634" w:rsidP="00EB6C50">
                            <w:pPr>
                              <w:pStyle w:val="Kommentinteksti"/>
                            </w:pPr>
                            <w:r w:rsidRPr="00EB6C50">
                              <w:t xml:space="preserve">Käytännesääntöjen/suosituksen </w:t>
                            </w:r>
                            <w:r w:rsidR="0009610D">
                              <w:t xml:space="preserve">4 </w:t>
                            </w:r>
                            <w:r w:rsidRPr="00EB6C50">
                              <w:t xml:space="preserve">kohdan nojalla Liikenne- ja viestintävirastolla voi olla rooli sopijapuolten välisissä sopimusneuvotteluissa mm. sopijapuolten erimielisyystilanteessa. Suosituksen mukaan viime kädessä Liikenne- ja viestintävirasto voi todeta tunnistuslakia valvovana viranomaisena valvontapäätöksellään, onko sopijapuolten neuvotteluissa asettamissa ehdoissa tai vaatimuksissa joltain osin ristiriitaa sääntelystä johtuvien velvoitteiden tai toimialan käytäntöjen kanssa. Lisäksi suosituksessa todetaan, että Liikenne- ja viestintävirasto voi velvoittaa sopijapuolet päätöksellään luopumaan sääntelyn vastaisista vaatimuksista tai muista kohtuuttomista vaatimuksista, joilla ei ole perusteltua liityntää tunnistuspalvelun toteuttamiseen (tunnistuslaki 12 a § ja luottamusverkostoasetus 3 §). Suosituksessa myös todetaan, että Liikenne- ja viestintäviraston päätöstä voidaan tehostaa tunnistuslain 45 §:n mukaisin pakkokeinoin. </w:t>
                            </w:r>
                          </w:p>
                          <w:p w14:paraId="23CDBAE1" w14:textId="77777777" w:rsidR="00017634" w:rsidRPr="00EB6C50" w:rsidRDefault="00017634" w:rsidP="00EB6C50">
                            <w:pPr>
                              <w:pStyle w:val="Kommentinteksti"/>
                            </w:pPr>
                          </w:p>
                          <w:p w14:paraId="2DFBA36E" w14:textId="3CAACD7C" w:rsidR="00017634" w:rsidRPr="00EB6C50" w:rsidRDefault="00017634">
                            <w:pPr>
                              <w:rPr>
                                <w:b/>
                              </w:rPr>
                            </w:pPr>
                            <w:r w:rsidRPr="00EB6C50">
                              <w:rPr>
                                <w:b/>
                              </w:rPr>
                              <w:t>Liikenne- ja viestintävirastolla voi käytännesääntöihin kirjatun nojalla olla osapuolten väliseen sopimussuhteeseen liittyvää päätösvaltaa.</w:t>
                            </w:r>
                          </w:p>
                        </w:txbxContent>
                      </wps:txbx>
                      <wps:bodyPr rot="0" vert="horz" wrap="square" lIns="91440" tIns="45720" rIns="91440" bIns="45720" anchor="t" anchorCtr="0">
                        <a:spAutoFit/>
                      </wps:bodyPr>
                    </wps:wsp>
                  </a:graphicData>
                </a:graphic>
              </wp:inline>
            </w:drawing>
          </mc:Choice>
          <mc:Fallback>
            <w:pict>
              <v:shapetype w14:anchorId="048CEC5B" id="_x0000_t202" coordsize="21600,21600" o:spt="202" path="m,l,21600r21600,l21600,xe">
                <v:stroke joinstyle="miter"/>
                <v:path gradientshapeok="t" o:connecttype="rect"/>
              </v:shapetype>
              <v:shape id="Text Box 2" o:spid="_x0000_s1026"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" fillcolor="#b4fcfe [671]">
                <v:textbox style="mso-fit-shape-to-text:t">
                  <w:txbxContent>
                    <w:p w14:paraId="32221225" w14:textId="75B8AE6E" w:rsidR="00017634" w:rsidRPr="00EB6C50" w:rsidRDefault="00D83385" w:rsidP="00EB6C50">
                      <w:pPr>
                        <w:pStyle w:val="CommentText"/>
                      </w:pPr>
                      <w:r>
                        <w:t xml:space="preserve">Kommentti: </w:t>
                      </w:r>
                      <w:r w:rsidR="00017634" w:rsidRPr="00EB6C50">
                        <w:t xml:space="preserve">Tunnistuslain 42 a §:n mukaan Liikenne- ja viestintäviraston ratkaisuvaltaan eivät kuulu osapuolten välistä sopimussuhdetta tai korvausvastuuta koskevat asiat. </w:t>
                      </w:r>
                    </w:p>
                    <w:p w14:paraId="601ED906" w14:textId="77777777" w:rsidR="00017634" w:rsidRPr="00EB6C50" w:rsidRDefault="00017634" w:rsidP="00EB6C50">
                      <w:pPr>
                        <w:pStyle w:val="CommentText"/>
                      </w:pPr>
                    </w:p>
                    <w:p w14:paraId="1A78B53E" w14:textId="627A1850" w:rsidR="00017634" w:rsidRPr="00EB6C50" w:rsidRDefault="00017634" w:rsidP="00EB6C50">
                      <w:pPr>
                        <w:pStyle w:val="CommentText"/>
                      </w:pPr>
                      <w:r w:rsidRPr="00EB6C50">
                        <w:t xml:space="preserve">Käytännesääntöjen/suosituksen </w:t>
                      </w:r>
                      <w:r w:rsidR="0009610D">
                        <w:t xml:space="preserve">4 </w:t>
                      </w:r>
                      <w:r w:rsidRPr="00EB6C50">
                        <w:t xml:space="preserve">kohdan nojalla Liikenne- ja viestintävirastolla voi olla rooli sopijapuolten välisissä sopimusneuvotteluissa mm. sopijapuolten erimielisyystilanteessa. Suosituksen mukaan viime kädessä Liikenne- ja viestintävirasto voi todeta tunnistuslakia valvovana viranomaisena valvontapäätöksellään, onko sopijapuolten neuvotteluissa asettamissa ehdoissa tai vaatimuksissa joltain osin ristiriitaa sääntelystä johtuvien velvoitteiden tai toimialan käytäntöjen kanssa. Lisäksi suosituksessa todetaan, että Liikenne- ja viestintävirasto voi velvoittaa sopijapuolet päätöksellään luopumaan sääntelyn vastaisista vaatimuksista tai muista kohtuuttomista vaatimuksista, joilla ei ole perusteltua liityntää tunnistuspalvelun toteuttamiseen (tunnistuslaki 12 a § ja luottamusverkostoasetus 3 §). Suosituksessa myös todetaan, että Liikenne- ja viestintäviraston päätöstä voidaan tehostaa tunnistuslain 45 §:n mukaisin pakkokeinoin. </w:t>
                      </w:r>
                    </w:p>
                    <w:p w14:paraId="23CDBAE1" w14:textId="77777777" w:rsidR="00017634" w:rsidRPr="00EB6C50" w:rsidRDefault="00017634" w:rsidP="00EB6C50">
                      <w:pPr>
                        <w:pStyle w:val="CommentText"/>
                      </w:pPr>
                    </w:p>
                    <w:p w14:paraId="2DFBA36E" w14:textId="3CAACD7C" w:rsidR="00017634" w:rsidRPr="00EB6C50" w:rsidRDefault="00017634">
                      <w:pPr>
                        <w:rPr>
                          <w:b/>
                        </w:rPr>
                      </w:pPr>
                      <w:r w:rsidRPr="00EB6C50">
                        <w:rPr>
                          <w:b/>
                        </w:rPr>
                        <w:t>Liikenne- ja viestintävirastolla voi käytännesääntöihin kirjatun nojalla olla osapuolten väliseen sopimussuhteeseen liittyvää päätösvaltaa.</w:t>
                      </w:r>
                    </w:p>
                  </w:txbxContent>
                </v:textbox>
                <w10:anchorlock/>
              </v:shape>
            </w:pict>
          </mc:Fallback>
        </mc:AlternateContent>
      </w:r>
    </w:p>
    <w:p w14:paraId="38569703" w14:textId="2610F389" w:rsidR="00403A32" w:rsidRDefault="00403A32" w:rsidP="00403A32">
      <w:pPr>
        <w:pStyle w:val="Otsikko2"/>
      </w:pPr>
      <w:bookmarkStart w:id="12" w:name="_Toc486337994"/>
      <w:bookmarkStart w:id="13" w:name="_Toc51941428"/>
      <w:r>
        <w:t>Sopijapuolet</w:t>
      </w:r>
      <w:bookmarkEnd w:id="12"/>
      <w:bookmarkEnd w:id="13"/>
    </w:p>
    <w:p w14:paraId="6CEC271A" w14:textId="07100E16" w:rsidR="00403A32" w:rsidRDefault="00403A32" w:rsidP="00403A32">
      <w:pPr>
        <w:pStyle w:val="Leipteksti"/>
      </w:pPr>
      <w:r>
        <w:t xml:space="preserve">Sopijapuolia voivat olla tunnistuslain 10 § ja 12 §:n mukaisesti </w:t>
      </w:r>
      <w:r w:rsidR="009A2221">
        <w:t>Liikenne- ja viestintäviraston</w:t>
      </w:r>
      <w:r>
        <w:t xml:space="preserve"> vahvan sähköisen tunnistuspalvelun rekisteriin merkityt tunnistuspalvelun tarjoajat.</w:t>
      </w:r>
    </w:p>
    <w:p w14:paraId="3AA5088E" w14:textId="4EB903D9" w:rsidR="00403A32" w:rsidRDefault="00403A32" w:rsidP="00403A32">
      <w:pPr>
        <w:pStyle w:val="Leipteksti"/>
      </w:pPr>
      <w:r>
        <w:t xml:space="preserve">Käytännesäännöissä ei määritellä sopijapuolten tunnistusvälineiden haltijoiden ja asiointipalveluiden kanssa tekemien sopimusten ehtoja luottamusverkoston teknisen kokonaisuuden hyödyntämisestä. </w:t>
      </w:r>
    </w:p>
    <w:p w14:paraId="68461004" w14:textId="7785A5C8" w:rsidR="00403A32" w:rsidRDefault="00403A32" w:rsidP="00403A32">
      <w:pPr>
        <w:pStyle w:val="Leipteksti"/>
      </w:pPr>
      <w:r>
        <w:t>Tunnistuspalvelun tarjoajat eli tunnistusvälineen tarjoajat ja tunnistusvälityspalvelun tarjoajat tekevät keskenään sopimuksia tunnistuksen välittämisestä luottamusverkostossa sekä ensitunnistamisen ketjuttamisesta.</w:t>
      </w:r>
    </w:p>
    <w:p w14:paraId="62E160E3" w14:textId="77777777" w:rsidR="00403A32" w:rsidRDefault="00403A32" w:rsidP="00403A32">
      <w:pPr>
        <w:pStyle w:val="Otsikko2"/>
      </w:pPr>
      <w:bookmarkStart w:id="14" w:name="_Toc486337995"/>
      <w:bookmarkStart w:id="15" w:name="_Toc51941429"/>
      <w:r>
        <w:lastRenderedPageBreak/>
        <w:t>Velvoite solmia sopimuksia</w:t>
      </w:r>
      <w:bookmarkEnd w:id="14"/>
      <w:bookmarkEnd w:id="15"/>
    </w:p>
    <w:p w14:paraId="0FD7ABD6" w14:textId="0E858CCD" w:rsidR="00BA3AE7" w:rsidRDefault="00403A32" w:rsidP="00403A32">
      <w:pPr>
        <w:pStyle w:val="Leipteksti"/>
        <w:rPr>
          <w:i/>
        </w:rPr>
      </w:pPr>
      <w:r>
        <w:t xml:space="preserve">Luottamusverkostoasetuksen 3.1 §:n </w:t>
      </w:r>
      <w:r w:rsidR="00BA3AE7">
        <w:t xml:space="preserve">(muutettuna valtioneuvoston asetuksella 1212/2018) </w:t>
      </w:r>
      <w:r>
        <w:t>mukaa</w:t>
      </w:r>
      <w:r w:rsidRPr="00BA3AE7">
        <w:t xml:space="preserve">n </w:t>
      </w:r>
      <w:r w:rsidR="00BA3AE7">
        <w:t>l</w:t>
      </w:r>
      <w:r w:rsidR="00BA3AE7" w:rsidRPr="00BA3AE7">
        <w:t>uottamusverkostoon kuuluva tunnistuspalvelun tarjoaja neuvottelee ja sopii tunnistuslain 12 a §:n 2 ja 4 momentissa säädetyn yhteistyövelvoitteen mukaisesti luottamusverkoston toteuttamiseksi välttämättömistä seikoista toisten tunnistuspalvelun tarjoajien kanssa.</w:t>
      </w:r>
    </w:p>
    <w:p w14:paraId="19FB2493" w14:textId="62EA92A6" w:rsidR="00403A32" w:rsidRDefault="00403A32" w:rsidP="00403A32">
      <w:pPr>
        <w:pStyle w:val="Leipteksti"/>
        <w:rPr>
          <w:i/>
        </w:rPr>
      </w:pPr>
      <w:r>
        <w:t>Luottamusverkostoasetuksen 2.1 §:n</w:t>
      </w:r>
      <w:r w:rsidR="0009610D">
        <w:t xml:space="preserve"> 5</w:t>
      </w:r>
      <w:r>
        <w:t xml:space="preserve"> kohdan </w:t>
      </w:r>
      <w:r w:rsidRPr="00BA3AE7">
        <w:t>mukaan luottamusverkostoon kuuluva tunnistuspalvelun tarjoaja vastaa luottamusverkostossa omalta osaltaan luottamusverkostoon liittyvien 3 §:n 1 momentissa tarkoitettujen sopimusten laatimisesta ja ylläpidosta.</w:t>
      </w:r>
    </w:p>
    <w:p w14:paraId="36971363" w14:textId="1767BD1A" w:rsidR="002A5A4B" w:rsidRDefault="00BA3AE7" w:rsidP="00403A32">
      <w:pPr>
        <w:pStyle w:val="Leipteksti"/>
      </w:pPr>
      <w:r>
        <w:t>T</w:t>
      </w:r>
      <w:r w:rsidR="00403A32">
        <w:t xml:space="preserve">unnistusvälineen tarjoajan on </w:t>
      </w:r>
      <w:r w:rsidR="003934D5">
        <w:t xml:space="preserve">tunnistuslain 12 a §:n 2 momentin mukaan </w:t>
      </w:r>
      <w:r w:rsidR="00403A32">
        <w:t xml:space="preserve">tarjottava </w:t>
      </w:r>
      <w:r>
        <w:t xml:space="preserve">tunnistuspalvelunsa käyttöoikeutta </w:t>
      </w:r>
      <w:r w:rsidR="00403A32">
        <w:t>kaikille tunnistusvälityspalveluille välitettäväksi näiden niin halutessa (sopimuspakko)</w:t>
      </w:r>
      <w:r w:rsidRPr="00BA3AE7">
        <w:t xml:space="preserve"> siten, että ne voivat välittää tunnistustapahtumia sähköiseen tunnistukseen luottavalle osapuolelle</w:t>
      </w:r>
      <w:r>
        <w:t>.</w:t>
      </w:r>
      <w:r w:rsidRPr="00BA3AE7">
        <w:t xml:space="preserve"> Tunnistusvälineen tarjoajan on laadittava tunnistuspalvelunsa käyttöoikeuden toimitusehdot ja käytettävä niitä tehdessään sopimuksia tunnistusvälityspalveluiden tarjoajien kanssa. Käyttöoikeuden ehtojen on oltava </w:t>
      </w:r>
      <w:r w:rsidR="003934D5">
        <w:t>tunnistus</w:t>
      </w:r>
      <w:r w:rsidRPr="00BA3AE7">
        <w:t xml:space="preserve">lain mukaisia sekä kohtuullisia ja syrjimättömiä. </w:t>
      </w:r>
      <w:r w:rsidR="0064061C" w:rsidRPr="0064061C">
        <w:t>Kohtuullisuutta ja syrjimättömyyttä arvioitaessa olennaista on, että ehtojen on kohdeltava samanlaisessa tilanteessa olevia tunnistusvälityspalvelun tarjoajia tasapuolisesti</w:t>
      </w:r>
      <w:r w:rsidR="0064061C">
        <w:t xml:space="preserve"> (HE 264/2018). </w:t>
      </w:r>
      <w:r w:rsidR="0064061C" w:rsidRPr="003934D5">
        <w:t>Kuten hallituksen esityksestä</w:t>
      </w:r>
      <w:r w:rsidR="0064061C">
        <w:t xml:space="preserve"> HE 264/2018</w:t>
      </w:r>
      <w:r w:rsidR="0064061C" w:rsidRPr="003934D5">
        <w:t xml:space="preserve"> ilmenee, samoja ehtoja pitäisi tarjota kaikille luottamusverkostossa, mikä tarkoittaa käytännössä vain yksien ehtojen tekemistä.</w:t>
      </w:r>
    </w:p>
    <w:p w14:paraId="35840931" w14:textId="3130502F" w:rsidR="00134CE2" w:rsidRDefault="00BA3AE7" w:rsidP="0064061C">
      <w:pPr>
        <w:pStyle w:val="Leipteksti"/>
      </w:pPr>
      <w:r w:rsidRPr="00BA3AE7">
        <w:t>Tunnistusvälineen tarjoajan on hyväksyttävä tunnistusvälityspalvelun tarjoajan pyyntö toimitusehtojen mukaisen sopimuksen tekemisestä sekä annettava käyttöoikeus tunnistuspalveluun viipymättä ja viimeistään kuukauden kuluessa pyynnön tekemisestä. Tunnistusvälineen tarjoaja voi kieltäytyä sopimuksen tekemisestä ainoastaan, jos tunnistusvälityspalvelun tarjoaja toimii vastoin tätä lakia tai sen nojalla annettuja säännöksiä tai määräyksiä taikka kieltäytymiselle on muu painava peruste</w:t>
      </w:r>
      <w:r w:rsidR="00403A32">
        <w:t xml:space="preserve">. </w:t>
      </w:r>
      <w:r w:rsidR="002A5A4B" w:rsidRPr="002A5A4B">
        <w:t xml:space="preserve">Muu painava peruste olisi esimerkiksi se, että välityspalvelun tarjoaja </w:t>
      </w:r>
      <w:proofErr w:type="gramStart"/>
      <w:r w:rsidR="002A5A4B" w:rsidRPr="002A5A4B">
        <w:t>toimii olennaisesti vastoin</w:t>
      </w:r>
      <w:proofErr w:type="gramEnd"/>
      <w:r w:rsidR="002A5A4B" w:rsidRPr="002A5A4B">
        <w:t xml:space="preserve"> sen tunnistusperiaatteissa (välitysperiaatteet) määrättyä tarkoitusta</w:t>
      </w:r>
      <w:r w:rsidR="002A5A4B">
        <w:t xml:space="preserve"> (</w:t>
      </w:r>
      <w:r w:rsidR="002A5A4B" w:rsidRPr="003934D5">
        <w:t>HE 264/2018</w:t>
      </w:r>
      <w:r w:rsidR="002A5A4B">
        <w:t>)</w:t>
      </w:r>
      <w:r w:rsidR="002A5A4B" w:rsidRPr="002A5A4B">
        <w:t>.</w:t>
      </w:r>
      <w:r w:rsidR="00403A32">
        <w:t xml:space="preserve"> Myös muut erittäin painavat ja perustellut syyt, kuten esimerkiksi vakavat rikkeet osapuolten välisissä sopimuksissa tai pakotteet, voivat olla pätevä peruste</w:t>
      </w:r>
      <w:r w:rsidR="0064061C">
        <w:t xml:space="preserve"> sopimuksesta kieltäytymiseen. </w:t>
      </w:r>
    </w:p>
    <w:p w14:paraId="4D5BBAAE" w14:textId="77777777" w:rsidR="00403A32" w:rsidRDefault="00403A32" w:rsidP="00403A32">
      <w:pPr>
        <w:pStyle w:val="Leipteksti"/>
      </w:pPr>
      <w:r>
        <w:t>Ennen sopimuksesta kokonaan kieltäytymistä tulee myös harkita, voidaanko sopimus solmia lisäämällä sopimusehtoihin osapuolten oikeuksia turvaavia mekanismeja.</w:t>
      </w:r>
    </w:p>
    <w:p w14:paraId="5315917B" w14:textId="77777777" w:rsidR="00403A32" w:rsidRPr="00340459" w:rsidRDefault="00403A32" w:rsidP="002A5A4B">
      <w:pPr>
        <w:pStyle w:val="Sisennys"/>
      </w:pPr>
      <w:r w:rsidRPr="00340459">
        <w:t>Esimerkiksi jos tunnistusvälineen tarjoajalla on perusteltua syytä epäillä tunnistusvälityspalvelun maksukykyä aiemman maksulaiminlyönnin vuoksi, voidaan sopimusvelvoitteiden täyttämisen turvaamiseksi edellyttää kohtuullista vakuutta.</w:t>
      </w:r>
    </w:p>
    <w:p w14:paraId="7D7B0794" w14:textId="475B6132" w:rsidR="00403A32" w:rsidRPr="00340459" w:rsidRDefault="00403A32" w:rsidP="00403A32">
      <w:pPr>
        <w:pStyle w:val="Leipteksti"/>
        <w:rPr>
          <w:color w:val="FF0000"/>
        </w:rPr>
      </w:pPr>
      <w:r w:rsidRPr="00340459">
        <w:t>Kieltäytyessään sopimu</w:t>
      </w:r>
      <w:r w:rsidR="002A5A4B" w:rsidRPr="00340459">
        <w:t>k</w:t>
      </w:r>
      <w:r w:rsidRPr="00340459">
        <w:t xml:space="preserve">sen solmimisesta tunnistusvälineen tarjoajan on toimittava tasapuolisesti ja syrjimättömästi. Sopimuksesta kieltäytymisen perusteiden tulee olla painavia, jotta kieltäytymisperusteiden voidaan katsoa pätevästi syrjäyttävän sääntelyn lähtökohtana olevan sopimuspakon. </w:t>
      </w:r>
    </w:p>
    <w:p w14:paraId="73DEA82E" w14:textId="15D55F09" w:rsidR="00403A32" w:rsidRPr="00340459" w:rsidRDefault="00403A32" w:rsidP="00403A32">
      <w:pPr>
        <w:pStyle w:val="Leipteksti"/>
      </w:pPr>
      <w:r w:rsidRPr="00340459">
        <w:t xml:space="preserve">Sopijapuolet voivat olla yhteydessä </w:t>
      </w:r>
      <w:r w:rsidR="009A2221" w:rsidRPr="00340459">
        <w:t>Liikenne- ja viestintävirastoon</w:t>
      </w:r>
      <w:r w:rsidRPr="00340459">
        <w:t xml:space="preserve">, mikäli </w:t>
      </w:r>
      <w:r w:rsidR="009A2221" w:rsidRPr="00340459">
        <w:t xml:space="preserve">sopijapuoli </w:t>
      </w:r>
      <w:r w:rsidRPr="00340459">
        <w:t>aiko</w:t>
      </w:r>
      <w:r w:rsidR="009A2221" w:rsidRPr="00340459">
        <w:t>o</w:t>
      </w:r>
      <w:r w:rsidRPr="00340459">
        <w:t xml:space="preserve"> kieltäytyä sopimu</w:t>
      </w:r>
      <w:r w:rsidR="009A2221" w:rsidRPr="00340459">
        <w:t>ks</w:t>
      </w:r>
      <w:r w:rsidRPr="00340459">
        <w:t xml:space="preserve">en solmimisesta tai jos </w:t>
      </w:r>
      <w:r w:rsidR="009A2221" w:rsidRPr="00340459">
        <w:t xml:space="preserve">sopijapuolet </w:t>
      </w:r>
      <w:r w:rsidRPr="00340459">
        <w:t xml:space="preserve">eivät pääse yksimielisyyteen sopimuksen sisällöstä. </w:t>
      </w:r>
    </w:p>
    <w:p w14:paraId="3FE6F0CF" w14:textId="779C47C1" w:rsidR="00403A32" w:rsidRPr="00340459" w:rsidRDefault="0000775A" w:rsidP="00403A32">
      <w:pPr>
        <w:pStyle w:val="Leipteksti"/>
      </w:pPr>
      <w:r w:rsidRPr="00340459">
        <w:t>Liikenne- ja viestintävirasto</w:t>
      </w:r>
      <w:r w:rsidR="00403A32" w:rsidRPr="00340459">
        <w:t xml:space="preserve"> voi kutsua sopijapuolet neuvotteluun. Erimielisyydet pyritään ratkaisemaan ensisijaisesti neuvottelemalla. </w:t>
      </w:r>
      <w:r w:rsidRPr="00340459">
        <w:t>Liikenne- ja viestintävirasto</w:t>
      </w:r>
      <w:r w:rsidR="00403A32" w:rsidRPr="00340459">
        <w:t xml:space="preserve"> ei osallistu hintaneuvotteluihin. </w:t>
      </w:r>
    </w:p>
    <w:p w14:paraId="63FDA8A4" w14:textId="759BA049" w:rsidR="00E618B6" w:rsidRDefault="00403A32" w:rsidP="00340459">
      <w:pPr>
        <w:pStyle w:val="Leipteksti"/>
      </w:pPr>
      <w:r w:rsidRPr="00340459">
        <w:lastRenderedPageBreak/>
        <w:t xml:space="preserve">Viime kädessä </w:t>
      </w:r>
      <w:r w:rsidR="0000775A" w:rsidRPr="00340459">
        <w:t>Liikenne- ja viestintävirasto</w:t>
      </w:r>
      <w:r w:rsidRPr="00340459">
        <w:t xml:space="preserve"> voi todeta tunnistuslakia valvovana viranomaisena valvontapäätöksellään, onko sopijapuolten </w:t>
      </w:r>
      <w:r w:rsidR="009A2221" w:rsidRPr="00340459">
        <w:t xml:space="preserve">menettelyssä, </w:t>
      </w:r>
      <w:r w:rsidRPr="00340459">
        <w:t xml:space="preserve">neuvotteluissa asettamissa ehdoissa tai vaatimuksissa joltain osin ristiriitaa sääntelystä johtuvien velvoitteiden tai toimialan käytäntöjen kanssa. Tässä suosituksessa annettuja linjauksia käytetään, jos asiasta annetaan valvontapäätös. </w:t>
      </w:r>
      <w:r w:rsidR="0000775A" w:rsidRPr="00340459">
        <w:t>Liikenne- ja viestintävirasto</w:t>
      </w:r>
      <w:r w:rsidRPr="00340459">
        <w:t xml:space="preserve"> voi velvoittaa sopijapuole</w:t>
      </w:r>
      <w:r w:rsidR="009A2221" w:rsidRPr="00340459">
        <w:t>n</w:t>
      </w:r>
      <w:r w:rsidRPr="00340459">
        <w:t xml:space="preserve"> päätöksellään luopumaan sääntelyn vastaisista </w:t>
      </w:r>
      <w:r w:rsidR="009A2221" w:rsidRPr="00340459">
        <w:t xml:space="preserve">menettelyistä, </w:t>
      </w:r>
      <w:r w:rsidRPr="00340459">
        <w:t xml:space="preserve">vaatimuksista tai muista kohtuuttomista vaatimuksista, joilla ei ole perusteltua liityntää tunnistuspalvelun toteuttamiseen (tunnistuslaki 12 a §, 12 b § ja luottamusverkostoasetus 3 §). </w:t>
      </w:r>
      <w:r w:rsidR="0000775A" w:rsidRPr="00340459">
        <w:t>Liikenne- ja viestintävirasto</w:t>
      </w:r>
      <w:r w:rsidRPr="00340459">
        <w:t xml:space="preserve">n päätöstä voidaan tehostaa tunnistuslain 45 §:n mukaisin pakkokeinoin. </w:t>
      </w:r>
      <w:r w:rsidR="0000775A" w:rsidRPr="00340459">
        <w:t>Liikenne- ja viestintävirasto</w:t>
      </w:r>
      <w:r w:rsidRPr="00340459">
        <w:t>n valvontapäätökseen voi hakea muutosta hallinto-oikeudessa. Kilpailu- ja kuluttajavirasto voi arvioida sopimuksesta kieltäytymistä myös kilpailulainsäädännön nä</w:t>
      </w:r>
      <w:r w:rsidRPr="00604C4F">
        <w:t>kökulmasta.</w:t>
      </w:r>
    </w:p>
    <w:p w14:paraId="39F3B4C9" w14:textId="77777777" w:rsidR="00403A32" w:rsidRDefault="00403A32" w:rsidP="00403A32">
      <w:pPr>
        <w:pStyle w:val="Leipteksti"/>
      </w:pPr>
      <w:r>
        <w:t xml:space="preserve">Tunnistusvälityspalvelulla ei ole laissa säädettyä pakkoa välittää kaikkia tunnistusvälineitä, mutta lain tavoite on, että asiointipalveluita tarjoavat toimijat voisivat hankkia tunnistuspalvelut halutessaan vain yhdeltä tunnistusvälityspalvelulta. </w:t>
      </w:r>
    </w:p>
    <w:p w14:paraId="556B609B" w14:textId="77777777" w:rsidR="00403A32" w:rsidRDefault="00403A32" w:rsidP="00403A32">
      <w:pPr>
        <w:pStyle w:val="Leipteksti"/>
      </w:pPr>
      <w:r>
        <w:t xml:space="preserve">Sama palveluntarjoaja voi toimia sekä tunnistusvälineen </w:t>
      </w:r>
      <w:proofErr w:type="gramStart"/>
      <w:r>
        <w:t>tarjoajana</w:t>
      </w:r>
      <w:proofErr w:type="gramEnd"/>
      <w:r>
        <w:t xml:space="preserve"> että tunnistusvälityspalvelun tarjoajana. </w:t>
      </w:r>
    </w:p>
    <w:p w14:paraId="1365EF21" w14:textId="77777777" w:rsidR="00403A32" w:rsidRPr="00416F3C" w:rsidRDefault="00403A32" w:rsidP="002A5A4B">
      <w:pPr>
        <w:pStyle w:val="Sisennys"/>
      </w:pPr>
      <w:r w:rsidRPr="00416F3C">
        <w:t>Jos tunnistusvälineen tarjoaja toimii myös tunnistusvälityspalvelun tarjoajana oman välineensä osalta eli esimerkiksi tarjoaa edelleen välinettä asiointipalvelulle vanhan sopimuksen perusteella, toiminta on välitystoimintaa. Välinettä täytyy tällöinkin tarjota välitettäväksi myös kaikille muille tunnistusvälityspalveluille, mutta toimijan ei ole pakko välittää oman tunnistusvälineensä lisäksi muita tunnistusvälineitä.</w:t>
      </w:r>
    </w:p>
    <w:p w14:paraId="6E56D858" w14:textId="7E48B1A5" w:rsidR="008F1AA4" w:rsidRDefault="00403A32" w:rsidP="008F1AA4">
      <w:pPr>
        <w:pStyle w:val="Leipteksti"/>
      </w:pPr>
      <w:r>
        <w:t xml:space="preserve">Uusi tunnistuspalveluntarjoaja voi pyytää toista tunnistuspalvelun tarjoajaa tekemään sopimuksia tunnistuslaissa, luottamusverkostoasetuksessa ja näissä käytännesäännöissä kuvatuilla ehdoilla, kun se on merkitty </w:t>
      </w:r>
      <w:r w:rsidR="0000775A">
        <w:t>Liikenne- ja viestintävirasto</w:t>
      </w:r>
      <w:r>
        <w:t>n ylläpitämään tunnistuslain mukaiseen rekisteriin ja kun sen tunnistuspalvelu on teknisesti valmis liitettäväksi luottamusverkoston tekniseen kokonaisuuteen. Sopimusneuvottelut voidaan aloittaa sopijapuolten halutessa myös ennen rekisteriin merkitsemistä.</w:t>
      </w:r>
    </w:p>
    <w:p w14:paraId="600D9609" w14:textId="1D61F444" w:rsidR="00403A32" w:rsidRDefault="00403A32" w:rsidP="00403A32">
      <w:pPr>
        <w:pStyle w:val="Otsikko2"/>
      </w:pPr>
      <w:bookmarkStart w:id="16" w:name="_Toc486337996"/>
      <w:bookmarkStart w:id="17" w:name="_Toc51941430"/>
      <w:r w:rsidRPr="00EB248A">
        <w:t>Tunnistuspalveluntarjoajan omalle vastuulle ja luottamusverkoston yhteistyövastuulle kuuluvat asiat</w:t>
      </w:r>
      <w:bookmarkEnd w:id="16"/>
      <w:bookmarkEnd w:id="17"/>
    </w:p>
    <w:p w14:paraId="0441B2C3" w14:textId="02167569" w:rsidR="00403A32" w:rsidRDefault="00403A32" w:rsidP="00403A32">
      <w:pPr>
        <w:pStyle w:val="Leipteksti"/>
      </w:pPr>
      <w:r>
        <w:t>Luottamusverkoston hallinnolliset vastuut on määritelty luottamusverkostoasetuksen 2 §:ssä</w:t>
      </w:r>
      <w:r w:rsidR="009C035F">
        <w:t xml:space="preserve"> ja tunnistuslain 12</w:t>
      </w:r>
      <w:r w:rsidR="00696C7A">
        <w:t xml:space="preserve"> </w:t>
      </w:r>
      <w:r w:rsidR="009C035F">
        <w:t>a §:ssä (erityisesti 3 ja 4 mom.)</w:t>
      </w:r>
      <w:r>
        <w:t>.</w:t>
      </w:r>
    </w:p>
    <w:p w14:paraId="67738DFF" w14:textId="7D6BCC95" w:rsidR="00403A32" w:rsidRDefault="00403A32" w:rsidP="00403A32">
      <w:pPr>
        <w:pStyle w:val="Leipteksti"/>
      </w:pPr>
      <w:r>
        <w:t xml:space="preserve">Sopijapuolet toteuttavat yhdessä muiden tunnistuspalvelun tarjoajien kanssa luottamusverkoston teknisen kokonaisuuden, jonka kautta tunnistusvälineen haltijat voivat </w:t>
      </w:r>
      <w:r w:rsidR="00416F3C">
        <w:t xml:space="preserve">tunnistautua </w:t>
      </w:r>
      <w:r>
        <w:t xml:space="preserve">asiointipalveluihin. </w:t>
      </w:r>
    </w:p>
    <w:p w14:paraId="571B6174" w14:textId="77777777" w:rsidR="00403A32" w:rsidRDefault="00403A32" w:rsidP="00403A32">
      <w:pPr>
        <w:pStyle w:val="Leipteksti"/>
      </w:pPr>
      <w:r>
        <w:t>Sopijapuolet vastaavat itse luottamusverkoston tekniseen kokonaisuuteen liitettävien palvelujen kehittämisestä sekä määrittävät itsenäisesti käyttö- ja muut ehdot sekä hinnat omille asiakkailleen näiden kanssa tekemissään sopimuksissa.</w:t>
      </w:r>
    </w:p>
    <w:p w14:paraId="5076759B" w14:textId="77777777" w:rsidR="00403A32" w:rsidRDefault="00403A32" w:rsidP="00403A32">
      <w:pPr>
        <w:pStyle w:val="Otsikko2"/>
      </w:pPr>
      <w:bookmarkStart w:id="18" w:name="_Toc486337997"/>
      <w:bookmarkStart w:id="19" w:name="_Toc51941431"/>
      <w:r>
        <w:t>Tunnistusperiaatteet ja niiden muutoksista tiedottaminen</w:t>
      </w:r>
      <w:bookmarkEnd w:id="18"/>
      <w:bookmarkEnd w:id="19"/>
    </w:p>
    <w:p w14:paraId="6B8AACAC" w14:textId="77777777" w:rsidR="00403A32" w:rsidRDefault="00403A32" w:rsidP="00403A32">
      <w:pPr>
        <w:pStyle w:val="Leipteksti"/>
      </w:pPr>
      <w:r>
        <w:t>Tunnistuslain 14 §:n mukaan tunnistuspalvelun tarjoajalla on oltava tunnistusperiaatteet, joiden vähimmäissisältö määritellään lain 14.2 §:</w:t>
      </w:r>
      <w:proofErr w:type="spellStart"/>
      <w:r>
        <w:t>ssä</w:t>
      </w:r>
      <w:proofErr w:type="spellEnd"/>
      <w:r>
        <w:t>.</w:t>
      </w:r>
    </w:p>
    <w:p w14:paraId="420F3BDE" w14:textId="2FBCEFFB" w:rsidR="00403A32" w:rsidRDefault="00403A32" w:rsidP="00403A32">
      <w:pPr>
        <w:pStyle w:val="Leipteksti"/>
      </w:pPr>
      <w:r>
        <w:t xml:space="preserve">Tunnistuslain 10.3 §:n mukaan tunnistuspalvelun tarjoajan on viipymättä ilmoitettava tunnistusperiaatteissa tapahtuneista muutoksista kirjallisesti </w:t>
      </w:r>
      <w:r w:rsidR="0000775A">
        <w:t>Liikenne- ja viestintävirasto</w:t>
      </w:r>
      <w:r>
        <w:t>lle.</w:t>
      </w:r>
    </w:p>
    <w:p w14:paraId="5D789760" w14:textId="52DC8BFF" w:rsidR="00403A32" w:rsidRDefault="0000775A" w:rsidP="00403A32">
      <w:pPr>
        <w:pStyle w:val="Leipteksti"/>
      </w:pPr>
      <w:r>
        <w:lastRenderedPageBreak/>
        <w:t>Liikenne- ja viestintävirasto</w:t>
      </w:r>
      <w:r w:rsidR="00403A32">
        <w:t xml:space="preserve"> ylläpitää verkkosivuillaan rekisteriä tunnistuspalvelujen tarjoajista. Rekisterissä on linkki jokaisen tunnistuspalveluntarjoajan toimittamiin tunnistusperiaatteisiin sekä tieto päivämäärästä, jolloin tunnistusperiaatteet ovat tulleet voimaan.</w:t>
      </w:r>
    </w:p>
    <w:p w14:paraId="3D74FAFC" w14:textId="6CBB8F08" w:rsidR="00E618B6" w:rsidRDefault="00403A32" w:rsidP="00403A32">
      <w:pPr>
        <w:pStyle w:val="Leipteksti"/>
      </w:pPr>
      <w:r>
        <w:t>Tunnistuspalvelunt</w:t>
      </w:r>
      <w:r w:rsidRPr="009F0339">
        <w:t xml:space="preserve">arjoajat toimittavat </w:t>
      </w:r>
      <w:r w:rsidR="0000775A">
        <w:t>Liikenne- ja viestintävirasto</w:t>
      </w:r>
      <w:r w:rsidRPr="009F0339">
        <w:t xml:space="preserve">lle tiedon tunnistusperiaatteiden muuttamisesta, kun päätös </w:t>
      </w:r>
      <w:r w:rsidR="00C548C4">
        <w:t xml:space="preserve">muuttamisesta </w:t>
      </w:r>
      <w:r w:rsidRPr="009F0339">
        <w:t>on tehty</w:t>
      </w:r>
      <w:r w:rsidR="00C548C4">
        <w:t>, taikka viimeistään, kun tunnistusperiaatteet on julkaistu</w:t>
      </w:r>
      <w:r>
        <w:t>.</w:t>
      </w:r>
    </w:p>
    <w:p w14:paraId="76543502" w14:textId="0EC9A8BF" w:rsidR="00403A32" w:rsidRPr="009507E8" w:rsidRDefault="00E618B6" w:rsidP="00403A32">
      <w:pPr>
        <w:pStyle w:val="Leipteksti"/>
      </w:pPr>
      <w:r>
        <w:rPr>
          <w:noProof/>
          <w:lang w:eastAsia="fi-FI"/>
        </w:rPr>
        <mc:AlternateContent>
          <mc:Choice Requires="wps">
            <w:drawing>
              <wp:inline distT="0" distB="0" distL="0" distR="0" wp14:anchorId="695B60C8" wp14:editId="719CB7BD">
                <wp:extent cx="5569527" cy="1404620"/>
                <wp:effectExtent l="0" t="0" r="12700"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439A6CF8" w14:textId="306672D4" w:rsidR="00017634" w:rsidRPr="00EB6C50" w:rsidRDefault="00017634" w:rsidP="00E618B6">
                            <w:pPr>
                              <w:pStyle w:val="Kommentinteksti"/>
                            </w:pPr>
                            <w:r>
                              <w:t>Poistettu vaatimus ilmoittaa tunnistusperiaatteiden muutoksista etukäteen. Jatkossa muutoksista ilmoitetaan mahdollisuuksien mukaan etukäteen, taikka viimeistään, kun tunnistusperiaatteet on julkaistu.</w:t>
                            </w:r>
                          </w:p>
                        </w:txbxContent>
                      </wps:txbx>
                      <wps:bodyPr rot="0" vert="horz" wrap="square" lIns="91440" tIns="45720" rIns="91440" bIns="45720" anchor="t" anchorCtr="0">
                        <a:spAutoFit/>
                      </wps:bodyPr>
                    </wps:wsp>
                  </a:graphicData>
                </a:graphic>
              </wp:inline>
            </w:drawing>
          </mc:Choice>
          <mc:Fallback>
            <w:pict>
              <v:shape w14:anchorId="695B60C8" id="_x0000_s1027"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" fillcolor="#b4fcfe [671]">
                <v:textbox style="mso-fit-shape-to-text:t">
                  <w:txbxContent>
                    <w:p w14:paraId="439A6CF8" w14:textId="306672D4" w:rsidR="00017634" w:rsidRPr="00EB6C50" w:rsidRDefault="00017634" w:rsidP="00E618B6">
                      <w:pPr>
                        <w:pStyle w:val="CommentText"/>
                      </w:pPr>
                      <w:r>
                        <w:t>Poistettu vaatimus ilmoittaa tunnistusperiaatteiden muutoksista etukäteen. Jatkossa muutoksista ilmoitetaan mahdollisuuksien mukaan etukäteen, taikka viimeistään, kun tunnistusperiaatteet on julkaistu.</w:t>
                      </w:r>
                    </w:p>
                  </w:txbxContent>
                </v:textbox>
                <w10:anchorlock/>
              </v:shape>
            </w:pict>
          </mc:Fallback>
        </mc:AlternateContent>
      </w:r>
    </w:p>
    <w:p w14:paraId="17828697" w14:textId="77777777" w:rsidR="00403A32" w:rsidRDefault="00403A32" w:rsidP="00403A32">
      <w:pPr>
        <w:pStyle w:val="Otsikko2"/>
      </w:pPr>
      <w:bookmarkStart w:id="20" w:name="_Toc486337998"/>
      <w:bookmarkStart w:id="21" w:name="_Toc51941432"/>
      <w:r>
        <w:t>Tunnistuksen varmuustasot</w:t>
      </w:r>
      <w:bookmarkEnd w:id="20"/>
      <w:bookmarkEnd w:id="21"/>
      <w:r>
        <w:t xml:space="preserve"> </w:t>
      </w:r>
    </w:p>
    <w:p w14:paraId="057201E3" w14:textId="77777777" w:rsidR="00403A32" w:rsidRDefault="00403A32" w:rsidP="00403A32">
      <w:pPr>
        <w:pStyle w:val="Leipteksti"/>
      </w:pPr>
      <w:r>
        <w:t>Tunnistusvälineen tarjoaja ja tunnistusvälityspalvelun tarjoaja voi tarjota luottamusverkostossa korotetun varmuustason tai korkean varmuustason tunnistuspalvelua tai molempia.</w:t>
      </w:r>
    </w:p>
    <w:p w14:paraId="01BF0955" w14:textId="77777777" w:rsidR="00403A32" w:rsidRDefault="00403A32" w:rsidP="00403A32">
      <w:pPr>
        <w:pStyle w:val="Leipteksti"/>
      </w:pPr>
      <w:r>
        <w:t>Välittäessään tunnistustapahtuman tunnistusvälityspalvelu yksilöi tunnistusvälineen tarjoajalle, kumman varmuustason tunnistusta pyydetään. Asiointipalvelu ratkaisee tunnistustason ja pyytää sen tasoista välityspalvelua. Korotetun varmuustason tunnistus voidaan toteuttaa myös korkean varmuustason tunnistuspalvelulla.</w:t>
      </w:r>
    </w:p>
    <w:p w14:paraId="18D5A745" w14:textId="77777777" w:rsidR="00403A32" w:rsidRDefault="00403A32" w:rsidP="00403A32">
      <w:pPr>
        <w:pStyle w:val="Otsikko2"/>
      </w:pPr>
      <w:bookmarkStart w:id="22" w:name="_Toc486337999"/>
      <w:bookmarkStart w:id="23" w:name="_Toc51941433"/>
      <w:r>
        <w:t>Tekniset rajapinnat ja tunnistamistietojen vähimmäissisältö</w:t>
      </w:r>
      <w:bookmarkEnd w:id="22"/>
      <w:bookmarkEnd w:id="23"/>
      <w:r>
        <w:t xml:space="preserve"> </w:t>
      </w:r>
    </w:p>
    <w:p w14:paraId="577ECE0C" w14:textId="1C13F87B" w:rsidR="00403A32" w:rsidRPr="009C035F" w:rsidRDefault="00403A32" w:rsidP="00403A32">
      <w:pPr>
        <w:pStyle w:val="Leipteksti"/>
      </w:pPr>
      <w:r>
        <w:t>Luottamusverkoston tekniset rajapinnat on määritelty luottamusverkostoasetuksen 1.1 §:</w:t>
      </w:r>
      <w:proofErr w:type="spellStart"/>
      <w:r>
        <w:t>ssä</w:t>
      </w:r>
      <w:proofErr w:type="spellEnd"/>
      <w:r>
        <w:t>. Asetuksen 1.2 §:n mu</w:t>
      </w:r>
      <w:r w:rsidRPr="009C035F">
        <w:t xml:space="preserve">kaan luottamusverkostoon kuuluvan tunnistuspalvelun tarjoajan on tarjottava 1 momentin 1 </w:t>
      </w:r>
      <w:r w:rsidR="009C035F">
        <w:t xml:space="preserve">kohdassa </w:t>
      </w:r>
      <w:r w:rsidRPr="009C035F">
        <w:t xml:space="preserve">(tunnistusvälineen tarjoajien välinen rajapinta) ja 2 </w:t>
      </w:r>
      <w:r w:rsidR="009C035F" w:rsidRPr="009C035F">
        <w:t xml:space="preserve">kohdassa </w:t>
      </w:r>
      <w:r w:rsidRPr="009C035F">
        <w:t xml:space="preserve">(tunnistusvälineen tarjoajan ja tunnistusvälityspalvelun tarjoajan välinen rajapinta) tarkoitetuissa rajapinnoissa kummassakin vähintään yhtä yleisesti käytetyn standardin mukaista teknistä rajapintaa. </w:t>
      </w:r>
    </w:p>
    <w:p w14:paraId="36B373E2" w14:textId="3FCCD1C9" w:rsidR="00403A32" w:rsidRDefault="00403A32" w:rsidP="00403A32">
      <w:pPr>
        <w:pStyle w:val="Leipteksti"/>
      </w:pPr>
      <w:r>
        <w:t>Luottamusverkostossa välitettävät vähimmäistiedot on määritelty Viestintäviraston määräyksessä 72</w:t>
      </w:r>
      <w:r w:rsidR="00696C7A">
        <w:t xml:space="preserve"> </w:t>
      </w:r>
      <w:r>
        <w:t>A, sen 12 §:</w:t>
      </w:r>
      <w:proofErr w:type="spellStart"/>
      <w:r>
        <w:t>ssä</w:t>
      </w:r>
      <w:proofErr w:type="spellEnd"/>
      <w:r>
        <w:t xml:space="preserve">. </w:t>
      </w:r>
    </w:p>
    <w:p w14:paraId="2F98E4F6" w14:textId="10BF7D28" w:rsidR="00C548C4" w:rsidRDefault="00C548C4" w:rsidP="00403A32">
      <w:pPr>
        <w:pStyle w:val="Leipteksti"/>
      </w:pPr>
      <w:r>
        <w:rPr>
          <w:noProof/>
          <w:lang w:eastAsia="fi-FI"/>
        </w:rPr>
        <mc:AlternateContent>
          <mc:Choice Requires="wps">
            <w:drawing>
              <wp:inline distT="0" distB="0" distL="0" distR="0" wp14:anchorId="1D311757" wp14:editId="7F5913BB">
                <wp:extent cx="5569527" cy="1404620"/>
                <wp:effectExtent l="0" t="0" r="1270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1216D394" w14:textId="3717927B" w:rsidR="00017634" w:rsidRPr="00EB6C50" w:rsidRDefault="00017634" w:rsidP="00C548C4">
                            <w:pPr>
                              <w:pStyle w:val="Kommentinteksti"/>
                            </w:pPr>
                            <w:r>
                              <w:t>Tarkistetaan vielä määräyksen päivityksen tilanne, kun tämä suositus julkaistaan.</w:t>
                            </w:r>
                          </w:p>
                        </w:txbxContent>
                      </wps:txbx>
                      <wps:bodyPr rot="0" vert="horz" wrap="square" lIns="91440" tIns="45720" rIns="91440" bIns="45720" anchor="t" anchorCtr="0">
                        <a:spAutoFit/>
                      </wps:bodyPr>
                    </wps:wsp>
                  </a:graphicData>
                </a:graphic>
              </wp:inline>
            </w:drawing>
          </mc:Choice>
          <mc:Fallback>
            <w:pict>
              <v:shape w14:anchorId="1D311757" id="_x0000_s1028"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NtfdOJGAgAA&#10;hgQAAA4AAAAAAAAAAAAAAAAALgIAAGRycy9lMm9Eb2MueG1sUEsBAi0AFAAGAAgAAAAhALYdqbPd&#10;AAAABQEAAA8AAAAAAAAAAAAAAAAAoAQAAGRycy9kb3ducmV2LnhtbFBLBQYAAAAABAAEAPMAAACq&#10;BQAAAAA=&#10;" fillcolor="#b4fcfe [671]">
                <v:textbox style="mso-fit-shape-to-text:t">
                  <w:txbxContent>
                    <w:p w14:paraId="1216D394" w14:textId="3717927B" w:rsidR="00017634" w:rsidRPr="00EB6C50" w:rsidRDefault="00017634" w:rsidP="00C548C4">
                      <w:pPr>
                        <w:pStyle w:val="CommentText"/>
                      </w:pPr>
                      <w:r>
                        <w:t>Tarkistetaan vielä määräyksen päivityksen tilanne, kun tämä suositus julkaistaan.</w:t>
                      </w:r>
                    </w:p>
                  </w:txbxContent>
                </v:textbox>
                <w10:anchorlock/>
              </v:shape>
            </w:pict>
          </mc:Fallback>
        </mc:AlternateContent>
      </w:r>
    </w:p>
    <w:p w14:paraId="1D71708F" w14:textId="3B8A2E56" w:rsidR="00403A32" w:rsidRDefault="00403A32" w:rsidP="00403A32">
      <w:pPr>
        <w:pStyle w:val="Leipteksti"/>
      </w:pPr>
      <w:r>
        <w:t>Määräyksen 72</w:t>
      </w:r>
      <w:r w:rsidR="00696C7A">
        <w:t xml:space="preserve"> </w:t>
      </w:r>
      <w:r>
        <w:t>A m</w:t>
      </w:r>
      <w:r w:rsidRPr="009C035F">
        <w:t xml:space="preserve">ukaan tunnistusvälineen tarjoaja, tunnistusvälityspalvelun tarjoaja ja asiointipalvelun tarjoaja sopivat keskenään niiden välisten rajapintojen muista kuin tässä määräyksessä säädetyistä ominaisuuksista ja käytettävästä protokollasta (14 §). </w:t>
      </w:r>
    </w:p>
    <w:p w14:paraId="23F7CE0E" w14:textId="4D99EA65" w:rsidR="00403A32" w:rsidRDefault="00416F3C" w:rsidP="00403A32">
      <w:pPr>
        <w:pStyle w:val="Leipteksti"/>
      </w:pPr>
      <w:r>
        <w:t xml:space="preserve">Tunnistuspalvelun käyttöoikeuden toimitusehdoissa määritellään saatavilla olevat tekniset rajapinnat. </w:t>
      </w:r>
      <w:r w:rsidR="00403A32">
        <w:t>Sopijapuolten tulee sopia, mitä määriteltyjä rajapintoja ne käyttävät. Määräyksen 72</w:t>
      </w:r>
      <w:r w:rsidR="00696C7A">
        <w:t xml:space="preserve"> </w:t>
      </w:r>
      <w:r w:rsidR="00403A32">
        <w:t>A Perustelut ja soveltaminen -muistiossa [3] (ks. sivu 51) suositellaan, että luottamusverkostossa käytetään SAML 2.0- tai Open ID Connect -protokollaa ja näiden kansallisesti laadittuja profiileja, jotka Viestintävirasto on julkai</w:t>
      </w:r>
      <w:r w:rsidR="00696C7A">
        <w:t>s</w:t>
      </w:r>
      <w:r w:rsidR="00403A32">
        <w:t>sut erillisinä suosituksina [7][8].</w:t>
      </w:r>
    </w:p>
    <w:p w14:paraId="74A8BA16" w14:textId="5A830E09" w:rsidR="00403A32" w:rsidRDefault="00403A32" w:rsidP="005C5925">
      <w:pPr>
        <w:pStyle w:val="Leipteksti"/>
      </w:pPr>
      <w:r>
        <w:t>Sopijapuolet voivat vapaasti sopia myös muista rajapinnoista, kunhan se ei estä muita luottamusverkoston jäseniä toimimasta määritellyillä rajapinnoilla. Tällöin edellytetään luottamusverkostossa määriteltyjen rajapintojen syrjimätöntä kohtelua suhteessa muihin tarjottaviin rajapintoihin. Muiden rajapintojen käyttöönotosta on suositeltavaa tiedottaa luottamusverkoston yhteistoimintaryhmälle.</w:t>
      </w:r>
    </w:p>
    <w:p w14:paraId="07F7D761" w14:textId="77777777" w:rsidR="00403A32" w:rsidRDefault="00403A32" w:rsidP="00403A32">
      <w:pPr>
        <w:pStyle w:val="Otsikko2"/>
      </w:pPr>
      <w:bookmarkStart w:id="24" w:name="_Toc486338000"/>
      <w:bookmarkStart w:id="25" w:name="_Toc51941434"/>
      <w:r>
        <w:lastRenderedPageBreak/>
        <w:t>Tietoturvahäiriöistä, vikatilanteista, huoltokatkoista ja muutostilanteista tiedottaminen luottamusverkostossa</w:t>
      </w:r>
      <w:bookmarkEnd w:id="24"/>
      <w:bookmarkEnd w:id="25"/>
    </w:p>
    <w:p w14:paraId="4A0E619B" w14:textId="77777777" w:rsidR="00403A32" w:rsidRDefault="00403A32" w:rsidP="00403A32">
      <w:pPr>
        <w:pStyle w:val="Otsikko3"/>
      </w:pPr>
      <w:bookmarkStart w:id="26" w:name="_Toc486338001"/>
      <w:bookmarkStart w:id="27" w:name="_Toc51941435"/>
      <w:r>
        <w:t>Mistä tilanteista ilmoitetaan</w:t>
      </w:r>
      <w:bookmarkEnd w:id="26"/>
      <w:bookmarkEnd w:id="27"/>
    </w:p>
    <w:p w14:paraId="24C34815" w14:textId="5F31224B" w:rsidR="00403A32" w:rsidRDefault="00403A32" w:rsidP="00403A32">
      <w:pPr>
        <w:pStyle w:val="Leipteksti"/>
      </w:pPr>
      <w:r>
        <w:t xml:space="preserve">Tunnistuspalvelun tarjoajan tulee tunnistuslain </w:t>
      </w:r>
      <w:r w:rsidRPr="00897887">
        <w:t xml:space="preserve">16.1 §:n mukaisesti </w:t>
      </w:r>
      <w:r w:rsidRPr="00897887">
        <w:rPr>
          <w:i/>
        </w:rPr>
        <w:t xml:space="preserve">salassapitosäännösten estämättä ilmoittaa ilman aiheetonta viivästystä tunnistuspalveluunsa luottaville osapuolille, tunnistusvälineiden haltijoille, muille luottamusverkostossa toimiville sopimuspuolilleen sekä </w:t>
      </w:r>
      <w:r w:rsidR="0000775A" w:rsidRPr="00897887">
        <w:rPr>
          <w:i/>
        </w:rPr>
        <w:t>Liikenne- ja viestintävirasto</w:t>
      </w:r>
      <w:r w:rsidRPr="00897887">
        <w:rPr>
          <w:i/>
        </w:rPr>
        <w:t>lle palvelun toimivuuteen, tietoturvaan tai sähköisen henkilöllisyyden käyttöön kohdistuvista merkittävistä uhkista tai häiriöistä</w:t>
      </w:r>
      <w:r w:rsidRPr="00897887">
        <w:t>.</w:t>
      </w:r>
      <w:r>
        <w:t xml:space="preserve"> </w:t>
      </w:r>
    </w:p>
    <w:p w14:paraId="72B1201F" w14:textId="6F14A4AF" w:rsidR="00403A32" w:rsidRDefault="00DA37F9" w:rsidP="00403A32">
      <w:pPr>
        <w:pStyle w:val="Leipteksti"/>
      </w:pPr>
      <w:r w:rsidRPr="00DA37F9">
        <w:t xml:space="preserve">Tunnistuspalvelun tarjoaja voi </w:t>
      </w:r>
      <w:r>
        <w:t xml:space="preserve">lisäksi tunnistuslain 16.2 §:n nojalla </w:t>
      </w:r>
      <w:r w:rsidRPr="00DA37F9">
        <w:t>salassapitosäännösten estämättä ilmoittaa kaikille luottamusverkoston jäsenille 1 momentissa tarkoitetuista uhkista ja häiriöistä sekä palvelun tarjoajista, joiden on syytä epäillä tavoittelevan oikeudetonta taloudellista hyötyä, antavan merkityksellisiä totuudenvastaisia tai harhaanjohtavia tietoja tai käsittelevän henkilötietoja lainvastaisesti.</w:t>
      </w:r>
    </w:p>
    <w:p w14:paraId="102A44F1" w14:textId="687E3D72" w:rsidR="00403A32" w:rsidRDefault="00403A32" w:rsidP="00403A32">
      <w:pPr>
        <w:pStyle w:val="Leipteksti"/>
      </w:pPr>
      <w:r>
        <w:t>Luottamusverkostoasetuksen 2.1 §:n</w:t>
      </w:r>
      <w:r w:rsidR="00017634">
        <w:t xml:space="preserve"> 4</w:t>
      </w:r>
      <w:r>
        <w:t xml:space="preserve"> kohdan mukaan </w:t>
      </w:r>
      <w:r w:rsidRPr="003D4DF1">
        <w:rPr>
          <w:i/>
        </w:rPr>
        <w:t>luottamusverkostoon kuuluva tunnistuspalvelun tarjoaja vastaa luottamusverkostossa omalta osaltaan ilman aiheetonta viivästystä tapahtuvasta tiedottamisesta muille luottamusverkostoon kuuluville tunnistuspalvelun tarjoajille häiriöistä tai tietoturvauhkista, jotka vaikuttavat näiden palveluihin, sekä häiriötilanteiden selvittämisestä luottamusverkostossa</w:t>
      </w:r>
      <w:r>
        <w:t>.</w:t>
      </w:r>
    </w:p>
    <w:p w14:paraId="40A398CF" w14:textId="77777777" w:rsidR="00403A32" w:rsidRDefault="00403A32" w:rsidP="00403A32">
      <w:pPr>
        <w:pStyle w:val="Leipteksti"/>
      </w:pPr>
      <w:r>
        <w:t>Ilmoitusvelvollisuus luottamusverkoston toimijoiden välillä koskee tietoturvauhkia ja -häiriöitä, toimivuuteen vaikuttavia vikatilanteita ja huoltokatkoja sekä muutostilanteita, joista voi aiheutua katkos tai häiriö. Ilmoituskynnystä määriteltäessä on huomioitava häiriön, uhkan tai muutoksen mahdollinen vaikutus toisen luottamusverkoston toimijan palveluun.</w:t>
      </w:r>
    </w:p>
    <w:p w14:paraId="5F2A0D12" w14:textId="77777777" w:rsidR="00403A32" w:rsidRDefault="00403A32" w:rsidP="00897887">
      <w:pPr>
        <w:pStyle w:val="Sisennys"/>
      </w:pPr>
      <w:r>
        <w:t xml:space="preserve">Esimerkiksi tietoturvauhka, kuten ohjelmiston haavoittuvuus, käynnissä oleva </w:t>
      </w:r>
      <w:proofErr w:type="spellStart"/>
      <w:r>
        <w:t>phishing</w:t>
      </w:r>
      <w:proofErr w:type="spellEnd"/>
      <w:r>
        <w:t xml:space="preserve">-kampanja tai palvelunestohyökkäys on hyvä ilmoittaa matalalla kynnyksellä, jotta muut toimijat voivat ennakoida tilannetta. Toimivuuden vikatilanteet täytyy ilmoittaa ainakin, jos ne vaikuttavat sopijapuolten palveluihin. </w:t>
      </w:r>
    </w:p>
    <w:p w14:paraId="6B445D81" w14:textId="53ADF78F" w:rsidR="00403A32" w:rsidRDefault="00897887" w:rsidP="00403A32">
      <w:pPr>
        <w:pStyle w:val="Leipteksti"/>
      </w:pPr>
      <w:r>
        <w:t>Toimitusehdoissa tulee olla tiedot siitä, miten huolto- ja muutostöistä kuten</w:t>
      </w:r>
      <w:r w:rsidR="00403A32">
        <w:t xml:space="preserve"> huoltokatkoista ilmoitetaan etukäteen tai että huoltokatkoilla on etukäteen määritelty aikataulu. Tunnistuspalveluun tehtävistä muutostöistä on suositeltavaa sopia ilmoitettavaksi kuten huoltokatkoista sen mukaan, millainen riski niissä on katkoksen tai häiriön syntymiselle tai ennakoimattomalle vaikutukselle muihin luottamusverkoston toimijoihin. Huolto- ja muutostilanteet ovat tyypillisesti omiaan aiheuttamaan katkoja.</w:t>
      </w:r>
    </w:p>
    <w:p w14:paraId="38C40245" w14:textId="77777777" w:rsidR="00403A32" w:rsidRDefault="00403A32" w:rsidP="00403A32">
      <w:pPr>
        <w:pStyle w:val="Leipteksti"/>
      </w:pPr>
      <w:r>
        <w:t xml:space="preserve">Sopijapuolten on hyvä sopia tietoturvauhkien ja -häiriöiden, vikatilanteiden ja huoltokatkojen tiedottamisesta, jotta muut luottamusverkoston toimijat voivat ennakoida tilanteita ja tehdä osaltaan tarvittavat </w:t>
      </w:r>
      <w:proofErr w:type="spellStart"/>
      <w:r>
        <w:t>varautumis</w:t>
      </w:r>
      <w:proofErr w:type="spellEnd"/>
      <w:r>
        <w:t>- tai korjaustoimenpiteet.</w:t>
      </w:r>
    </w:p>
    <w:p w14:paraId="25A63FCA" w14:textId="77777777" w:rsidR="00403A32" w:rsidRDefault="00403A32" w:rsidP="00403A32">
      <w:pPr>
        <w:pStyle w:val="Otsikko3"/>
      </w:pPr>
      <w:bookmarkStart w:id="28" w:name="_Toc486338002"/>
      <w:bookmarkStart w:id="29" w:name="_Toc51941436"/>
      <w:r>
        <w:t>Tiedottamisen käytännöt</w:t>
      </w:r>
      <w:bookmarkEnd w:id="28"/>
      <w:bookmarkEnd w:id="29"/>
    </w:p>
    <w:p w14:paraId="75E9DEB4" w14:textId="0552C74A" w:rsidR="00403A32" w:rsidRDefault="00403A32" w:rsidP="00403A32">
      <w:pPr>
        <w:pStyle w:val="Leipteksti"/>
      </w:pPr>
      <w:r>
        <w:t xml:space="preserve">Sopijapuolten </w:t>
      </w:r>
      <w:r w:rsidR="00F71E95">
        <w:t>tulee</w:t>
      </w:r>
      <w:r>
        <w:t xml:space="preserve"> sopia ilmoitusten toimittamismenettelyistä kuten yhteyshenkilöistä, viestintäkanavista ja ilmoitusajoista. Viestintäkanavien tulee olla tietoturvallisia.</w:t>
      </w:r>
    </w:p>
    <w:p w14:paraId="281193AE" w14:textId="2F4BE9FE" w:rsidR="00403A32" w:rsidRDefault="00403A32" w:rsidP="00403A32">
      <w:pPr>
        <w:pStyle w:val="Leipteksti"/>
      </w:pPr>
      <w:r>
        <w:t xml:space="preserve">Sopijapuolet voivat sopia, että yhteystiedot häiriöilmoituksia varten jaetaan (myös) luottamusverkoston yhteisessä, yhteisesti ylläpidetyssä tätä tarkoitusta varten rajatussa koosteessa. </w:t>
      </w:r>
    </w:p>
    <w:p w14:paraId="5B2A4E9A" w14:textId="77777777" w:rsidR="00403A32" w:rsidRDefault="00403A32" w:rsidP="00403A32">
      <w:pPr>
        <w:pStyle w:val="Leipteksti"/>
      </w:pPr>
      <w:r>
        <w:lastRenderedPageBreak/>
        <w:t xml:space="preserve">Ilmoitusajat on syytä suhteuttaa ongelman luonteeseen, vakavuuteen, laajuuteen ja vaikutuksiin. Hyvä käytäntö on ilmoittaa: </w:t>
      </w:r>
    </w:p>
    <w:p w14:paraId="01164955" w14:textId="77777777" w:rsidR="00403A32" w:rsidRDefault="00403A32" w:rsidP="00416F3C">
      <w:pPr>
        <w:pStyle w:val="Leipteksti"/>
        <w:numPr>
          <w:ilvl w:val="0"/>
          <w:numId w:val="7"/>
        </w:numPr>
        <w:spacing w:after="220"/>
      </w:pPr>
      <w:r>
        <w:t>tietoturvauhkasta ja häiriöstä, kuten tietomurrosta, laajasta palvelunestohyökkäyksestä, tietoturvahaavoittuvuudesta, väärälle henkilölle myönnetystä sähköisestä tunnistusvälineestä ja vastaavista tunnistusjärjestelmän eheyden vaarantavista tilanteista, välittömästi sen tultua tietoon, kuitenkin viimeistään 24 tunnin kuluessa,</w:t>
      </w:r>
    </w:p>
    <w:p w14:paraId="4F07FE1F" w14:textId="77777777" w:rsidR="00403A32" w:rsidRDefault="00403A32" w:rsidP="00416F3C">
      <w:pPr>
        <w:pStyle w:val="Leipteksti"/>
        <w:numPr>
          <w:ilvl w:val="0"/>
          <w:numId w:val="7"/>
        </w:numPr>
        <w:spacing w:after="220"/>
      </w:pPr>
      <w:r>
        <w:t>tietoturvahäiriöstä tai -uhkasta, kuten tietomurrosta, joka vaarantaa henkilötietojen luottamuksellisuuden, välittömästi sen tultua tietoon, kuitenkin viimeistään 48 tunnin kuluessa,</w:t>
      </w:r>
    </w:p>
    <w:p w14:paraId="00ACC69B" w14:textId="77777777" w:rsidR="00403A32" w:rsidRDefault="00403A32" w:rsidP="00416F3C">
      <w:pPr>
        <w:pStyle w:val="Leipteksti"/>
        <w:numPr>
          <w:ilvl w:val="0"/>
          <w:numId w:val="7"/>
        </w:numPr>
        <w:spacing w:after="220"/>
      </w:pPr>
      <w:r>
        <w:t>vikatilanteesta, joka häiritsee palvelun käytettävyyttä, mahdollisimman pian sen jälkeen, kun se on havaittu, sekä</w:t>
      </w:r>
    </w:p>
    <w:p w14:paraId="7F4BD0FE" w14:textId="3ECDDFDB" w:rsidR="00403A32" w:rsidRDefault="00403A32" w:rsidP="00416F3C">
      <w:pPr>
        <w:pStyle w:val="Leipteksti"/>
        <w:numPr>
          <w:ilvl w:val="0"/>
          <w:numId w:val="7"/>
        </w:numPr>
        <w:spacing w:after="220"/>
      </w:pPr>
      <w:r>
        <w:t>huoltokatkosta ja muutostyöstä viimeistään viikkoa etukäteen tai jos työ on tiedossa myöhemmin, viimeistään, kun työ on tiedossa.</w:t>
      </w:r>
    </w:p>
    <w:p w14:paraId="7B11A301" w14:textId="0F6CE78E" w:rsidR="00897887" w:rsidRDefault="00F71E95" w:rsidP="00897887">
      <w:pPr>
        <w:pStyle w:val="Leipteksti"/>
      </w:pPr>
      <w:r w:rsidRPr="00F71E95">
        <w:t>Luottamusverkoston yhteistoimintaryhmän puitteissa voidaan laatia yhteisiä viestintäkäytäntöjä noudatettavaksi luottamusverkostossa erilaisissa uhka- ja häiriötilanteissa.</w:t>
      </w:r>
      <w:r w:rsidR="00897887" w:rsidRPr="00897887">
        <w:t xml:space="preserve"> </w:t>
      </w:r>
      <w:r w:rsidR="00897887">
        <w:t xml:space="preserve">Niiden noudattaminen on vahvasti suositeltavaa. </w:t>
      </w:r>
      <w:r w:rsidR="00F3083D">
        <w:t>Toimitusehdoissa voidaan määrätä yhteisten viestintäkäytäntöjen</w:t>
      </w:r>
      <w:r w:rsidR="00897887">
        <w:t xml:space="preserve"> noudattamisesta.</w:t>
      </w:r>
    </w:p>
    <w:p w14:paraId="1A9D9251" w14:textId="77777777" w:rsidR="00403A32" w:rsidRDefault="00403A32" w:rsidP="00403A32">
      <w:pPr>
        <w:pStyle w:val="Otsikko3"/>
      </w:pPr>
      <w:bookmarkStart w:id="30" w:name="_Toc486338003"/>
      <w:bookmarkStart w:id="31" w:name="_Toc51941437"/>
      <w:r>
        <w:t>Häiriö-, muutos- ja tapahtumatietojen käsittely luottamusverkostossa</w:t>
      </w:r>
      <w:bookmarkEnd w:id="30"/>
      <w:bookmarkEnd w:id="31"/>
    </w:p>
    <w:p w14:paraId="2A02FDFA" w14:textId="00F81377" w:rsidR="00403A32" w:rsidRDefault="00403A32" w:rsidP="00403A32">
      <w:pPr>
        <w:pStyle w:val="Leipteksti"/>
      </w:pPr>
      <w:r>
        <w:t xml:space="preserve">Tunnistuslain </w:t>
      </w:r>
      <w:r w:rsidR="00897887">
        <w:t>12 b</w:t>
      </w:r>
      <w:r>
        <w:t xml:space="preserve"> §:n </w:t>
      </w:r>
      <w:r w:rsidR="00555B18">
        <w:t xml:space="preserve">5 momentin </w:t>
      </w:r>
      <w:r>
        <w:t xml:space="preserve">mukaan </w:t>
      </w:r>
      <w:r w:rsidRPr="00463CF5">
        <w:rPr>
          <w:i/>
        </w:rPr>
        <w:t xml:space="preserve">tunnistuspalvelun tarjoaja saa käyttää </w:t>
      </w:r>
      <w:r w:rsidR="00555B18" w:rsidRPr="00555B18">
        <w:rPr>
          <w:i/>
        </w:rPr>
        <w:t xml:space="preserve">16 §:n nojalla saatuja </w:t>
      </w:r>
      <w:r w:rsidR="002D0DA1">
        <w:rPr>
          <w:i/>
        </w:rPr>
        <w:t>t</w:t>
      </w:r>
      <w:r w:rsidRPr="00463CF5">
        <w:rPr>
          <w:i/>
        </w:rPr>
        <w:t>oista tunnistuspalvelun tarjoajaa koskevia tietoja vain</w:t>
      </w:r>
      <w:r w:rsidR="00555B18" w:rsidRPr="00555B18">
        <w:t xml:space="preserve"> </w:t>
      </w:r>
      <w:r w:rsidR="00555B18" w:rsidRPr="00555B18">
        <w:rPr>
          <w:i/>
        </w:rPr>
        <w:t>siihen tarkoitukseen, jota varten ne on tunnistuspalvelun tarjoajalle annettu</w:t>
      </w:r>
      <w:r w:rsidRPr="00463CF5">
        <w:rPr>
          <w:i/>
        </w:rPr>
        <w:t>. Tietoja saavat tunnistuspalvelun tarjoajan palveluksessa käsitellä ainoastaan ne, jotka tarvitsevat tietoja välttämättä työssään. Tietoja on muutoinkin käsiteltävä siten, ettei toisen tunnistuspalvelun tarjoajan liikesalaisuuksia vaaranneta</w:t>
      </w:r>
      <w:r>
        <w:t>.</w:t>
      </w:r>
    </w:p>
    <w:p w14:paraId="4FD61D69" w14:textId="77777777" w:rsidR="00403A32" w:rsidRDefault="00403A32" w:rsidP="00403A32">
      <w:pPr>
        <w:pStyle w:val="Leipteksti"/>
      </w:pPr>
      <w:r>
        <w:t xml:space="preserve">Edellä kuvatut periaatteet häiriöiden ilmoittamisesta koskevat vain luottamusverkoston sisäistä tiedonvaihtoa. Sopijapuolilla ei ole oikeutta luovuttaa asiointipalveluille tai tunnistusvälineen haltijoille tai muille kolmansille osapuolille luottamuksellista tietoa, jonka ne ovat saaneet luottamusverkoston jäsenenä. </w:t>
      </w:r>
    </w:p>
    <w:p w14:paraId="64332AD2" w14:textId="77777777" w:rsidR="00403A32" w:rsidRDefault="00403A32" w:rsidP="00403A32">
      <w:pPr>
        <w:pStyle w:val="Leipteksti"/>
      </w:pPr>
      <w:r>
        <w:t xml:space="preserve">Asiointipalveluille tai julkisuuteen voidaan välittää muiden luottamusverkoston toimijoiden osalta vain yleisluonteista tietoa siitä, että palvelu ei ole käytettävissä. </w:t>
      </w:r>
    </w:p>
    <w:p w14:paraId="19FEA6CA" w14:textId="77777777" w:rsidR="00403A32" w:rsidRDefault="00403A32" w:rsidP="00403A32">
      <w:pPr>
        <w:pStyle w:val="Leipteksti"/>
      </w:pPr>
      <w:r>
        <w:t xml:space="preserve">Sopijapuolet voivat sopia siitä, että ne tiedottavat toistensa puolesta häiriötilanteista asiointipalveluille tai yleisölle ja esimerkiksi siitä, että ne toimittavat ja yksilöivät keskinäisen ilmoituksen yhteydessä, mitä tietoa asiointipalveluille tai yleisölle voi antaa. Tällöin on otettava kuitenkin huomioon ilmoitusvelvollisuutta koskeva pakottava lainsäädäntö, kuten tunnistuslain 16 § ja tietosuoja-asetus. </w:t>
      </w:r>
    </w:p>
    <w:p w14:paraId="59514775" w14:textId="77777777" w:rsidR="00403A32" w:rsidRDefault="00403A32" w:rsidP="00403A32">
      <w:pPr>
        <w:pStyle w:val="Leipteksti"/>
      </w:pPr>
      <w:r>
        <w:t>Sopijapuolten keskinäisellä salassapidolla ei saa olla haitallista vaikutusta kuluttajan oikeuteen saada tietoa siitä, kenen toimijan puoleen kuluttaja voi kääntyä vedotakseen laillisiin oikeuksiinsa.</w:t>
      </w:r>
    </w:p>
    <w:p w14:paraId="1E2F3690" w14:textId="77777777" w:rsidR="00403A32" w:rsidRDefault="00403A32" w:rsidP="00403A32">
      <w:pPr>
        <w:pStyle w:val="Otsikko3"/>
      </w:pPr>
      <w:bookmarkStart w:id="32" w:name="_Toc486338004"/>
      <w:bookmarkStart w:id="33" w:name="_Toc51941438"/>
      <w:r>
        <w:lastRenderedPageBreak/>
        <w:t>Yhteistyö virhetilanteiden selvittämiseksi</w:t>
      </w:r>
      <w:bookmarkEnd w:id="32"/>
      <w:bookmarkEnd w:id="33"/>
    </w:p>
    <w:p w14:paraId="0B1DFA33" w14:textId="2597B7C8" w:rsidR="00E618B6" w:rsidRDefault="00E618B6" w:rsidP="00403A32">
      <w:pPr>
        <w:pStyle w:val="Leipteksti"/>
      </w:pPr>
      <w:r>
        <w:rPr>
          <w:noProof/>
          <w:lang w:eastAsia="fi-FI"/>
        </w:rPr>
        <mc:AlternateContent>
          <mc:Choice Requires="wps">
            <w:drawing>
              <wp:inline distT="0" distB="0" distL="0" distR="0" wp14:anchorId="48723272" wp14:editId="6006217E">
                <wp:extent cx="5569527" cy="1404620"/>
                <wp:effectExtent l="0" t="0" r="12700" b="152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0E0C9E1D" w14:textId="67065AD6" w:rsidR="00017634" w:rsidRPr="00EB6C50" w:rsidRDefault="00017634" w:rsidP="00E618B6">
                            <w:pPr>
                              <w:pStyle w:val="Kommentinteksti"/>
                            </w:pPr>
                            <w:r>
                              <w:t>Kommentti:</w:t>
                            </w:r>
                            <w:r w:rsidRPr="00EB6C50">
                              <w:t xml:space="preserve"> </w:t>
                            </w:r>
                            <w:r w:rsidR="00D83385">
                              <w:t>Onko</w:t>
                            </w:r>
                            <w:r w:rsidR="009A56CA" w:rsidRPr="009A56CA">
                              <w:t xml:space="preserve"> tarpeen määritellä toisen tekemän ensitunnistuksen ja siihen luottavan uuden tunnistusvälineen tarjoajan selvittelyvelvoitteen tarkemmasta sisältötiedosta; mitä tietoja selvittämiseksi on tarjottava ja millä kustannuksilla ne on tarjottava ko. selvittelyjä varten. </w:t>
                            </w:r>
                            <w:r w:rsidR="00D83385">
                              <w:t>Esimerkiksi m</w:t>
                            </w:r>
                            <w:r w:rsidR="009A56CA" w:rsidRPr="009A56CA">
                              <w:t xml:space="preserve">ahdollisia virheselvittelyjä varten </w:t>
                            </w:r>
                            <w:r w:rsidR="00D83385">
                              <w:t>voisi velvoittaa</w:t>
                            </w:r>
                            <w:r w:rsidR="009A56CA" w:rsidRPr="009A56CA">
                              <w:t xml:space="preserve"> tarjoamaan aiemman ensitunnistajan identiteetin luomiseen liittyviä yhteisesti määriteltyjä tietoja, joihin jälkimmäinen ensitunnistaja lain nojalla luottaa ja johon perustuu lakiin perustuva korvausvastuu.</w:t>
                            </w:r>
                          </w:p>
                          <w:p w14:paraId="151A6FD7" w14:textId="77777777" w:rsidR="00017634" w:rsidRPr="00EB6C50" w:rsidRDefault="00017634" w:rsidP="00E618B6">
                            <w:pPr>
                              <w:pStyle w:val="Kommentinteksti"/>
                            </w:pPr>
                          </w:p>
                          <w:p w14:paraId="32415283" w14:textId="082E81F6" w:rsidR="00017634" w:rsidRPr="00EB6C50" w:rsidRDefault="00D83385" w:rsidP="00E618B6">
                            <w:pPr>
                              <w:rPr>
                                <w:b/>
                              </w:rPr>
                            </w:pPr>
                            <w:r>
                              <w:rPr>
                                <w:b/>
                              </w:rPr>
                              <w:t>Onko tarvetta yksilöinnille ja voitteko antaa esimerkin velvoitteesta?</w:t>
                            </w:r>
                          </w:p>
                        </w:txbxContent>
                      </wps:txbx>
                      <wps:bodyPr rot="0" vert="horz" wrap="square" lIns="91440" tIns="45720" rIns="91440" bIns="45720" anchor="t" anchorCtr="0">
                        <a:spAutoFit/>
                      </wps:bodyPr>
                    </wps:wsp>
                  </a:graphicData>
                </a:graphic>
              </wp:inline>
            </w:drawing>
          </mc:Choice>
          <mc:Fallback>
            <w:pict>
              <v:shape w14:anchorId="48723272" id="_x0000_s1029"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DII/iFGAgAA&#10;hwQAAA4AAAAAAAAAAAAAAAAALgIAAGRycy9lMm9Eb2MueG1sUEsBAi0AFAAGAAgAAAAhALYdqbPd&#10;AAAABQEAAA8AAAAAAAAAAAAAAAAAoAQAAGRycy9kb3ducmV2LnhtbFBLBQYAAAAABAAEAPMAAACq&#10;BQAAAAA=&#10;" fillcolor="#b4fcfe [671]">
                <v:textbox style="mso-fit-shape-to-text:t">
                  <w:txbxContent>
                    <w:p w14:paraId="0E0C9E1D" w14:textId="67065AD6" w:rsidR="00017634" w:rsidRPr="00EB6C50" w:rsidRDefault="00017634" w:rsidP="00E618B6">
                      <w:pPr>
                        <w:pStyle w:val="CommentText"/>
                      </w:pPr>
                      <w:r>
                        <w:t>Kommentti:</w:t>
                      </w:r>
                      <w:r w:rsidRPr="00EB6C50">
                        <w:t xml:space="preserve"> </w:t>
                      </w:r>
                      <w:r w:rsidR="00D83385">
                        <w:t>Onko</w:t>
                      </w:r>
                      <w:r w:rsidR="009A56CA" w:rsidRPr="009A56CA">
                        <w:t xml:space="preserve"> tarpeen määritellä toisen tekemän ensitunnistuksen ja siihen luottavan uuden tunnistusvälineen tarjoajan selvittelyvelvoitteen tarkemmasta sisältötiedosta; mitä tietoja selvittämiseksi on tarjottava ja millä kustannuksilla ne on tarjottava ko. selvittelyjä varten. </w:t>
                      </w:r>
                      <w:r w:rsidR="00D83385">
                        <w:t>Esimerkiksi m</w:t>
                      </w:r>
                      <w:r w:rsidR="009A56CA" w:rsidRPr="009A56CA">
                        <w:t xml:space="preserve">ahdollisia virheselvittelyjä varten </w:t>
                      </w:r>
                      <w:r w:rsidR="00D83385">
                        <w:t>voisi velvoittaa</w:t>
                      </w:r>
                      <w:r w:rsidR="009A56CA" w:rsidRPr="009A56CA">
                        <w:t xml:space="preserve"> tarjoamaan aiemman ensitunnistajan identiteetin luomiseen liittyviä yhteisesti määriteltyjä tietoja, joihin jälkimmäinen ensitunnistaja lain nojalla luottaa ja johon perustuu lakiin perustuva korvausvastuu.</w:t>
                      </w:r>
                    </w:p>
                    <w:p w14:paraId="151A6FD7" w14:textId="77777777" w:rsidR="00017634" w:rsidRPr="00EB6C50" w:rsidRDefault="00017634" w:rsidP="00E618B6">
                      <w:pPr>
                        <w:pStyle w:val="CommentText"/>
                      </w:pPr>
                    </w:p>
                    <w:p w14:paraId="32415283" w14:textId="082E81F6" w:rsidR="00017634" w:rsidRPr="00EB6C50" w:rsidRDefault="00D83385" w:rsidP="00E618B6">
                      <w:pPr>
                        <w:rPr>
                          <w:b/>
                        </w:rPr>
                      </w:pPr>
                      <w:r>
                        <w:rPr>
                          <w:b/>
                        </w:rPr>
                        <w:t>Onko tarvetta yksilöinnille ja voitteko antaa esimerkin velvoitteesta?</w:t>
                      </w:r>
                    </w:p>
                  </w:txbxContent>
                </v:textbox>
                <w10:anchorlock/>
              </v:shape>
            </w:pict>
          </mc:Fallback>
        </mc:AlternateContent>
      </w:r>
    </w:p>
    <w:p w14:paraId="144CEABD" w14:textId="231976F9" w:rsidR="00403A32" w:rsidRDefault="00403A32" w:rsidP="00403A32">
      <w:pPr>
        <w:pStyle w:val="Leipteksti"/>
      </w:pPr>
      <w:r>
        <w:t xml:space="preserve">Luottamusverkostoasetuksen 2.1 §:n </w:t>
      </w:r>
      <w:r w:rsidR="00017634">
        <w:t xml:space="preserve">4 </w:t>
      </w:r>
      <w:r>
        <w:t xml:space="preserve">kohdan mukaan </w:t>
      </w:r>
      <w:r w:rsidRPr="00463CF5">
        <w:rPr>
          <w:i/>
        </w:rPr>
        <w:t>luottamusverkostoon kuuluva tunnistuspalvelun tarjoaja vastaa luottamusverkostossa omalta osaltaan ilman aiheetonta viivästystä tapahtuvasta tiedottamisesta muille luottamusverkostoon kuuluville tunnistuspalvelun tarjoajille häiriöistä tai tietoturvauhkista, jotka vaikuttavat näiden palveluihin, sekä häiriötilanteiden selvittämisestä luottamusverkostossa.</w:t>
      </w:r>
    </w:p>
    <w:p w14:paraId="65D5FF84" w14:textId="77777777" w:rsidR="00403A32" w:rsidRDefault="00403A32" w:rsidP="00403A32">
      <w:pPr>
        <w:pStyle w:val="Leipteksti"/>
      </w:pPr>
      <w:r>
        <w:t>Tunnistuslain 24.5 §</w:t>
      </w:r>
      <w:r w:rsidRPr="009C035F">
        <w:rPr>
          <w:i/>
        </w:rPr>
        <w:t>:n mukaan tunnistuspalvelun tarjoaja saa käsitellä tallennettuja tietoja ainoastaan palvelun toteuttamiseksi ja ylläpitämiseksi, laskutusta varten, omien oikeuksiensa turvaamista varten riitatilanteissa, väärinkäytöstilanteiden selvittämisessä sekä tunnistuspalvelua käyttävän palveluntarjoajan tai tunnistusvälineen haltijan pyynnöstä. Tunnistuspalvelun tarjoajan on tallennettava tieto käsittelyn ajankohdasta, syystä ja käsittelijästä.</w:t>
      </w:r>
    </w:p>
    <w:p w14:paraId="5DB86742" w14:textId="77777777" w:rsidR="00403A32" w:rsidRDefault="00403A32" w:rsidP="00403A32">
      <w:pPr>
        <w:pStyle w:val="Leipteksti"/>
      </w:pPr>
      <w:r>
        <w:t>Sopijapuolet toimivat yhteistyössä tunnistamistapahtumiin liittyvien virhetilanteiden ja väärinkäytösten selvittämiseksi. Selvittämismenettely akuuteissa tietoturvahäiriöissä tai vikatilanteissa eroaa jälkikäteisestä virheiden tai väärinkäytösten selvittämisestä. Sopijapuolten on hyvä sopia vähintään yhteystiedoista virhe- ja väärinkäytöstilanteiden selvittämisessä, jos tiedot eroavat akuuttien tilanteiden hoitamisesta.</w:t>
      </w:r>
    </w:p>
    <w:p w14:paraId="065E35EF" w14:textId="77777777" w:rsidR="00403A32" w:rsidRDefault="00403A32" w:rsidP="009C035F">
      <w:pPr>
        <w:pStyle w:val="Sisennys"/>
      </w:pPr>
      <w:r>
        <w:t xml:space="preserve">Esimerkiksi selvitettäväksi voi tulla tilanne, jossa henkilöllä on sekä oikeita että vääriä tunnistusvälineitä, koska hänet on ensitunnistettu toisia välineitä varten oikein ja toisia varten virheellisesti. Väärät tunnistusvälineet pitäisi pystyä saamaan pois henkilöltä siten, että pystytään säilyttämän oikeat tunnistusvälineet edelleen voimassa. Pelkkä henkilötunnukseen pohjautuvat tunnistusvälineiden sulkeminen ei toimi tällaisessa tilanteessa, vaan tarvitaan koko luottamusverkoston yhteistyötä. </w:t>
      </w:r>
    </w:p>
    <w:p w14:paraId="6747B4F7" w14:textId="77777777" w:rsidR="00403A32" w:rsidRDefault="00403A32" w:rsidP="00403A32">
      <w:pPr>
        <w:pStyle w:val="Otsikko3"/>
      </w:pPr>
      <w:bookmarkStart w:id="34" w:name="_Toc486338005"/>
      <w:bookmarkStart w:id="35" w:name="_Toc51941439"/>
      <w:r>
        <w:t>Viranomaiselle tehtävät häiriöilmoitukset</w:t>
      </w:r>
      <w:bookmarkEnd w:id="34"/>
      <w:bookmarkEnd w:id="35"/>
    </w:p>
    <w:p w14:paraId="44F648D6" w14:textId="070BD634" w:rsidR="00403A32" w:rsidRDefault="0000775A" w:rsidP="00403A32">
      <w:pPr>
        <w:pStyle w:val="Leipteksti"/>
      </w:pPr>
      <w:r>
        <w:t>Liikenne- ja viestintävirasto</w:t>
      </w:r>
      <w:r w:rsidR="00403A32">
        <w:t>lle tehtävistä häiriöilmoituksista säädetään tunnistuslain 16.1 §:ssä ja niistä määrätään tarkemmin Viestintäviraston määräyksessä 72</w:t>
      </w:r>
      <w:r w:rsidR="002D0DA1">
        <w:t> </w:t>
      </w:r>
      <w:r w:rsidR="00403A32">
        <w:t>A, sen 11 §:</w:t>
      </w:r>
      <w:proofErr w:type="spellStart"/>
      <w:r w:rsidR="00403A32">
        <w:t>ssä</w:t>
      </w:r>
      <w:proofErr w:type="spellEnd"/>
      <w:r w:rsidR="00403A32">
        <w:t>. Määräyksen perusteluissa annetaan soveltamisohjeita ilmoittamisesta. Viraston verkkosivuilla on sähköinen lomake häiriöilmoituksen tekemistä varten.</w:t>
      </w:r>
    </w:p>
    <w:p w14:paraId="3755232B" w14:textId="2C5778EF" w:rsidR="00403A32" w:rsidRDefault="0000775A" w:rsidP="00403A32">
      <w:pPr>
        <w:pStyle w:val="Leipteksti"/>
      </w:pPr>
      <w:r>
        <w:t>Liikenne- ja viestintävirasto</w:t>
      </w:r>
      <w:r w:rsidR="00403A32">
        <w:t xml:space="preserve"> käsittelee saamiensa häiriöilmoitusten tietoja viranomaisten toiminnan julkisuudesta annetun lain mukaisesti. Julkisuuslain 24.1 §:n mukaan mm. liikesalaisuudet ja verkkoturvallisuutta koskevat tiedot ovat salassa pidettäviä. Salassa pidettävien tietojen luovuttaminen edellyttää aina asianosaisen kuulemista ja suostumusta tai laissa säädettyjen luovutusperusteiden täyttymistä ja asia on intressiristiriitatilanteessa ratkaistava valituskelpoisella hallintopäätöksellä.  </w:t>
      </w:r>
    </w:p>
    <w:p w14:paraId="5832F1E6" w14:textId="77777777" w:rsidR="00403A32" w:rsidRDefault="00403A32" w:rsidP="00403A32">
      <w:pPr>
        <w:pStyle w:val="Otsikko2"/>
      </w:pPr>
      <w:bookmarkStart w:id="36" w:name="_Toc486338006"/>
      <w:bookmarkStart w:id="37" w:name="_Toc51941440"/>
      <w:r>
        <w:lastRenderedPageBreak/>
        <w:t>Käytettävyys</w:t>
      </w:r>
      <w:bookmarkEnd w:id="36"/>
      <w:bookmarkEnd w:id="37"/>
      <w:r>
        <w:t xml:space="preserve"> </w:t>
      </w:r>
    </w:p>
    <w:p w14:paraId="3576F71F" w14:textId="77777777" w:rsidR="00403A32" w:rsidRDefault="00403A32" w:rsidP="00403A32">
      <w:pPr>
        <w:pStyle w:val="Leipteksti"/>
      </w:pPr>
      <w:r>
        <w:t xml:space="preserve">Tunnistuslaissa tai sen nojalla annetuissa säädöksissä ei säädetä tai määrätä erityisiä vaatimuksia palvelun käytettävyydelle lukuun ottamatta sulkupalvelua koskevaa tunnistuslain 25.2 §:n vaatimusta, jonka mukaan </w:t>
      </w:r>
      <w:r w:rsidRPr="00463CF5">
        <w:rPr>
          <w:i/>
        </w:rPr>
        <w:t>tunnistusvälineen tarjoajan on tarjottava mahdollisuus tehdä 1 momentissa tarkoitettu ilmoitus milloin tahansa</w:t>
      </w:r>
      <w:r>
        <w:t xml:space="preserve">. </w:t>
      </w:r>
    </w:p>
    <w:p w14:paraId="2FF32FB0" w14:textId="7A5C4040" w:rsidR="00403A32" w:rsidRDefault="0051544F" w:rsidP="00403A32">
      <w:pPr>
        <w:pStyle w:val="Leipteksti"/>
      </w:pPr>
      <w:r w:rsidRPr="0051544F">
        <w:t xml:space="preserve">Tunnistuslain </w:t>
      </w:r>
      <w:r>
        <w:t>12 b §:n 5 kohdan mukaan toimitusehdoissa on kuvattava tarjottu palvelutaso.</w:t>
      </w:r>
      <w:r w:rsidR="00403A32">
        <w:t xml:space="preserve"> Sopijapuolen tunnistuspalvelun toteuttamisessa luottamusverkoston teknisen kokonaisuuden käytettävyydellä on olennainen merkitys.</w:t>
      </w:r>
      <w:r w:rsidRPr="0051544F">
        <w:t xml:space="preserve"> </w:t>
      </w:r>
    </w:p>
    <w:p w14:paraId="1F793B19" w14:textId="02FDE020" w:rsidR="00403A32" w:rsidRDefault="00403A32" w:rsidP="00403A32">
      <w:pPr>
        <w:pStyle w:val="Leipteksti"/>
      </w:pPr>
      <w:r>
        <w:t xml:space="preserve">Ellei säännöksissä muuta edellytetä (kuten sulkulistapalvelun saavutettavuus), palvelutaso voidaan tarkemmin määrittää tunnistusvälineen tarjoajan julkaisemissa </w:t>
      </w:r>
      <w:r w:rsidR="0051544F">
        <w:t>toimitus</w:t>
      </w:r>
      <w:r>
        <w:t xml:space="preserve">ehdoissa. Palvelutason määrittämisessä tunnistusvälineen tarjoajan on kuitenkin kohdeltava kaikkia sopimuskumppaneita tasapuolisesti ja syrjimättömästi. </w:t>
      </w:r>
      <w:r w:rsidR="0051544F" w:rsidRPr="0051544F">
        <w:t>Syrjimättömyysvaatimuksen takia palvelutason on oltava sama kaikille välityspalveluille, myös tunnistusvälineen tarjoajan omalle välityspalvelulle</w:t>
      </w:r>
      <w:r w:rsidR="0051544F">
        <w:t xml:space="preserve"> (HE 264/2018)</w:t>
      </w:r>
      <w:r w:rsidR="0051544F" w:rsidRPr="0051544F">
        <w:t>.</w:t>
      </w:r>
    </w:p>
    <w:p w14:paraId="0F9E2561" w14:textId="08C0B6C7" w:rsidR="00E618B6" w:rsidRDefault="00403A32" w:rsidP="00403A32">
      <w:pPr>
        <w:pStyle w:val="Leipteksti"/>
      </w:pPr>
      <w:r>
        <w:t xml:space="preserve">Tunnistuspalvelun muutostyöt voivat vaikuttaa muiden luottamusverkoston toimijoiden palveluihin. </w:t>
      </w:r>
      <w:r w:rsidR="009A56CA" w:rsidRPr="009A56CA">
        <w:t>Tunnistuslain 12a.4 §:n mukaan tunnistuspalvelun tarjoajan on toteutettava ylläpito-, muutos- ja tietoturvatoimenpiteet muille tunnistuspalvelun tarjoajille, käyttäjille ja luottaville osapuolille mahdollisimman vähän haittaa aiheuttavalla tavalla</w:t>
      </w:r>
      <w:r>
        <w:t xml:space="preserve">. </w:t>
      </w:r>
    </w:p>
    <w:p w14:paraId="1C5021ED" w14:textId="15E35C1F" w:rsidR="00403A32" w:rsidRDefault="00E618B6" w:rsidP="00403A32">
      <w:pPr>
        <w:pStyle w:val="Leipteksti"/>
      </w:pPr>
      <w:r>
        <w:rPr>
          <w:noProof/>
          <w:lang w:eastAsia="fi-FI"/>
        </w:rPr>
        <mc:AlternateContent>
          <mc:Choice Requires="wps">
            <w:drawing>
              <wp:inline distT="0" distB="0" distL="0" distR="0" wp14:anchorId="4E51BDD8" wp14:editId="30ECE43B">
                <wp:extent cx="5569527" cy="1404620"/>
                <wp:effectExtent l="0" t="0" r="12700" b="152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5721E42F" w14:textId="62B603C8" w:rsidR="00017634" w:rsidRDefault="009A56CA" w:rsidP="00E618B6">
                            <w:pPr>
                              <w:pStyle w:val="Kommentinteksti"/>
                            </w:pPr>
                            <w:r>
                              <w:t>Poistettu vanha kohta ja korvattu lakiviittauksella. Vanha kohta kuului näin:</w:t>
                            </w:r>
                          </w:p>
                          <w:p w14:paraId="05FC75D2" w14:textId="498FCB36" w:rsidR="009A56CA" w:rsidRDefault="009A56CA" w:rsidP="00E618B6">
                            <w:pPr>
                              <w:pStyle w:val="Kommentinteksti"/>
                            </w:pPr>
                          </w:p>
                          <w:p w14:paraId="714B6E01" w14:textId="7645FCF1" w:rsidR="00017634" w:rsidRPr="009A56CA" w:rsidRDefault="009A56CA" w:rsidP="00E618B6">
                            <w:pPr>
                              <w:rPr>
                                <w:szCs w:val="20"/>
                              </w:rPr>
                            </w:pPr>
                            <w:r w:rsidRPr="009A56CA">
                              <w:rPr>
                                <w:szCs w:val="20"/>
                              </w:rPr>
                              <w:t>Tunnistuspalvelun muutostyöt voivat vaikuttaa muiden luottamusverkoston toimijoiden palveluihin. Sopijapuolten on hyvä sopia siitä, että ne huomioivat huolto- ja muutostöiden suunnitellussa ja toteutuksessa vaikutukset muihin luottamusverkoston toimijoihin. Sopijapuolten on hyvä sopia siitä, että ne tekevät huolto- ja muutostoimet siten ja sellaiseen aikaan, että palvelun keskeytys on niin lyhyt ja vaikutuksiltaa</w:t>
                            </w:r>
                            <w:r>
                              <w:rPr>
                                <w:szCs w:val="20"/>
                              </w:rPr>
                              <w:t xml:space="preserve">n niin pieni kuin mahdollista. </w:t>
                            </w:r>
                          </w:p>
                        </w:txbxContent>
                      </wps:txbx>
                      <wps:bodyPr rot="0" vert="horz" wrap="square" lIns="91440" tIns="45720" rIns="91440" bIns="45720" anchor="t" anchorCtr="0">
                        <a:spAutoFit/>
                      </wps:bodyPr>
                    </wps:wsp>
                  </a:graphicData>
                </a:graphic>
              </wp:inline>
            </w:drawing>
          </mc:Choice>
          <mc:Fallback>
            <w:pict>
              <v:shape w14:anchorId="4E51BDD8" id="_x0000_s1030"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CG1njhGAgAA&#10;hwQAAA4AAAAAAAAAAAAAAAAALgIAAGRycy9lMm9Eb2MueG1sUEsBAi0AFAAGAAgAAAAhALYdqbPd&#10;AAAABQEAAA8AAAAAAAAAAAAAAAAAoAQAAGRycy9kb3ducmV2LnhtbFBLBQYAAAAABAAEAPMAAACq&#10;BQAAAAA=&#10;" fillcolor="#b4fcfe [671]">
                <v:textbox style="mso-fit-shape-to-text:t">
                  <w:txbxContent>
                    <w:p w14:paraId="5721E42F" w14:textId="62B603C8" w:rsidR="00017634" w:rsidRDefault="009A56CA" w:rsidP="00E618B6">
                      <w:pPr>
                        <w:pStyle w:val="CommentText"/>
                      </w:pPr>
                      <w:r>
                        <w:t>Poistettu vanha kohta ja korvattu lakiviittauksella. Vanha kohta kuului näin:</w:t>
                      </w:r>
                    </w:p>
                    <w:p w14:paraId="05FC75D2" w14:textId="498FCB36" w:rsidR="009A56CA" w:rsidRDefault="009A56CA" w:rsidP="00E618B6">
                      <w:pPr>
                        <w:pStyle w:val="CommentText"/>
                      </w:pPr>
                    </w:p>
                    <w:p w14:paraId="714B6E01" w14:textId="7645FCF1" w:rsidR="00017634" w:rsidRPr="009A56CA" w:rsidRDefault="009A56CA" w:rsidP="00E618B6">
                      <w:pPr>
                        <w:rPr>
                          <w:szCs w:val="20"/>
                        </w:rPr>
                      </w:pPr>
                      <w:r w:rsidRPr="009A56CA">
                        <w:rPr>
                          <w:szCs w:val="20"/>
                        </w:rPr>
                        <w:t>Tunnistuspalvelun muutostyöt voivat vaikuttaa muiden luottamusverkoston toimijoiden palveluihin. Sopijapuolten on hyvä sopia siitä, että ne huomioivat huolto- ja muutostöiden suunnitellussa ja toteutuksessa vaikutukset muihin luottamusverkoston toimijoihin. Sopijapuolten on hyvä sopia siitä, että ne tekevät huolto- ja muutostoimet siten ja sellaiseen aikaan, että palvelun keskeytys on niin lyhyt ja vaikutuksiltaa</w:t>
                      </w:r>
                      <w:r>
                        <w:rPr>
                          <w:szCs w:val="20"/>
                        </w:rPr>
                        <w:t xml:space="preserve">n niin pieni kuin mahdollista. </w:t>
                      </w:r>
                    </w:p>
                  </w:txbxContent>
                </v:textbox>
                <w10:anchorlock/>
              </v:shape>
            </w:pict>
          </mc:Fallback>
        </mc:AlternateContent>
      </w:r>
    </w:p>
    <w:p w14:paraId="493243A2" w14:textId="57FACC7F" w:rsidR="00403A32" w:rsidRDefault="00403A32" w:rsidP="00403A32">
      <w:pPr>
        <w:pStyle w:val="Leipteksti"/>
      </w:pPr>
      <w:r>
        <w:t xml:space="preserve">Huolto- ja muutostoimia koskevien sopimusehtojen on oltava kuluttajan kannalta kohtuullisia. Kuluttajansuojalain noudattamisen valvonta ei kuulu </w:t>
      </w:r>
      <w:r w:rsidR="0000775A">
        <w:t>Liikenne- ja viestintävirasto</w:t>
      </w:r>
      <w:r>
        <w:t>lle, vaan sitä valvoo kuluttaja-asiamies.</w:t>
      </w:r>
    </w:p>
    <w:p w14:paraId="28598315" w14:textId="77777777" w:rsidR="00403A32" w:rsidRDefault="00403A32" w:rsidP="00403A32">
      <w:pPr>
        <w:pStyle w:val="Otsikko2"/>
      </w:pPr>
      <w:bookmarkStart w:id="38" w:name="_Toc486338007"/>
      <w:bookmarkStart w:id="39" w:name="_Toc51941441"/>
      <w:r>
        <w:t>Luottamusverkoston teknisen kokonaisuuden käyttöön liittyvät maksut</w:t>
      </w:r>
      <w:bookmarkEnd w:id="38"/>
      <w:bookmarkEnd w:id="39"/>
    </w:p>
    <w:p w14:paraId="0D067F52" w14:textId="1A89747D" w:rsidR="00403A32" w:rsidRDefault="00403A32" w:rsidP="00403A32">
      <w:pPr>
        <w:pStyle w:val="Leipteksti"/>
      </w:pPr>
      <w:r>
        <w:t xml:space="preserve">Luottamusverkoston teknisessä kokonaisuudessa välitetään tunnistustapahtumia sopijapuolten välillä. Sopijapuolet palvelevat omia tunnistusvälineen haltijoitaan ja sopimuskumppaneina olevia asiointipalveluita. </w:t>
      </w:r>
    </w:p>
    <w:p w14:paraId="5DE6413D" w14:textId="5123489B" w:rsidR="00E618B6" w:rsidRDefault="009A56CA" w:rsidP="009A56CA">
      <w:pPr>
        <w:pStyle w:val="Leipteksti"/>
      </w:pPr>
      <w:r w:rsidRPr="009A56CA">
        <w:t>Sopijapuolten välillä myönnetään tunnistuspalvelun käyttöoikeus, ja välityspalvelun tarjoaja välittää toisen sopijapuolen myöntämään tunnistusvälineeseen perustuvia tunnistustapahtumia</w:t>
      </w:r>
      <w:r w:rsidR="00403A32">
        <w:t xml:space="preserve">. Tällöin tunnistusvälineen tarjoaja voi veloittaa sovitun maksun sopijapuolelta, jonka asiakas asiointipalvelu on. Välitettävästä tunnistetiedosta perittävästä korvauksesta säädetään tunnistuslain 12 </w:t>
      </w:r>
      <w:r w:rsidR="00D85420">
        <w:t xml:space="preserve">c </w:t>
      </w:r>
      <w:r w:rsidR="00403A32">
        <w:t>§:</w:t>
      </w:r>
      <w:proofErr w:type="spellStart"/>
      <w:r w:rsidR="00403A32">
        <w:t>ssä</w:t>
      </w:r>
      <w:proofErr w:type="spellEnd"/>
      <w:r w:rsidR="00403A32">
        <w:t xml:space="preserve">. </w:t>
      </w:r>
      <w:r w:rsidR="00D85420" w:rsidRPr="00D85420">
        <w:t xml:space="preserve">Tunnistusvälityspalvelun tarjoajan on suoritettava tunnistuspalvelun käyttöoikeudesta korvaus, joka on enintään 3 senttiä edelleen välitettävältä tunnistustapahtumalta. Korvaus kattaa kaikki sähköiseen tunnistusvälineeseen liittyvät henkilön tunnistetiedot. </w:t>
      </w:r>
      <w:r w:rsidR="00D85420">
        <w:t>H</w:t>
      </w:r>
      <w:r w:rsidR="00D85420" w:rsidRPr="00D85420">
        <w:t>innan määräytymisen perusteiden tulee olla kaikille osapuolille sama</w:t>
      </w:r>
      <w:r w:rsidR="00D85420">
        <w:t xml:space="preserve"> (HE 264/2018).</w:t>
      </w:r>
      <w:r>
        <w:t xml:space="preserve"> </w:t>
      </w:r>
      <w:r w:rsidRPr="009A56CA">
        <w:rPr>
          <w:u w:val="single"/>
        </w:rPr>
        <w:t>Myös kiinteähintaiset sopimukset ovat mahdollisia, mutta tällöinkin tulee varmistaa, ettei keskimääräinen korvaus tunnistustapahtumasta ylitä lain mukaista enimmäishintaa.</w:t>
      </w:r>
      <w:r w:rsidR="009C5D49">
        <w:rPr>
          <w:u w:val="single"/>
        </w:rPr>
        <w:t xml:space="preserve"> </w:t>
      </w:r>
      <w:r w:rsidR="009C5D49" w:rsidRPr="009C5D49">
        <w:rPr>
          <w:u w:val="single"/>
        </w:rPr>
        <w:t>T</w:t>
      </w:r>
      <w:r w:rsidR="009C5D49">
        <w:rPr>
          <w:u w:val="single"/>
        </w:rPr>
        <w:t>ällaistakin hinnoittelua koskee</w:t>
      </w:r>
      <w:r w:rsidR="009C5D49" w:rsidRPr="009C5D49">
        <w:rPr>
          <w:u w:val="single"/>
        </w:rPr>
        <w:t xml:space="preserve"> kohtuullisuuden ja syrjimättömyyden </w:t>
      </w:r>
      <w:r w:rsidR="009C5D49" w:rsidRPr="009C5D49">
        <w:rPr>
          <w:u w:val="single"/>
        </w:rPr>
        <w:lastRenderedPageBreak/>
        <w:t>vaatimus</w:t>
      </w:r>
      <w:r w:rsidR="009C5D49">
        <w:rPr>
          <w:u w:val="single"/>
        </w:rPr>
        <w:t xml:space="preserve"> ja</w:t>
      </w:r>
      <w:r w:rsidR="009C5D49" w:rsidRPr="009C5D49">
        <w:rPr>
          <w:u w:val="single"/>
        </w:rPr>
        <w:t xml:space="preserve"> </w:t>
      </w:r>
      <w:r w:rsidR="009C5D49">
        <w:rPr>
          <w:u w:val="single"/>
        </w:rPr>
        <w:t>t</w:t>
      </w:r>
      <w:r w:rsidR="009C5D49" w:rsidRPr="009C5D49">
        <w:rPr>
          <w:u w:val="single"/>
        </w:rPr>
        <w:t>oim</w:t>
      </w:r>
      <w:r w:rsidR="009C5D49">
        <w:rPr>
          <w:u w:val="single"/>
        </w:rPr>
        <w:t>itusehdoissa tulee</w:t>
      </w:r>
      <w:r w:rsidR="009C5D49" w:rsidRPr="009C5D49">
        <w:rPr>
          <w:u w:val="single"/>
        </w:rPr>
        <w:t xml:space="preserve"> ilmoittaa hinnoittelumallin perusteet.</w:t>
      </w:r>
      <w:r>
        <w:t xml:space="preserve"> </w:t>
      </w:r>
      <w:r w:rsidR="00403A32">
        <w:t xml:space="preserve">Enimmäishinta koskee vain </w:t>
      </w:r>
      <w:r w:rsidR="00403A32" w:rsidRPr="00004A59">
        <w:t>tunnistuspalvelun tarjoajan välittämää tietoa varsinai</w:t>
      </w:r>
      <w:r w:rsidR="00403A32" w:rsidRPr="00AA38B8">
        <w:t>selle tunnistusvälityspalvelun tarjoajalle. Sen sijaan tunnistuspalvelun toimittaessa tunnistustietoa luottamusverkoston ulkopuolelle, suoraan sen sopimuskumppanina olevalle asiointipalvelulle, katto</w:t>
      </w:r>
      <w:r w:rsidR="00403A32">
        <w:t xml:space="preserve">hinta ei ole voimassa, </w:t>
      </w:r>
      <w:r w:rsidR="00403A32" w:rsidRPr="0012488D">
        <w:t>vaan tilanteessa noudatetaan näiden osapuolten sopimaa hintaa</w:t>
      </w:r>
      <w:r>
        <w:t>.</w:t>
      </w:r>
    </w:p>
    <w:p w14:paraId="6177C1AA" w14:textId="46CB1C73" w:rsidR="00E618B6" w:rsidRDefault="00E618B6" w:rsidP="00403A32">
      <w:pPr>
        <w:pStyle w:val="Leipteksti"/>
      </w:pPr>
      <w:r>
        <w:rPr>
          <w:noProof/>
          <w:lang w:eastAsia="fi-FI"/>
        </w:rPr>
        <mc:AlternateContent>
          <mc:Choice Requires="wps">
            <w:drawing>
              <wp:inline distT="0" distB="0" distL="0" distR="0" wp14:anchorId="790F4B6E" wp14:editId="5ACDAB21">
                <wp:extent cx="5569527" cy="1404620"/>
                <wp:effectExtent l="0" t="0" r="12700" b="152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4A0B6A92" w14:textId="0DEB5390" w:rsidR="00017634" w:rsidRPr="009C5D49" w:rsidRDefault="009C5D49" w:rsidP="009C5D49">
                            <w:pPr>
                              <w:pStyle w:val="Kommentinteksti"/>
                            </w:pPr>
                            <w:r>
                              <w:t>Lisätty kiinteähintaisia sopimuksia koskeva kohta.</w:t>
                            </w:r>
                          </w:p>
                        </w:txbxContent>
                      </wps:txbx>
                      <wps:bodyPr rot="0" vert="horz" wrap="square" lIns="91440" tIns="45720" rIns="91440" bIns="45720" anchor="t" anchorCtr="0">
                        <a:spAutoFit/>
                      </wps:bodyPr>
                    </wps:wsp>
                  </a:graphicData>
                </a:graphic>
              </wp:inline>
            </w:drawing>
          </mc:Choice>
          <mc:Fallback>
            <w:pict>
              <v:shape w14:anchorId="790F4B6E" id="_x0000_s1031"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JayI55GAgAA&#10;hwQAAA4AAAAAAAAAAAAAAAAALgIAAGRycy9lMm9Eb2MueG1sUEsBAi0AFAAGAAgAAAAhALYdqbPd&#10;AAAABQEAAA8AAAAAAAAAAAAAAAAAoAQAAGRycy9kb3ducmV2LnhtbFBLBQYAAAAABAAEAPMAAACq&#10;BQAAAAA=&#10;" fillcolor="#b4fcfe [671]">
                <v:textbox style="mso-fit-shape-to-text:t">
                  <w:txbxContent>
                    <w:p w14:paraId="4A0B6A92" w14:textId="0DEB5390" w:rsidR="00017634" w:rsidRPr="009C5D49" w:rsidRDefault="009C5D49" w:rsidP="009C5D49">
                      <w:pPr>
                        <w:pStyle w:val="CommentText"/>
                      </w:pPr>
                      <w:r>
                        <w:t>Lisätty kiinteähintaisia sopimuksia koskeva kohta.</w:t>
                      </w:r>
                    </w:p>
                  </w:txbxContent>
                </v:textbox>
                <w10:anchorlock/>
              </v:shape>
            </w:pict>
          </mc:Fallback>
        </mc:AlternateContent>
      </w:r>
    </w:p>
    <w:p w14:paraId="341B79B9" w14:textId="77777777" w:rsidR="00403A32" w:rsidRDefault="00403A32" w:rsidP="00403A32">
      <w:pPr>
        <w:pStyle w:val="Leipteksti"/>
      </w:pPr>
      <w:r>
        <w:t>Luottamusverkostoasetuksen 1.2 §:n mukaan luottamusverkostoon kuuluvat tunnistuspalvelun tarjoajat voivat sopia tunnistuslain 12 a §:n 3 momentissa tarkoitetun tunnistetiedon veloituksen välittämiseen tarvittavasta tai muusta luottamusverkoston toiminnassa tarpeellisesta rajapinnasta.</w:t>
      </w:r>
    </w:p>
    <w:p w14:paraId="1D197FE2" w14:textId="6AEC6FEB" w:rsidR="00403A32" w:rsidRDefault="00403A32" w:rsidP="00403A32">
      <w:pPr>
        <w:pStyle w:val="Leipteksti"/>
      </w:pPr>
      <w:r>
        <w:t>Sopijapuolet voivat tarjota toisilleen palvelua tunnistusvälineen luomiseen (nk. ensitunnist</w:t>
      </w:r>
      <w:r w:rsidR="00D85420">
        <w:t>amisen ketjuttaminen</w:t>
      </w:r>
      <w:r>
        <w:t xml:space="preserve">). Tällöin sopijapuoli käyttää toisen sopijapuolen myöntämää tunnistusvälinettä uuden tunnistusvälineen antamiseen tunnistusvälineen haltijalle. Ensitunnistamisen ketjutuksesta voidaan sopia samassa tai eri sopimuksessa kuin tunnistuksen välittämisestä. </w:t>
      </w:r>
    </w:p>
    <w:p w14:paraId="764BB420" w14:textId="77777777" w:rsidR="00403A32" w:rsidRDefault="00403A32" w:rsidP="00403A32">
      <w:pPr>
        <w:pStyle w:val="Leipteksti"/>
      </w:pPr>
      <w:r>
        <w:t>Sopijapuolet kehittävät ja tuotteistavat omat tunnistuspalvelunsa sekä määrittävät itsenäisesti käyttöehdot ja muut sopimusehdot sekä hinnat omille asiakkailleen näiden kanssa tekemissään sopimuksissa.</w:t>
      </w:r>
    </w:p>
    <w:p w14:paraId="514A2436" w14:textId="77777777" w:rsidR="00403A32" w:rsidRDefault="00403A32" w:rsidP="00403A32">
      <w:pPr>
        <w:pStyle w:val="Otsikko2"/>
      </w:pPr>
      <w:bookmarkStart w:id="40" w:name="_Toc486338008"/>
      <w:bookmarkStart w:id="41" w:name="_Toc51941442"/>
      <w:r>
        <w:t>Välineiden käyttörajoitukset</w:t>
      </w:r>
      <w:bookmarkEnd w:id="40"/>
      <w:r>
        <w:t xml:space="preserve"> </w:t>
      </w:r>
      <w:bookmarkEnd w:id="41"/>
    </w:p>
    <w:p w14:paraId="245C1DBC" w14:textId="39602AE1" w:rsidR="00403A32" w:rsidRDefault="00403A32" w:rsidP="00403A32">
      <w:pPr>
        <w:pStyle w:val="Leipteksti"/>
      </w:pPr>
      <w:r>
        <w:t>Tunnistusvälineen tarjoaja voi asettaa välineelle sekä sopimusperusteisia että teknisiä käyttörajoituksia (tunnistuslaki 18 §). Tunnistuspalvelun tarjoajan tulee kuitenkin kohdella asiakkaitaan syrjimättä ja tunnistusvälineiden hakijoita tasapuolisesti sopimuksen tekemisen yhteydessä (tunnistuslaki 20 §). Välineiden mahdollisista käyttörajoituksista on sovittava sopijapuolten välisissä sopimuksissa. Tunnistuspalvelun tarjoajan on huolehdittava siitä, että estot tai rajoitukset ovat kaikkien osapuolten tiedossa tai havaittavissa helpolla tavalla.</w:t>
      </w:r>
      <w:r w:rsidR="00555B18" w:rsidRPr="00555B18">
        <w:t xml:space="preserve"> Estot tai rajoitukset eivät saa kohdistua yksittäisiin palveluntarjoajiin, eivätkä ne saa riippua siitä, mikä tunnistusvälityspalvelun tarjoaja välittää tunnistustapahtuman.</w:t>
      </w:r>
    </w:p>
    <w:p w14:paraId="7CED8145" w14:textId="06EB805B" w:rsidR="00403A32" w:rsidRPr="00F71132" w:rsidRDefault="00403A32" w:rsidP="00403A32">
      <w:pPr>
        <w:pStyle w:val="Leipteksti"/>
      </w:pPr>
      <w:r>
        <w:t xml:space="preserve">Lainsäätäjän tahtotila on saada markkinoille </w:t>
      </w:r>
      <w:proofErr w:type="spellStart"/>
      <w:r>
        <w:t>yleis</w:t>
      </w:r>
      <w:proofErr w:type="spellEnd"/>
      <w:r>
        <w:t xml:space="preserve">- ja laajakäyttöisiä tunnistusvälineitä, jotka käyvät kaikenlaiseen asiointiin. Tunnistusvälineitä voidaan pitää tietoyhteiskunnan peruspalveluina (ks. mm. </w:t>
      </w:r>
      <w:proofErr w:type="spellStart"/>
      <w:r>
        <w:t>LiV</w:t>
      </w:r>
      <w:proofErr w:type="spellEnd"/>
      <w:r>
        <w:t xml:space="preserve"> 12/2009 ja </w:t>
      </w:r>
      <w:proofErr w:type="spellStart"/>
      <w:r>
        <w:t>LiV</w:t>
      </w:r>
      <w:proofErr w:type="spellEnd"/>
      <w:r>
        <w:t xml:space="preserve"> 33/2014). Yleiskäyttöisyydestä poikkeaville rajoituksille on oltava perusteltu tarve eikä rajoituksia saa käyttää enempää kuin on oikeassa suhteessa poikkeamisen oikeuttavan perustellun tarpeen saavuttamiseksi. Käyttörajoituksilla ei saa tarkoituksellisesti estää laillisen liiketo</w:t>
      </w:r>
      <w:r w:rsidRPr="00F71132">
        <w:t>iminnan harjoittamista.</w:t>
      </w:r>
    </w:p>
    <w:p w14:paraId="23CE4492" w14:textId="67DE679F" w:rsidR="00E618B6" w:rsidRPr="00F71132" w:rsidRDefault="00F71E95" w:rsidP="00F71E95">
      <w:pPr>
        <w:pStyle w:val="Leipteksti"/>
      </w:pPr>
      <w:r>
        <w:t>H</w:t>
      </w:r>
      <w:r w:rsidR="00403A32" w:rsidRPr="00F71132">
        <w:t xml:space="preserve">enkilötietojen käsittelyn periaatteet on määritelty </w:t>
      </w:r>
      <w:r w:rsidR="00403A32">
        <w:t>tietosuojaa koskevassa liitteessä</w:t>
      </w:r>
      <w:r w:rsidR="00403A32" w:rsidRPr="00F71132">
        <w:t>.</w:t>
      </w:r>
    </w:p>
    <w:p w14:paraId="184140A9" w14:textId="77777777" w:rsidR="00403A32" w:rsidRDefault="00403A32" w:rsidP="00403A32">
      <w:pPr>
        <w:pStyle w:val="Otsikko2"/>
      </w:pPr>
      <w:bookmarkStart w:id="42" w:name="_Toc486338009"/>
      <w:bookmarkStart w:id="43" w:name="_Toc51941443"/>
      <w:r>
        <w:t>Tavaramerkkien käyttö</w:t>
      </w:r>
      <w:bookmarkEnd w:id="42"/>
      <w:bookmarkEnd w:id="43"/>
    </w:p>
    <w:p w14:paraId="1A5A49A5" w14:textId="40F11BEE" w:rsidR="00403A32" w:rsidRDefault="00C94128" w:rsidP="00403A32">
      <w:pPr>
        <w:pStyle w:val="Leipteksti"/>
      </w:pPr>
      <w:r>
        <w:t>Toimitusehdoissa määrätään</w:t>
      </w:r>
      <w:r w:rsidR="00403A32">
        <w:t xml:space="preserve"> tavaramerkkien esittämisestä luottamusverkostossa</w:t>
      </w:r>
      <w:r w:rsidRPr="00C94128">
        <w:t xml:space="preserve"> </w:t>
      </w:r>
      <w:r>
        <w:t>ja muiden immateriaalioikeuksien käytön ehdoista</w:t>
      </w:r>
      <w:r w:rsidR="00403A32">
        <w:t xml:space="preserve">. Tunnistusvälityspalvelulla on oikeus sopia asiointipalvelun kanssa siitä, että asiointipalvelussa käytettävissä olevien tunnistusvälineiden tavaramerkit näkyvät asiointipalvelussa. </w:t>
      </w:r>
    </w:p>
    <w:p w14:paraId="14C805E7" w14:textId="6EFCE65B" w:rsidR="00403A32" w:rsidRDefault="00403A32" w:rsidP="00403A32">
      <w:pPr>
        <w:pStyle w:val="Leipteksti"/>
      </w:pPr>
      <w:r>
        <w:t xml:space="preserve">Logot tulee esittää sellaisena kuin tavaramerkin haltija itse ne </w:t>
      </w:r>
      <w:proofErr w:type="gramStart"/>
      <w:r>
        <w:t>esittää</w:t>
      </w:r>
      <w:proofErr w:type="gramEnd"/>
      <w:r>
        <w:t xml:space="preserve"> tai </w:t>
      </w:r>
      <w:r w:rsidR="00C94128">
        <w:t xml:space="preserve">toimitusehdoissa </w:t>
      </w:r>
      <w:r>
        <w:t xml:space="preserve">edellyttää. Tavaramerkkien </w:t>
      </w:r>
      <w:r w:rsidR="00C94128">
        <w:t xml:space="preserve">käytössä </w:t>
      </w:r>
      <w:r>
        <w:t xml:space="preserve">on noudatettava kaikkea tavaramerkkien käyttöä koskevaa lainsäädäntöä. </w:t>
      </w:r>
    </w:p>
    <w:p w14:paraId="589722EB" w14:textId="77777777" w:rsidR="00403A32" w:rsidRDefault="00403A32" w:rsidP="00403A32">
      <w:pPr>
        <w:pStyle w:val="Leipteksti"/>
      </w:pPr>
      <w:r>
        <w:lastRenderedPageBreak/>
        <w:t>Tunnistusvälineen tarjoajalla on oikeus edellyttää, että tunnistusvälityspalvelu tarjoaja varmistaa sopimuksissaan, että asiointipalvelu ei saa oikeudettomasti ja harhaanjohtavalla tavalla käyttää tunnistuspalvelun tarjoajan tavaramerkkiä hankkiakseen itselleen lisää liikearvoa. Tunnistusvälineen tarjoajan tavaramerkkiä saa käyttää vain ja ainoastaan tunnistustapahtuman yhteydessä. Tavaramerkkiä ei saa käyttää tavalla, jotka on lueteltu tavaramerkkilain (7/1964, muutettu 616/2016) 14 §:</w:t>
      </w:r>
      <w:proofErr w:type="spellStart"/>
      <w:r>
        <w:t>ssä</w:t>
      </w:r>
      <w:proofErr w:type="spellEnd"/>
      <w:r>
        <w:t xml:space="preserve">. </w:t>
      </w:r>
    </w:p>
    <w:p w14:paraId="39236D75" w14:textId="77777777" w:rsidR="00403A32" w:rsidRDefault="00403A32" w:rsidP="00403A32">
      <w:pPr>
        <w:pStyle w:val="Otsikko2"/>
      </w:pPr>
      <w:bookmarkStart w:id="44" w:name="_Toc486338010"/>
      <w:bookmarkStart w:id="45" w:name="_Toc51941444"/>
      <w:r>
        <w:t>Sopijapuolten keskinäinen vastuunjako ja vahingonkorvaukset</w:t>
      </w:r>
      <w:bookmarkEnd w:id="44"/>
      <w:bookmarkEnd w:id="45"/>
    </w:p>
    <w:p w14:paraId="1F2B0469" w14:textId="56F42233" w:rsidR="00403A32" w:rsidRDefault="00403A32" w:rsidP="00403A32">
      <w:pPr>
        <w:pStyle w:val="Leipteksti"/>
      </w:pPr>
      <w:r>
        <w:t xml:space="preserve">Käytännesäännöissä käsitellään vain luottamusverkoston jäsenten keskinäisiä suhteita ja siten vain kyseiseen relaatioon liittyviä vahingonkorvauskysymyksiä. Tunnistustapahtuman toteuttamiseen liittyy useita eri toimijoiden välisiä relaatioita, joista iso osa jää käytännesääntöjen ulkopuolelle. </w:t>
      </w:r>
      <w:r w:rsidR="0000775A">
        <w:t xml:space="preserve">Silloinen </w:t>
      </w:r>
      <w:r>
        <w:t>Viestintävirasto on teettänyt luottamusverkoston vahingonkorvausoikeudellisi</w:t>
      </w:r>
      <w:r w:rsidR="009C5D49">
        <w:t>sta</w:t>
      </w:r>
      <w:r>
        <w:t xml:space="preserve"> kysymyksistä oikeudellisen selvityksen prof. Olli </w:t>
      </w:r>
      <w:proofErr w:type="spellStart"/>
      <w:r>
        <w:t>Norroksella</w:t>
      </w:r>
      <w:proofErr w:type="spellEnd"/>
      <w:r>
        <w:t xml:space="preserve"> (Viestintäviraston julkaisu 004/2016 J [9]). Sopijapuolet voivat hyödyntää selvitystä laatiessaan sopimuksia.</w:t>
      </w:r>
    </w:p>
    <w:p w14:paraId="615983CF" w14:textId="759F1FBA" w:rsidR="00E618B6" w:rsidRDefault="00E618B6" w:rsidP="00403A32">
      <w:pPr>
        <w:pStyle w:val="Leipteksti"/>
      </w:pPr>
      <w:r>
        <w:rPr>
          <w:noProof/>
          <w:lang w:eastAsia="fi-FI"/>
        </w:rPr>
        <mc:AlternateContent>
          <mc:Choice Requires="wps">
            <w:drawing>
              <wp:inline distT="0" distB="0" distL="0" distR="0" wp14:anchorId="74911296" wp14:editId="7C82F39C">
                <wp:extent cx="5569527" cy="1404620"/>
                <wp:effectExtent l="0" t="0" r="12700" b="1524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56FDD71D" w14:textId="68495B80" w:rsidR="00017634" w:rsidRPr="00EB6C50" w:rsidRDefault="00017634" w:rsidP="00E618B6">
                            <w:pPr>
                              <w:pStyle w:val="Kommentinteksti"/>
                            </w:pPr>
                            <w:r>
                              <w:t>Kommentti:</w:t>
                            </w:r>
                            <w:r w:rsidRPr="00EB6C50">
                              <w:t xml:space="preserve"> </w:t>
                            </w:r>
                            <w:r w:rsidR="00F236E9">
                              <w:t>"</w:t>
                            </w:r>
                            <w:r w:rsidR="00F236E9" w:rsidRPr="00F236E9">
                              <w:t>tunnistuslain 12 d §:ssä säädetty vahingonkorvausvelvollisuus ei koske sopimukseen perustuvaa vastuuta eikä tunnistuspalvelun toimivuuteen tai luotettavuuteen li</w:t>
                            </w:r>
                            <w:r w:rsidR="00F236E9">
                              <w:t>ittyvää vahingonkorvausvastuuta"</w:t>
                            </w:r>
                          </w:p>
                          <w:p w14:paraId="633259A9" w14:textId="77777777" w:rsidR="00017634" w:rsidRPr="00EB6C50" w:rsidRDefault="00017634" w:rsidP="00E618B6">
                            <w:pPr>
                              <w:pStyle w:val="Kommentinteksti"/>
                            </w:pPr>
                          </w:p>
                          <w:p w14:paraId="1DA69857" w14:textId="20043AC1" w:rsidR="00017634" w:rsidRPr="00D83385" w:rsidRDefault="00F236E9" w:rsidP="00E618B6">
                            <w:r w:rsidRPr="00D83385">
                              <w:t xml:space="preserve">Vastuu sisältää kuitenkin 12 b §:n mukaiset toimitusehdot sekä 12 a §:n mukaisen teknisten rajapintojen </w:t>
                            </w:r>
                            <w:proofErr w:type="spellStart"/>
                            <w:r w:rsidRPr="00D83385">
                              <w:t>yhteentoimivuuden</w:t>
                            </w:r>
                            <w:proofErr w:type="spellEnd"/>
                            <w:r w:rsidRPr="00D83385">
                              <w:t>. Epäselvyyden vuoksi ehdotettu lisäys on jätetty tekemättä.</w:t>
                            </w:r>
                          </w:p>
                        </w:txbxContent>
                      </wps:txbx>
                      <wps:bodyPr rot="0" vert="horz" wrap="square" lIns="91440" tIns="45720" rIns="91440" bIns="45720" anchor="t" anchorCtr="0">
                        <a:spAutoFit/>
                      </wps:bodyPr>
                    </wps:wsp>
                  </a:graphicData>
                </a:graphic>
              </wp:inline>
            </w:drawing>
          </mc:Choice>
          <mc:Fallback>
            <w:pict>
              <v:shape w14:anchorId="74911296" id="_x0000_s1032"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ES2sqZGAgAA&#10;hwQAAA4AAAAAAAAAAAAAAAAALgIAAGRycy9lMm9Eb2MueG1sUEsBAi0AFAAGAAgAAAAhALYdqbPd&#10;AAAABQEAAA8AAAAAAAAAAAAAAAAAoAQAAGRycy9kb3ducmV2LnhtbFBLBQYAAAAABAAEAPMAAACq&#10;BQAAAAA=&#10;" fillcolor="#b4fcfe [671]">
                <v:textbox style="mso-fit-shape-to-text:t">
                  <w:txbxContent>
                    <w:p w14:paraId="56FDD71D" w14:textId="68495B80" w:rsidR="00017634" w:rsidRPr="00EB6C50" w:rsidRDefault="00017634" w:rsidP="00E618B6">
                      <w:pPr>
                        <w:pStyle w:val="CommentText"/>
                      </w:pPr>
                      <w:r>
                        <w:t>Kommentti:</w:t>
                      </w:r>
                      <w:r w:rsidRPr="00EB6C50">
                        <w:t xml:space="preserve"> </w:t>
                      </w:r>
                      <w:r w:rsidR="00F236E9">
                        <w:t>"</w:t>
                      </w:r>
                      <w:r w:rsidR="00F236E9" w:rsidRPr="00F236E9">
                        <w:t>tunnistuslain 12 d §:ssä säädetty vahingonkorvausvelvollisuus ei koske sopimukseen perustuvaa vastuuta eikä tunnistuspalvelun toimivuuteen tai luotettavuuteen li</w:t>
                      </w:r>
                      <w:r w:rsidR="00F236E9">
                        <w:t>ittyvää vahingonkorvausvastuuta"</w:t>
                      </w:r>
                    </w:p>
                    <w:p w14:paraId="633259A9" w14:textId="77777777" w:rsidR="00017634" w:rsidRPr="00EB6C50" w:rsidRDefault="00017634" w:rsidP="00E618B6">
                      <w:pPr>
                        <w:pStyle w:val="CommentText"/>
                      </w:pPr>
                    </w:p>
                    <w:p w14:paraId="1DA69857" w14:textId="20043AC1" w:rsidR="00017634" w:rsidRPr="00D83385" w:rsidRDefault="00F236E9" w:rsidP="00E618B6">
                      <w:r w:rsidRPr="00D83385">
                        <w:t>Vastuu sisältää kuitenkin 12 b §:n mukaiset toimitusehdot sekä 12 a §:n mukaisen teknisten rajapintojen yhteentoimivuuden. Epäselvyyden vuoksi ehdotettu lisäys on jätetty tekemättä.</w:t>
                      </w:r>
                    </w:p>
                  </w:txbxContent>
                </v:textbox>
                <w10:anchorlock/>
              </v:shape>
            </w:pict>
          </mc:Fallback>
        </mc:AlternateContent>
      </w:r>
    </w:p>
    <w:p w14:paraId="505500FE" w14:textId="77777777" w:rsidR="00403A32" w:rsidRDefault="00403A32" w:rsidP="00403A32">
      <w:pPr>
        <w:pStyle w:val="Leipteksti"/>
      </w:pPr>
      <w:r>
        <w:t>Käytännesääntöjen ulkopuolelle jäävät seuraavat relaatiot, jotka sopijapuolten on kuitenkin syytä huomioida suunnitellessaan toimintaansa ja solmiessaan sopimuksia:</w:t>
      </w:r>
    </w:p>
    <w:p w14:paraId="6813E9BC" w14:textId="77777777" w:rsidR="00403A32" w:rsidRDefault="00403A32" w:rsidP="001D62DC">
      <w:pPr>
        <w:pStyle w:val="Leipteksti"/>
        <w:numPr>
          <w:ilvl w:val="0"/>
          <w:numId w:val="8"/>
        </w:numPr>
        <w:spacing w:after="220"/>
        <w:ind w:left="1843"/>
      </w:pPr>
      <w:r>
        <w:t>Tunnistusvälineen tarjoaja - tunnistusvälineen haltija</w:t>
      </w:r>
    </w:p>
    <w:p w14:paraId="5EFACCDA" w14:textId="77777777" w:rsidR="00403A32" w:rsidRDefault="00403A32" w:rsidP="001D62DC">
      <w:pPr>
        <w:pStyle w:val="Leipteksti"/>
        <w:numPr>
          <w:ilvl w:val="0"/>
          <w:numId w:val="8"/>
        </w:numPr>
        <w:spacing w:after="220"/>
        <w:ind w:left="1843"/>
      </w:pPr>
      <w:r>
        <w:t>Toissijaisen ensitunnistuksen tekijä (ensitunnistamisen ketjuttaja) - tunnistusvälineen haltija</w:t>
      </w:r>
    </w:p>
    <w:p w14:paraId="5691B530" w14:textId="77777777" w:rsidR="00403A32" w:rsidRDefault="00403A32" w:rsidP="001D62DC">
      <w:pPr>
        <w:pStyle w:val="Leipteksti"/>
        <w:numPr>
          <w:ilvl w:val="0"/>
          <w:numId w:val="8"/>
        </w:numPr>
        <w:spacing w:after="220"/>
        <w:ind w:left="1843"/>
      </w:pPr>
      <w:r>
        <w:t>Tunnistusvälineen tarjoaja - sivullinen vahingonkärsijä</w:t>
      </w:r>
    </w:p>
    <w:p w14:paraId="2EE0E527" w14:textId="77777777" w:rsidR="00403A32" w:rsidRDefault="00403A32" w:rsidP="001D62DC">
      <w:pPr>
        <w:pStyle w:val="Leipteksti"/>
        <w:numPr>
          <w:ilvl w:val="0"/>
          <w:numId w:val="8"/>
        </w:numPr>
        <w:spacing w:after="220"/>
        <w:ind w:left="1843"/>
      </w:pPr>
      <w:r>
        <w:t>Tunnistusvälityspalvelun tarjoaja - tunnistusvälineen haltija</w:t>
      </w:r>
    </w:p>
    <w:p w14:paraId="04C3E688" w14:textId="77777777" w:rsidR="00403A32" w:rsidRDefault="00403A32" w:rsidP="001D62DC">
      <w:pPr>
        <w:pStyle w:val="Leipteksti"/>
        <w:numPr>
          <w:ilvl w:val="0"/>
          <w:numId w:val="8"/>
        </w:numPr>
        <w:spacing w:after="220"/>
        <w:ind w:left="1843"/>
      </w:pPr>
      <w:r>
        <w:t>Tunnistusvälityspalvelun tarjoaja - asiointipalvelu</w:t>
      </w:r>
    </w:p>
    <w:p w14:paraId="6A6FAF51" w14:textId="77777777" w:rsidR="00403A32" w:rsidRDefault="00403A32" w:rsidP="001D62DC">
      <w:pPr>
        <w:pStyle w:val="Leipteksti"/>
        <w:numPr>
          <w:ilvl w:val="0"/>
          <w:numId w:val="8"/>
        </w:numPr>
        <w:spacing w:after="220"/>
        <w:ind w:left="1843"/>
      </w:pPr>
      <w:r>
        <w:t>Tunnistusvälineen tarjoaja – asiointipalvelu</w:t>
      </w:r>
    </w:p>
    <w:p w14:paraId="59A5B44E" w14:textId="027B74EE" w:rsidR="00403A32" w:rsidRDefault="00403A32" w:rsidP="00403A32">
      <w:pPr>
        <w:pStyle w:val="Otsikko3"/>
      </w:pPr>
      <w:bookmarkStart w:id="46" w:name="_Toc486338011"/>
      <w:bookmarkStart w:id="47" w:name="_Toc51941445"/>
      <w:r>
        <w:t>Vastuu sopijapuolten välillä tunnistuksen välityksessä</w:t>
      </w:r>
      <w:bookmarkEnd w:id="46"/>
      <w:bookmarkEnd w:id="47"/>
    </w:p>
    <w:p w14:paraId="4502F42B" w14:textId="77777777" w:rsidR="00403A32" w:rsidRDefault="00403A32" w:rsidP="00403A32">
      <w:pPr>
        <w:pStyle w:val="Leipteksti"/>
      </w:pPr>
      <w:r>
        <w:t>Sopijapuolet vastaavat osaltaan tunnistuslaissa ja muussa lainsäädännössä asetettujen velvoitteiden ja omien tunnistusperiaatteidensa noudattamisesta.</w:t>
      </w:r>
    </w:p>
    <w:p w14:paraId="1D5DFBAD" w14:textId="77777777" w:rsidR="00403A32" w:rsidRDefault="00403A32" w:rsidP="00403A32">
      <w:pPr>
        <w:pStyle w:val="Leipteksti"/>
      </w:pPr>
      <w:r>
        <w:t xml:space="preserve">Vahingonkorvausvastuu ja takautumisoikeus luottamusverkostossa perustuvat oletusarvoisesti sopimuksiin. Luottamusverkostoon kuuluminen ei luo esimerkiksi yhteisvastuuta luottamusverkostossa tapahtuvista vahingoista. </w:t>
      </w:r>
    </w:p>
    <w:p w14:paraId="398CDE76" w14:textId="77777777" w:rsidR="00403A32" w:rsidRDefault="00403A32" w:rsidP="00403A32">
      <w:pPr>
        <w:pStyle w:val="Leipteksti"/>
      </w:pPr>
      <w:r>
        <w:t>Sopimuksia laadittaessa on syytä tarkastella erikseen ainakin:</w:t>
      </w:r>
    </w:p>
    <w:p w14:paraId="6C3F1AB3" w14:textId="7361C06A" w:rsidR="00403A32" w:rsidRDefault="00F236E9" w:rsidP="001D62DC">
      <w:pPr>
        <w:pStyle w:val="Leipteksti"/>
        <w:numPr>
          <w:ilvl w:val="0"/>
          <w:numId w:val="9"/>
        </w:numPr>
        <w:spacing w:after="220"/>
        <w:ind w:left="1843"/>
      </w:pPr>
      <w:r>
        <w:t>p</w:t>
      </w:r>
      <w:r w:rsidR="00403A32">
        <w:t>alvelun keskeytyksiin ja h</w:t>
      </w:r>
      <w:r>
        <w:t>äiriöihin liittyviä vahinkoja,</w:t>
      </w:r>
    </w:p>
    <w:p w14:paraId="4BF029F5" w14:textId="32BBEC2F" w:rsidR="00403A32" w:rsidRDefault="00F236E9" w:rsidP="001D62DC">
      <w:pPr>
        <w:pStyle w:val="Leipteksti"/>
        <w:numPr>
          <w:ilvl w:val="0"/>
          <w:numId w:val="9"/>
        </w:numPr>
        <w:spacing w:after="220"/>
        <w:ind w:left="1843"/>
      </w:pPr>
      <w:r>
        <w:t>i</w:t>
      </w:r>
      <w:r w:rsidR="00403A32">
        <w:t xml:space="preserve">dentiteettierehdyksiin tai -varkauksiin liittyviä </w:t>
      </w:r>
      <w:r>
        <w:t>vahinkoja ja</w:t>
      </w:r>
    </w:p>
    <w:p w14:paraId="03C7C622" w14:textId="44456D7C" w:rsidR="00F236E9" w:rsidRDefault="00F236E9" w:rsidP="001D62DC">
      <w:pPr>
        <w:pStyle w:val="Leipteksti"/>
        <w:numPr>
          <w:ilvl w:val="0"/>
          <w:numId w:val="9"/>
        </w:numPr>
        <w:spacing w:after="220"/>
        <w:ind w:left="1843"/>
      </w:pPr>
      <w:r>
        <w:lastRenderedPageBreak/>
        <w:t>muihin eheyden tai luotettavuuden menetyksiin liittyviä vahinkoja.</w:t>
      </w:r>
    </w:p>
    <w:p w14:paraId="30ABA23F" w14:textId="09C6A520" w:rsidR="00E618B6" w:rsidRDefault="00E618B6" w:rsidP="00E618B6">
      <w:pPr>
        <w:pStyle w:val="Leipteksti"/>
        <w:spacing w:after="220"/>
        <w:ind w:left="1483"/>
      </w:pPr>
      <w:r>
        <w:rPr>
          <w:noProof/>
          <w:lang w:eastAsia="fi-FI"/>
        </w:rPr>
        <mc:AlternateContent>
          <mc:Choice Requires="wps">
            <w:drawing>
              <wp:inline distT="0" distB="0" distL="0" distR="0" wp14:anchorId="24B96D8E" wp14:editId="78ACAB83">
                <wp:extent cx="5569527" cy="1404620"/>
                <wp:effectExtent l="0" t="0" r="12700" b="1524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4B4B311E" w14:textId="240B0965" w:rsidR="00017634" w:rsidRPr="00EB6C50" w:rsidRDefault="00F236E9" w:rsidP="00E618B6">
                            <w:pPr>
                              <w:pStyle w:val="Kommentinteksti"/>
                            </w:pPr>
                            <w:r>
                              <w:t>Lisätty kolmas kohta</w:t>
                            </w:r>
                          </w:p>
                        </w:txbxContent>
                      </wps:txbx>
                      <wps:bodyPr rot="0" vert="horz" wrap="square" lIns="91440" tIns="45720" rIns="91440" bIns="45720" anchor="t" anchorCtr="0">
                        <a:spAutoFit/>
                      </wps:bodyPr>
                    </wps:wsp>
                  </a:graphicData>
                </a:graphic>
              </wp:inline>
            </w:drawing>
          </mc:Choice>
          <mc:Fallback>
            <w:pict>
              <v:shape w14:anchorId="24B96D8E" id="_x0000_s1033"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G7Wi7RGAgAA&#10;hwQAAA4AAAAAAAAAAAAAAAAALgIAAGRycy9lMm9Eb2MueG1sUEsBAi0AFAAGAAgAAAAhALYdqbPd&#10;AAAABQEAAA8AAAAAAAAAAAAAAAAAoAQAAGRycy9kb3ducmV2LnhtbFBLBQYAAAAABAAEAPMAAACq&#10;BQAAAAA=&#10;" fillcolor="#b4fcfe [671]">
                <v:textbox style="mso-fit-shape-to-text:t">
                  <w:txbxContent>
                    <w:p w14:paraId="4B4B311E" w14:textId="240B0965" w:rsidR="00017634" w:rsidRPr="00EB6C50" w:rsidRDefault="00F236E9" w:rsidP="00E618B6">
                      <w:pPr>
                        <w:pStyle w:val="CommentText"/>
                      </w:pPr>
                      <w:r>
                        <w:t>Lisätty kolmas kohta</w:t>
                      </w:r>
                    </w:p>
                  </w:txbxContent>
                </v:textbox>
                <w10:anchorlock/>
              </v:shape>
            </w:pict>
          </mc:Fallback>
        </mc:AlternateContent>
      </w:r>
    </w:p>
    <w:p w14:paraId="57866941" w14:textId="101DA984" w:rsidR="00403A32" w:rsidRDefault="00403A32" w:rsidP="00403A32">
      <w:pPr>
        <w:pStyle w:val="Leipteksti"/>
      </w:pPr>
      <w:r>
        <w:t>Sopimuksessa voidaan sopia vastuunrajoituksista ja vahingonkorvausvastuun euromääräisestä ylärajasta lainsäädännön asettamissa rajoissa. Sopijapuolten on otettava huomioon kuluttajansuojasäännösten soveltuminen, eikä keskinäisillä sopimuksilla voi heikentää tu</w:t>
      </w:r>
      <w:r w:rsidRPr="00F71132">
        <w:t xml:space="preserve">nnistusvälineen haltijana olevan kuluttajan lakisääteisiä oikeuksia. Kuluttaja ei ole luottamusverkoston sopimusten osapuoli, mutta sopimuksilla voi olla </w:t>
      </w:r>
      <w:r>
        <w:t xml:space="preserve">välillistä </w:t>
      </w:r>
      <w:r w:rsidRPr="00F71132">
        <w:t>vaikutusta kuluttajan oikeuksi</w:t>
      </w:r>
      <w:r>
        <w:t>e</w:t>
      </w:r>
      <w:r w:rsidRPr="00F71132">
        <w:t>n</w:t>
      </w:r>
      <w:r>
        <w:t xml:space="preserve"> toteutumiseen,</w:t>
      </w:r>
      <w:r w:rsidRPr="00F71132">
        <w:t xml:space="preserve"> j</w:t>
      </w:r>
      <w:r>
        <w:t>oka</w:t>
      </w:r>
      <w:r w:rsidRPr="00F71132" w:rsidDel="00A32C97">
        <w:t xml:space="preserve"> </w:t>
      </w:r>
      <w:r w:rsidRPr="00F71132">
        <w:t>tulee ottaa huomioon.</w:t>
      </w:r>
    </w:p>
    <w:p w14:paraId="5A80C6DE" w14:textId="5DC33181" w:rsidR="00403A32" w:rsidRDefault="00403A32" w:rsidP="00403A32">
      <w:pPr>
        <w:pStyle w:val="Leipteksti"/>
      </w:pPr>
      <w:r>
        <w:t>Sopimuksessa voidaan sopia, että jos syntyneen vahingon aiheuttajaa ei voida kiistattomasti todeta, jaetaan vastuu vahingosta sopijapuolten kesken tasaosuuksin.</w:t>
      </w:r>
    </w:p>
    <w:p w14:paraId="195A0DD7" w14:textId="77777777" w:rsidR="00403A32" w:rsidRDefault="00403A32" w:rsidP="00403A32">
      <w:pPr>
        <w:pStyle w:val="Otsikko3"/>
      </w:pPr>
      <w:bookmarkStart w:id="48" w:name="_Toc486338012"/>
      <w:bookmarkStart w:id="49" w:name="_Toc51941446"/>
      <w:r>
        <w:t>Vastuu ensitunnistamisen ketjutuksessa</w:t>
      </w:r>
      <w:bookmarkEnd w:id="48"/>
      <w:bookmarkEnd w:id="49"/>
    </w:p>
    <w:p w14:paraId="25ECDA65" w14:textId="22889CF1" w:rsidR="00557918" w:rsidRPr="00CC6A8B" w:rsidRDefault="00403A32" w:rsidP="00557918">
      <w:pPr>
        <w:pStyle w:val="Leipteksti"/>
      </w:pPr>
      <w:r>
        <w:t xml:space="preserve">Tunnistuslain 17.5 §:n mukaan </w:t>
      </w:r>
      <w:r w:rsidR="00557918">
        <w:t>a</w:t>
      </w:r>
      <w:r w:rsidRPr="00CC6A8B">
        <w:t>iempaan ensitunnistamiseen luottava tunnistusvälineen tarjoaja vastaa mahdollisesta aiemman ensitunnistamisen virheellisyydestä aiheutuvasta vahingosta suhteessa vahinkoa kärsineeseen.</w:t>
      </w:r>
      <w:r>
        <w:t xml:space="preserve"> </w:t>
      </w:r>
      <w:r w:rsidR="00557918">
        <w:t>Pykälän 6 momentin mukaan</w:t>
      </w:r>
      <w:r w:rsidR="002E538C">
        <w:t>,</w:t>
      </w:r>
      <w:r w:rsidR="00557918">
        <w:t xml:space="preserve"> j</w:t>
      </w:r>
      <w:r w:rsidR="00557918" w:rsidRPr="00CC6A8B">
        <w:t>os aiempaan ensitunnistamiseen luottava tunnistusvälineen tarjoaja joutuu vastuuseen vahingosta 5 momentin nojalla, sillä on oikeus saada korvaus vahingostaan ensitunnistamisessa virheen tehneeltä tunnistusvälineen tarjoajalta, ellei tämä osoita, että vahinko ei ole aiheutunut sen tahallisuudesta tai törkeästä huolimattomuudesta.</w:t>
      </w:r>
    </w:p>
    <w:p w14:paraId="43415337" w14:textId="3EA3ABE8" w:rsidR="00403A32" w:rsidRDefault="006E36F0" w:rsidP="00403A32">
      <w:pPr>
        <w:pStyle w:val="Leipteksti"/>
      </w:pPr>
      <w:r w:rsidRPr="006E36F0">
        <w:t>Toimitusehtoihin voidaan ottaa vastuun rajoitusta ja kohdentumista välineen tarjoajien keskinäisessä suhteessa koskevia ehtoja siltä osin</w:t>
      </w:r>
      <w:r>
        <w:t xml:space="preserve"> kuin niistä ei säädetä laissa.</w:t>
      </w:r>
    </w:p>
    <w:p w14:paraId="2806B34E" w14:textId="04F4C44B" w:rsidR="006E36F0" w:rsidRDefault="006E36F0" w:rsidP="00403A32">
      <w:pPr>
        <w:pStyle w:val="Leipteksti"/>
      </w:pPr>
      <w:r>
        <w:rPr>
          <w:noProof/>
          <w:lang w:eastAsia="fi-FI"/>
        </w:rPr>
        <mc:AlternateContent>
          <mc:Choice Requires="wps">
            <w:drawing>
              <wp:inline distT="0" distB="0" distL="0" distR="0" wp14:anchorId="3D1B2A91" wp14:editId="563CD4CA">
                <wp:extent cx="5569527" cy="1404620"/>
                <wp:effectExtent l="0" t="0" r="127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74E4B4B0" w14:textId="083377D9" w:rsidR="006E36F0" w:rsidRPr="00EB6C50" w:rsidRDefault="006E36F0" w:rsidP="006E36F0">
                            <w:pPr>
                              <w:pStyle w:val="Kommentinteksti"/>
                            </w:pPr>
                            <w:r>
                              <w:t>Lisätty toinen kappale.</w:t>
                            </w:r>
                          </w:p>
                        </w:txbxContent>
                      </wps:txbx>
                      <wps:bodyPr rot="0" vert="horz" wrap="square" lIns="91440" tIns="45720" rIns="91440" bIns="45720" anchor="t" anchorCtr="0">
                        <a:spAutoFit/>
                      </wps:bodyPr>
                    </wps:wsp>
                  </a:graphicData>
                </a:graphic>
              </wp:inline>
            </w:drawing>
          </mc:Choice>
          <mc:Fallback>
            <w:pict>
              <v:shape w14:anchorId="3D1B2A91" id="_x0000_s1034"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CpIFmxGAgAA&#10;hgQAAA4AAAAAAAAAAAAAAAAALgIAAGRycy9lMm9Eb2MueG1sUEsBAi0AFAAGAAgAAAAhALYdqbPd&#10;AAAABQEAAA8AAAAAAAAAAAAAAAAAoAQAAGRycy9kb3ducmV2LnhtbFBLBQYAAAAABAAEAPMAAACq&#10;BQAAAAA=&#10;" fillcolor="#b4fcfe [671]">
                <v:textbox style="mso-fit-shape-to-text:t">
                  <w:txbxContent>
                    <w:p w14:paraId="74E4B4B0" w14:textId="083377D9" w:rsidR="006E36F0" w:rsidRPr="00EB6C50" w:rsidRDefault="006E36F0" w:rsidP="006E36F0">
                      <w:pPr>
                        <w:pStyle w:val="CommentText"/>
                      </w:pPr>
                      <w:bookmarkStart w:id="50" w:name="_GoBack"/>
                      <w:bookmarkEnd w:id="50"/>
                      <w:r>
                        <w:t xml:space="preserve">Lisätty </w:t>
                      </w:r>
                      <w:r>
                        <w:t>toinen kappale.</w:t>
                      </w:r>
                    </w:p>
                  </w:txbxContent>
                </v:textbox>
                <w10:anchorlock/>
              </v:shape>
            </w:pict>
          </mc:Fallback>
        </mc:AlternateContent>
      </w:r>
    </w:p>
    <w:p w14:paraId="3C225021" w14:textId="77777777" w:rsidR="00403A32" w:rsidRDefault="00403A32" w:rsidP="00403A32">
      <w:pPr>
        <w:pStyle w:val="Otsikko2"/>
      </w:pPr>
      <w:bookmarkStart w:id="50" w:name="_Toc486338013"/>
      <w:bookmarkStart w:id="51" w:name="_Toc51941447"/>
      <w:r>
        <w:t>Tietosuoja</w:t>
      </w:r>
      <w:bookmarkEnd w:id="50"/>
      <w:bookmarkEnd w:id="51"/>
    </w:p>
    <w:p w14:paraId="0B68D217" w14:textId="77777777" w:rsidR="00403A32" w:rsidRDefault="00403A32" w:rsidP="00403A32">
      <w:pPr>
        <w:pStyle w:val="Leipteksti"/>
      </w:pPr>
      <w:r>
        <w:t xml:space="preserve">Sopijapuolet noudattavat kulloinkin voimassa olevia tietosuojaa koskevia lakeja ja asetuksia sekä tietosuojaa koskevaa liitettä </w:t>
      </w:r>
      <w:r w:rsidRPr="00610434">
        <w:rPr>
          <w:i/>
        </w:rPr>
        <w:t>He</w:t>
      </w:r>
      <w:r w:rsidRPr="00712607">
        <w:rPr>
          <w:i/>
        </w:rPr>
        <w:t>nkilötietojen käsittely sähköisen tunnistamisen luottamusverkostos</w:t>
      </w:r>
      <w:r>
        <w:rPr>
          <w:i/>
        </w:rPr>
        <w:t>sa</w:t>
      </w:r>
      <w:r>
        <w:t>.</w:t>
      </w:r>
    </w:p>
    <w:p w14:paraId="4F507680" w14:textId="77777777" w:rsidR="00403A32" w:rsidRDefault="00403A32" w:rsidP="00403A32">
      <w:pPr>
        <w:pStyle w:val="Otsikko2"/>
      </w:pPr>
      <w:bookmarkStart w:id="52" w:name="_Toc486338014"/>
      <w:bookmarkStart w:id="53" w:name="_Toc51941448"/>
      <w:r>
        <w:t>Salassapito</w:t>
      </w:r>
      <w:bookmarkEnd w:id="52"/>
      <w:bookmarkEnd w:id="53"/>
    </w:p>
    <w:p w14:paraId="6DF26C61" w14:textId="6D1A9EE2" w:rsidR="00403A32" w:rsidRDefault="00403A32" w:rsidP="00403A32">
      <w:pPr>
        <w:pStyle w:val="Leipteksti"/>
      </w:pPr>
      <w:r>
        <w:t xml:space="preserve">Käytännesäännöt ovat julkiset. </w:t>
      </w:r>
    </w:p>
    <w:p w14:paraId="2C2670F2" w14:textId="4F71DBD5" w:rsidR="002E538C" w:rsidRDefault="002E538C" w:rsidP="002E538C">
      <w:pPr>
        <w:pStyle w:val="Leipteksti"/>
      </w:pPr>
      <w:r>
        <w:t xml:space="preserve">Tunnistuslain 12 b §:n mukaan tunnistusvälineen tarjoajan on julkaistava tunnistuspalvelunsa käyttöoikeuden toimitusehdot sekä muut käyttöoikeuden luovuttamisen ja tunnistuspalveluiden </w:t>
      </w:r>
      <w:proofErr w:type="spellStart"/>
      <w:r>
        <w:t>yhteentoimivuuden</w:t>
      </w:r>
      <w:proofErr w:type="spellEnd"/>
      <w:r>
        <w:t xml:space="preserve"> kannalta merkitykselliset tiedot verkkosivuillaan. Julkaistaviin tietoihin sisältyy mm. kuvaus tunnistustapahtumien välityksen teknisistä rajapinnoista ja testausjärjestelystä siltä osin kuin ne eivät sisällä liikesalaisuuksia tai tietoturvaa vaarantavia tietoja.</w:t>
      </w:r>
    </w:p>
    <w:p w14:paraId="0834B4CF" w14:textId="4C2ADAF2" w:rsidR="00403A32" w:rsidRPr="00C94128" w:rsidRDefault="002E538C" w:rsidP="002E538C">
      <w:pPr>
        <w:pStyle w:val="Leipteksti"/>
      </w:pPr>
      <w:r>
        <w:t>Tunnistuslain 12.5 §:n mukaan t</w:t>
      </w:r>
      <w:r w:rsidRPr="002E538C">
        <w:t xml:space="preserve">unnistuspalvelun tarjoaja saa käyttää käyttöoikeuden luovutuksen tai 16 §:n nojalla </w:t>
      </w:r>
      <w:r>
        <w:t xml:space="preserve">(häiriöilmoitukset) </w:t>
      </w:r>
      <w:r w:rsidRPr="002E538C">
        <w:t>saatuja toista tunnistuspalvelun tarjoajaa koskevia tietoja vain siihen tarkoitukseen, jota varten ne on tunnistuspalvelun tarjoajalle annettu.</w:t>
      </w:r>
    </w:p>
    <w:p w14:paraId="69092E81" w14:textId="77777777" w:rsidR="00403A32" w:rsidRDefault="00403A32" w:rsidP="00403A32">
      <w:pPr>
        <w:pStyle w:val="Otsikko2"/>
      </w:pPr>
      <w:bookmarkStart w:id="54" w:name="_Toc486338015"/>
      <w:bookmarkStart w:id="55" w:name="_Toc51941449"/>
      <w:r>
        <w:lastRenderedPageBreak/>
        <w:t>Tunnistustapahtumien välittämisen tilapäinen keskeyttäminen</w:t>
      </w:r>
      <w:bookmarkEnd w:id="54"/>
      <w:bookmarkEnd w:id="55"/>
    </w:p>
    <w:p w14:paraId="204A0BBE" w14:textId="7465F14E" w:rsidR="00403A32" w:rsidRDefault="00403A32" w:rsidP="00403A32">
      <w:pPr>
        <w:pStyle w:val="Leipteksti"/>
      </w:pPr>
      <w:r>
        <w:t xml:space="preserve">Tunnistusvälineen tarjoaja voi keskeyttää tunnistustapahtumien välittämisen omille tunnistusvälineen haltijoilleen sellaiselta tunnistusvälityspalvelulta, joka vakavasti tai huomautuksista huolimatta laiminlyö lainsäädännön asettamia velvoitteita tai osapuolten keskinäisen sopimuksen velvoitteita. Keskeyttäminen voi perustua myös siihen, että tunnistusvälityspalvelu tekee tunnistusvälineen tarjoajalle mahdottomaksi noudattaa sille lainsäädännössä tai sopimuksessa asetettuja velvoitteita. Tunnistusvälineen tarjoaja ilmoittaa keskeyttämisestä toiselle luottamusverkoston jäsenille ja </w:t>
      </w:r>
      <w:r w:rsidR="0000775A">
        <w:t>Liikenne- ja viestintävirasto</w:t>
      </w:r>
      <w:r>
        <w:t xml:space="preserve">lle. </w:t>
      </w:r>
    </w:p>
    <w:p w14:paraId="256319FB" w14:textId="217DF908" w:rsidR="00E618B6" w:rsidRDefault="001D62DC" w:rsidP="006E36F0">
      <w:pPr>
        <w:pStyle w:val="Leipteksti"/>
      </w:pPr>
      <w:r>
        <w:t>Tunnistuslain 12 b §:n 4 momentin toisen virkkeen mukaan tun</w:t>
      </w:r>
      <w:r w:rsidRPr="001D62DC">
        <w:t xml:space="preserve">nistuspalvelun tarjoaja saa </w:t>
      </w:r>
      <w:r>
        <w:t xml:space="preserve">lisäksi </w:t>
      </w:r>
      <w:r w:rsidRPr="001D62DC">
        <w:t>tilapäisesti ilman toisen tunnistuspalvelun tarjoajan suostumusta keskeyttää tunnistuspalvelun tarjonnan tai rajoittaa sen käyttöä, jos se on välttämätöntä ylläpito-, m</w:t>
      </w:r>
      <w:r>
        <w:t xml:space="preserve">uutos- ja tietoturvatoimenpiteen </w:t>
      </w:r>
      <w:r w:rsidRPr="001D62DC">
        <w:t xml:space="preserve">onnistumiseksi. </w:t>
      </w:r>
    </w:p>
    <w:p w14:paraId="53B13BAF" w14:textId="1ABCC921" w:rsidR="00403A32" w:rsidRDefault="00E618B6" w:rsidP="00403A32">
      <w:pPr>
        <w:pStyle w:val="Leipteksti"/>
      </w:pPr>
      <w:r>
        <w:rPr>
          <w:noProof/>
          <w:lang w:eastAsia="fi-FI"/>
        </w:rPr>
        <mc:AlternateContent>
          <mc:Choice Requires="wps">
            <w:drawing>
              <wp:inline distT="0" distB="0" distL="0" distR="0" wp14:anchorId="577CB1BB" wp14:editId="65BB3C5B">
                <wp:extent cx="5569527" cy="1404620"/>
                <wp:effectExtent l="0" t="0" r="12700" b="1524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5E91BF94" w14:textId="438BA3C2" w:rsidR="00017634" w:rsidRDefault="006E36F0" w:rsidP="00E618B6">
                            <w:pPr>
                              <w:pStyle w:val="Kommentinteksti"/>
                            </w:pPr>
                            <w:r>
                              <w:t>Poistettu viimeinen asiointipalveluita koskeva kappale, joka kuului näin:</w:t>
                            </w:r>
                          </w:p>
                          <w:p w14:paraId="55DC1613" w14:textId="77777777" w:rsidR="006E36F0" w:rsidRDefault="006E36F0" w:rsidP="00E618B6">
                            <w:pPr>
                              <w:pStyle w:val="Kommentinteksti"/>
                            </w:pPr>
                          </w:p>
                          <w:p w14:paraId="09CEBAA4" w14:textId="1EBA4300" w:rsidR="00017634" w:rsidRPr="006E36F0" w:rsidRDefault="006E36F0" w:rsidP="006E36F0">
                            <w:pPr>
                              <w:pStyle w:val="Kommentinteksti"/>
                            </w:pPr>
                            <w:r>
                              <w:t>Tunnistusvälityspalvelun tarjoaja voi keskeyttää tunnistusvälineen tarjoajan tunnistustapahtumien välittämisen asiointipalvelulle edellä mainituilla perusteilla.</w:t>
                            </w:r>
                          </w:p>
                        </w:txbxContent>
                      </wps:txbx>
                      <wps:bodyPr rot="0" vert="horz" wrap="square" lIns="91440" tIns="45720" rIns="91440" bIns="45720" anchor="t" anchorCtr="0">
                        <a:spAutoFit/>
                      </wps:bodyPr>
                    </wps:wsp>
                  </a:graphicData>
                </a:graphic>
              </wp:inline>
            </w:drawing>
          </mc:Choice>
          <mc:Fallback>
            <w:pict>
              <v:shape w14:anchorId="577CB1BB" id="_x0000_s1035"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" fillcolor="#b4fcfe [671]">
                <v:textbox style="mso-fit-shape-to-text:t">
                  <w:txbxContent>
                    <w:p w14:paraId="5E91BF94" w14:textId="438BA3C2" w:rsidR="00017634" w:rsidRDefault="006E36F0" w:rsidP="00E618B6">
                      <w:pPr>
                        <w:pStyle w:val="CommentText"/>
                      </w:pPr>
                      <w:r>
                        <w:t>Poistettu viimeinen asiointipalveluita koskeva kappale, joka kuului näin:</w:t>
                      </w:r>
                    </w:p>
                    <w:p w14:paraId="55DC1613" w14:textId="77777777" w:rsidR="006E36F0" w:rsidRDefault="006E36F0" w:rsidP="00E618B6">
                      <w:pPr>
                        <w:pStyle w:val="CommentText"/>
                      </w:pPr>
                    </w:p>
                    <w:p w14:paraId="09CEBAA4" w14:textId="1EBA4300" w:rsidR="00017634" w:rsidRPr="006E36F0" w:rsidRDefault="006E36F0" w:rsidP="006E36F0">
                      <w:pPr>
                        <w:pStyle w:val="CommentText"/>
                      </w:pPr>
                      <w:r>
                        <w:t>Tunnistusvälityspalvelun tarjoaja voi keskeyttää tunnistusvälineen tarjoajan tunnistustapahtumien välittämisen asiointipalvelulle edellä mainituilla perusteill</w:t>
                      </w:r>
                      <w:r>
                        <w:t>a.</w:t>
                      </w:r>
                    </w:p>
                  </w:txbxContent>
                </v:textbox>
                <w10:anchorlock/>
              </v:shape>
            </w:pict>
          </mc:Fallback>
        </mc:AlternateContent>
      </w:r>
    </w:p>
    <w:p w14:paraId="514B833D" w14:textId="77777777" w:rsidR="00403A32" w:rsidRDefault="00403A32" w:rsidP="00403A32">
      <w:pPr>
        <w:pStyle w:val="Otsikko2"/>
      </w:pPr>
      <w:bookmarkStart w:id="56" w:name="_Toc486338016"/>
      <w:bookmarkStart w:id="57" w:name="_Toc51941450"/>
      <w:r>
        <w:t>Sopimuksen päättyminen</w:t>
      </w:r>
      <w:bookmarkEnd w:id="56"/>
      <w:bookmarkEnd w:id="57"/>
    </w:p>
    <w:p w14:paraId="58F68CC2" w14:textId="3F0EBD4B" w:rsidR="00403A32" w:rsidRDefault="00403A32" w:rsidP="00403A32">
      <w:pPr>
        <w:pStyle w:val="Leipteksti"/>
      </w:pPr>
      <w:r>
        <w:t xml:space="preserve">Sopimus päättyy toisen osapuolen tekemään irtisanomiseen, purkuun tai jos sopijapuolet yhdessä niin sopivat.   </w:t>
      </w:r>
    </w:p>
    <w:p w14:paraId="0582C0E7" w14:textId="2DF7D784" w:rsidR="00403A32" w:rsidRDefault="001D62DC" w:rsidP="00403A32">
      <w:pPr>
        <w:pStyle w:val="Leipteksti"/>
      </w:pPr>
      <w:r>
        <w:t>Tunnistusvälineen tarjoajan s</w:t>
      </w:r>
      <w:r w:rsidR="00403A32">
        <w:t xml:space="preserve">opimuksen </w:t>
      </w:r>
      <w:r>
        <w:t>päättämis</w:t>
      </w:r>
      <w:r w:rsidR="00403A32">
        <w:t>perusteiden tulee olla painavia, jotta irtisanomisperusteiden voidaan katsoa pätevästi syrjäyttävän sääntelyn lähtökohtana olevan sopimuspakon. S</w:t>
      </w:r>
      <w:r w:rsidR="00403A32" w:rsidRPr="007A554C">
        <w:t>opimuksen irtisanomisen perusteeksi kelpaa syy, jonka nojalla olisi alun perin v</w:t>
      </w:r>
      <w:r w:rsidR="00403A32">
        <w:t>oinut olla solmimatta sopimusta (ks. luku 4.2)</w:t>
      </w:r>
      <w:r w:rsidR="00403A32" w:rsidRPr="007A554C">
        <w:t xml:space="preserve"> sillä edellytyksellä, että tieto ei ollut käytettävissä sillä hetkellä, kun sopimus alun perin solmittiin.</w:t>
      </w:r>
    </w:p>
    <w:p w14:paraId="042F09E8" w14:textId="3C2B51A7" w:rsidR="00403A32" w:rsidRDefault="00403A32" w:rsidP="00403A32">
      <w:pPr>
        <w:pStyle w:val="Leipteksti"/>
      </w:pPr>
      <w:r>
        <w:t xml:space="preserve">Sopimuksen välitöntä purkua on pidettävä sopimuksen päättämiskeinona vain poikkeustapauksissa. Sopimus voidaan purkaa aina, mikäli </w:t>
      </w:r>
      <w:r w:rsidR="002D0DA1">
        <w:t>Liikenne- ja viestintävirasto</w:t>
      </w:r>
      <w:r>
        <w:t xml:space="preserve"> poistaa palveluntarjoajan tunnistuslain 12 §:n mukaisesta rekisteristä.  </w:t>
      </w:r>
    </w:p>
    <w:p w14:paraId="1B9BAE4C" w14:textId="77777777" w:rsidR="00403A32" w:rsidRDefault="00403A32" w:rsidP="00403A32">
      <w:pPr>
        <w:pStyle w:val="Leipteksti"/>
      </w:pPr>
      <w:r>
        <w:t>Ongelmatilanteissa ensisijainen keino on aina asian selvittäminen ja vakavissa tilanteissa tunnistustapahtuman välittämisen tilapäinen keskeyttäminen.</w:t>
      </w:r>
    </w:p>
    <w:p w14:paraId="3E7A691C" w14:textId="77777777" w:rsidR="00403A32" w:rsidRDefault="00403A32" w:rsidP="00403A32">
      <w:pPr>
        <w:pStyle w:val="Leipteksti"/>
      </w:pPr>
      <w:r>
        <w:t>Vaikka tunnistuspalveluntarjoajien välinen sopimus lakkaa, vahingonkorvauksia koskevat sopimusehdot jäävät voimaan. Tunnistuspalveluntarjoajien välisen sopimuksen lakkaaminen ei poista vastuuta vahingosta, joka aiheutuu lakanneen sopimuksen voimassaoloaikana tehdyistä tai tekemättä jätetyistä toimenpiteistä.</w:t>
      </w:r>
    </w:p>
    <w:p w14:paraId="791F264B" w14:textId="77777777" w:rsidR="00403A32" w:rsidRDefault="00403A32" w:rsidP="00403A32">
      <w:pPr>
        <w:pStyle w:val="Otsikko2"/>
      </w:pPr>
      <w:bookmarkStart w:id="58" w:name="_Toc486338017"/>
      <w:bookmarkStart w:id="59" w:name="_Toc51941451"/>
      <w:r>
        <w:t>Sopimuksen siirto</w:t>
      </w:r>
      <w:bookmarkEnd w:id="58"/>
      <w:bookmarkEnd w:id="59"/>
    </w:p>
    <w:p w14:paraId="3B0D0442" w14:textId="772DF9D5" w:rsidR="00403A32" w:rsidRDefault="00403A32" w:rsidP="00403A32">
      <w:pPr>
        <w:pStyle w:val="Leipteksti"/>
      </w:pPr>
      <w:r>
        <w:t xml:space="preserve">Jos toiminta siirtyy konsernissa </w:t>
      </w:r>
      <w:r w:rsidRPr="00C45AD4">
        <w:t>tai muussa vastaavassa konserniin rinnastettavassa yritysryhmässä</w:t>
      </w:r>
      <w:r>
        <w:t xml:space="preserve">, johon sopijapuoli kuuluu, sopimuksen voi siirtää </w:t>
      </w:r>
      <w:r w:rsidR="001D62DC">
        <w:t>Liikenne- ja viestintävirastoon</w:t>
      </w:r>
      <w:r>
        <w:t xml:space="preserve"> tehdyn muutosilmoituksessa ilmoitetulle konserniyritykselle </w:t>
      </w:r>
      <w:r w:rsidRPr="00C45AD4">
        <w:t>tai samaan yritysryhmään kuuluvalle yritykselle</w:t>
      </w:r>
      <w:r>
        <w:t>.</w:t>
      </w:r>
    </w:p>
    <w:p w14:paraId="7D6918F0" w14:textId="77777777" w:rsidR="00403A32" w:rsidRDefault="00403A32" w:rsidP="00403A32">
      <w:pPr>
        <w:pStyle w:val="Leipteksti"/>
      </w:pPr>
      <w:r w:rsidRPr="001D62DC">
        <w:t>Sopijapuolet sopivat</w:t>
      </w:r>
      <w:r>
        <w:t xml:space="preserve"> muista sopimuksen siirtoon liittyvistä ehdoista ja menettelytavoista keskinäisessä sopimuksessaan. </w:t>
      </w:r>
    </w:p>
    <w:p w14:paraId="43EE9B89" w14:textId="77777777" w:rsidR="00403A32" w:rsidRDefault="00403A32" w:rsidP="00403A32">
      <w:pPr>
        <w:pStyle w:val="Otsikko2"/>
      </w:pPr>
      <w:bookmarkStart w:id="60" w:name="_Toc486338018"/>
      <w:bookmarkStart w:id="61" w:name="_Toc51941452"/>
      <w:r>
        <w:lastRenderedPageBreak/>
        <w:t>Riitojen ratkaiseminen</w:t>
      </w:r>
      <w:bookmarkEnd w:id="60"/>
      <w:bookmarkEnd w:id="61"/>
    </w:p>
    <w:p w14:paraId="33D1A36C" w14:textId="13A22A33" w:rsidR="00403A32" w:rsidRDefault="0000775A" w:rsidP="00403A32">
      <w:pPr>
        <w:pStyle w:val="Leipteksti"/>
      </w:pPr>
      <w:r>
        <w:t>Liikenne- ja viestintävirasto</w:t>
      </w:r>
      <w:r w:rsidR="00403A32">
        <w:t xml:space="preserve"> ja tietosuojavaltuutettu valvovat tunnistuslain säännösten noudattamista omilta osiltaan ja voivat antaa lain mukaisen toiminnan korjaamiseen velvoittavan valvontapäätöksen siltä osin, kun velvoitteista ja oikeuksista säädetään laissa, asetuksessa tai määräyksissä. </w:t>
      </w:r>
      <w:r>
        <w:t>Liikenne- ja viestintävirasto</w:t>
      </w:r>
      <w:r w:rsidR="00403A32">
        <w:t xml:space="preserve"> voi kieltää päätöksellä tunnistuspalvelun tarjoamisen lain mukaisena vahvana sähköisenä tunnistamisena, jos toiminta ei enää täytä lain vaatimuksia.</w:t>
      </w:r>
    </w:p>
    <w:p w14:paraId="0C77391C" w14:textId="4720D1D5" w:rsidR="00403A32" w:rsidRDefault="0000775A" w:rsidP="00403A32">
      <w:pPr>
        <w:pStyle w:val="Leipteksti"/>
      </w:pPr>
      <w:r>
        <w:t>Liikenne- ja viestintävirasto</w:t>
      </w:r>
      <w:r w:rsidR="00403A32">
        <w:t xml:space="preserve"> ei ole toimivaltainen ratkaisemaan </w:t>
      </w:r>
      <w:r w:rsidRPr="0000775A">
        <w:t>osapuolten välistä sopimussuhdetta ta</w:t>
      </w:r>
      <w:r>
        <w:t>i korvausvastuuta koskevat asioita</w:t>
      </w:r>
      <w:r w:rsidR="00403A32">
        <w:t>. Sopijapuolet voivat sopia toimivaltaisesta riidanratkaisuelimestä.</w:t>
      </w:r>
    </w:p>
    <w:p w14:paraId="54D6969A" w14:textId="1519B8C9" w:rsidR="00403A32" w:rsidRDefault="00403A32" w:rsidP="00403A32">
      <w:pPr>
        <w:pStyle w:val="Leipteksti"/>
      </w:pPr>
      <w:r>
        <w:t xml:space="preserve">Sopimuksiin sovelletaan Suomen lakia, elleivät </w:t>
      </w:r>
      <w:r w:rsidR="00BA3AE7" w:rsidRPr="00BA3AE7">
        <w:t>sopija</w:t>
      </w:r>
      <w:r w:rsidRPr="00BA3AE7">
        <w:t>puolet</w:t>
      </w:r>
      <w:r>
        <w:t xml:space="preserve"> muuta poikkeuksellisesti sovi. </w:t>
      </w:r>
    </w:p>
    <w:p w14:paraId="475C6AF6" w14:textId="77777777" w:rsidR="00403A32" w:rsidRDefault="00403A32" w:rsidP="00403A32">
      <w:pPr>
        <w:pStyle w:val="Otsikko1"/>
      </w:pPr>
      <w:bookmarkStart w:id="62" w:name="_Toc486338019"/>
      <w:bookmarkStart w:id="63" w:name="_Toc51941453"/>
      <w:r>
        <w:t>Käytännesääntöjen muuttaminen</w:t>
      </w:r>
      <w:bookmarkEnd w:id="62"/>
      <w:bookmarkEnd w:id="63"/>
      <w:r>
        <w:t xml:space="preserve"> </w:t>
      </w:r>
    </w:p>
    <w:p w14:paraId="3F80311D" w14:textId="6A2C7784" w:rsidR="00403A32" w:rsidRDefault="00403A32" w:rsidP="00403A32">
      <w:pPr>
        <w:pStyle w:val="Leipteksti"/>
      </w:pPr>
      <w:r>
        <w:t xml:space="preserve">Käytännesäännöt on annettu </w:t>
      </w:r>
      <w:r w:rsidR="0000775A">
        <w:t>Liikenne- ja viestintävirasto</w:t>
      </w:r>
      <w:r>
        <w:t xml:space="preserve">n suosituksena, joten </w:t>
      </w:r>
      <w:r w:rsidR="0000775A">
        <w:t>Liikenne- ja viestintävirasto</w:t>
      </w:r>
      <w:r>
        <w:t xml:space="preserve"> vastaa käytännesääntöjen muuttamisesta ja hallinnasta. </w:t>
      </w:r>
      <w:r w:rsidRPr="00BA3AE7">
        <w:t xml:space="preserve">Kun käytännesääntöjä muutetaan, muutosten toteuttamiselle varataan muutoksen luonne huomioiden </w:t>
      </w:r>
      <w:r w:rsidR="00BA3AE7" w:rsidRPr="00BA3AE7">
        <w:t xml:space="preserve">tarvittaessa </w:t>
      </w:r>
      <w:r w:rsidRPr="00BA3AE7">
        <w:t>kohtuullinen siirtymäaika.</w:t>
      </w:r>
    </w:p>
    <w:p w14:paraId="33E905E5" w14:textId="7003C4A2" w:rsidR="00403A32" w:rsidRDefault="0000775A" w:rsidP="00403A32">
      <w:pPr>
        <w:pStyle w:val="Leipteksti"/>
      </w:pPr>
      <w:r>
        <w:t>Liikenne- ja viestintävirasto</w:t>
      </w:r>
      <w:r w:rsidR="00403A32">
        <w:t xml:space="preserve"> voi siirtää käytännesäännöt luottamusverkoston yhteistoimintaryhmän hallinnoitavaksi keskusteltuaan asiasta ensin luottamusverkostoasetuksen nojalla nimettävän yhteistoimintaryhmän kanssa.</w:t>
      </w:r>
    </w:p>
    <w:p w14:paraId="0D93EC4D" w14:textId="69080D16" w:rsidR="00403A32" w:rsidRDefault="00403A32" w:rsidP="00403A32">
      <w:pPr>
        <w:pStyle w:val="Leipteksti"/>
      </w:pPr>
      <w:r w:rsidRPr="00BA3AE7">
        <w:t xml:space="preserve">Jos näitä käytännesääntöjä muutetaan, tunnistuspalvelun tarjoajat muuttavat </w:t>
      </w:r>
      <w:r w:rsidR="00BA3AE7">
        <w:t xml:space="preserve">tarvittaessa </w:t>
      </w:r>
      <w:r w:rsidRPr="00BA3AE7">
        <w:t>voimassa olevia sopimuksiaan käytännesääntöjen mukaisesti</w:t>
      </w:r>
      <w:r>
        <w:t xml:space="preserve">. Tämä on syytä huomioida sopimuksissa. </w:t>
      </w:r>
    </w:p>
    <w:p w14:paraId="7EDCEBBC" w14:textId="4A8C9210" w:rsidR="00403A32" w:rsidRDefault="00403A32" w:rsidP="00403A32">
      <w:pPr>
        <w:pStyle w:val="Leipteksti"/>
      </w:pPr>
      <w:r>
        <w:t>Näitä käytännesääntöjä ja niihin liittyviä malli</w:t>
      </w:r>
      <w:r w:rsidR="00BA3AE7">
        <w:t>sopimus</w:t>
      </w:r>
      <w:r>
        <w:t>lausekkeita muutettaessa arvioidaan huolellisesti vaikutukset voimassa oleviin sopimuksiin.</w:t>
      </w:r>
    </w:p>
    <w:p w14:paraId="7C4C7A1D" w14:textId="77777777" w:rsidR="00403A32" w:rsidRDefault="00403A32" w:rsidP="00403A32">
      <w:pPr>
        <w:pStyle w:val="Otsikko1"/>
      </w:pPr>
      <w:bookmarkStart w:id="64" w:name="_Toc486338020"/>
      <w:bookmarkStart w:id="65" w:name="_Toc51941454"/>
      <w:r>
        <w:t>Liitteet</w:t>
      </w:r>
      <w:bookmarkEnd w:id="64"/>
      <w:bookmarkEnd w:id="65"/>
    </w:p>
    <w:p w14:paraId="1CF59D41" w14:textId="32BDE93C" w:rsidR="00403A32" w:rsidRPr="00D56601" w:rsidRDefault="00403A32" w:rsidP="00403A32">
      <w:pPr>
        <w:pStyle w:val="Leipteksti"/>
      </w:pPr>
      <w:r w:rsidRPr="00D56601">
        <w:t>Henkilötietojen käsittely sähköisen tunnistamisen luottamusverkostossa</w:t>
      </w:r>
    </w:p>
    <w:p w14:paraId="159E7DB0" w14:textId="77777777" w:rsidR="00403A32" w:rsidRDefault="00403A32" w:rsidP="00403A32">
      <w:pPr>
        <w:pStyle w:val="Otsikko1"/>
      </w:pPr>
      <w:bookmarkStart w:id="66" w:name="_Toc486338021"/>
      <w:bookmarkStart w:id="67" w:name="_Toc51941455"/>
      <w:r>
        <w:t>Viitteet</w:t>
      </w:r>
      <w:bookmarkEnd w:id="66"/>
      <w:bookmarkEnd w:id="67"/>
    </w:p>
    <w:p w14:paraId="7C488FD1" w14:textId="77777777" w:rsidR="00403A32" w:rsidRDefault="00403A32" w:rsidP="00403A32">
      <w:pPr>
        <w:pStyle w:val="Leipteksti"/>
      </w:pPr>
      <w:r>
        <w:t>[1] Vahvasta sähköisestä tunnistamisesta ja sähköisistä luottamuspalveluista annettu laki (617/2009, tunnistuslaki)</w:t>
      </w:r>
    </w:p>
    <w:p w14:paraId="06C23EB0" w14:textId="77777777" w:rsidR="00403A32" w:rsidRDefault="00403A32" w:rsidP="00403A32">
      <w:pPr>
        <w:pStyle w:val="Leipteksti"/>
      </w:pPr>
      <w:r>
        <w:t>[2] Valtioneuvoston asetus vahvan sähköisen tunnistuspalvelun tarjoajien luottamusverkostosta (169/2016, luottamusverkostoasetus)</w:t>
      </w:r>
    </w:p>
    <w:p w14:paraId="64EB9FDB" w14:textId="074E12B3" w:rsidR="00403A32" w:rsidRDefault="00403A32" w:rsidP="00403A32">
      <w:pPr>
        <w:pStyle w:val="Leipteksti"/>
      </w:pPr>
      <w:r>
        <w:t xml:space="preserve">[3] </w:t>
      </w:r>
      <w:r w:rsidRPr="00EB4CD1">
        <w:rPr>
          <w:highlight w:val="cyan"/>
        </w:rPr>
        <w:t>Viestintäviraston määräys 72A/2018 M</w:t>
      </w:r>
      <w:r>
        <w:t xml:space="preserve"> sähköisistä tunnistus- ja luottamuspalveluista (M72A, määräys 72A). Määräykseen liittyy soveltaminen ja perustelut muistio MPS72A.</w:t>
      </w:r>
    </w:p>
    <w:p w14:paraId="3E607E0F" w14:textId="77777777" w:rsidR="00403A32" w:rsidRDefault="00403A32" w:rsidP="00403A32">
      <w:pPr>
        <w:pStyle w:val="Leipteksti"/>
      </w:pPr>
      <w:r>
        <w:t xml:space="preserve">[4] </w:t>
      </w:r>
      <w:r w:rsidRPr="00A321F9">
        <w:t xml:space="preserve">Euroopan parlamentin ja neuvoston </w:t>
      </w:r>
      <w:r>
        <w:t xml:space="preserve">asetus </w:t>
      </w:r>
      <w:r w:rsidRPr="00A321F9">
        <w:t xml:space="preserve">(EU) </w:t>
      </w:r>
      <w:proofErr w:type="gramStart"/>
      <w:r w:rsidRPr="00A321F9">
        <w:t>N:o</w:t>
      </w:r>
      <w:proofErr w:type="gramEnd"/>
      <w:r w:rsidRPr="00A321F9">
        <w:t xml:space="preserve"> 910/2014 sähköisestä tunnistamisesta ja sähköisiin transaktioihin liittyvistä luottamuspalveluista sisämarkkinoilla ja direktiivin 1999/93/EY kumoamisesta</w:t>
      </w:r>
      <w:r>
        <w:t xml:space="preserve"> (</w:t>
      </w:r>
      <w:proofErr w:type="spellStart"/>
      <w:r>
        <w:t>eIDAS</w:t>
      </w:r>
      <w:proofErr w:type="spellEnd"/>
      <w:r>
        <w:t>)</w:t>
      </w:r>
    </w:p>
    <w:p w14:paraId="16D0D5B3" w14:textId="77777777" w:rsidR="00403A32" w:rsidRDefault="00403A32" w:rsidP="00403A32">
      <w:pPr>
        <w:pStyle w:val="Leipteksti"/>
      </w:pPr>
      <w:r>
        <w:t xml:space="preserve">[5] </w:t>
      </w:r>
      <w:r w:rsidRPr="001A1986">
        <w:t xml:space="preserve">EU:n komission täytäntöönpanoasetus </w:t>
      </w:r>
      <w:hyperlink r:id="rId9" w:tgtFrame="_blank" w:history="1">
        <w:r w:rsidRPr="001A1986">
          <w:rPr>
            <w:rStyle w:val="Hyperlinkki"/>
          </w:rPr>
          <w:t xml:space="preserve">(EU) 2015/1502 </w:t>
        </w:r>
      </w:hyperlink>
      <w:r w:rsidRPr="001A1986">
        <w:t xml:space="preserve"> teknisten vähimmäiseritelmien ja -menettelyjen vahvistamisesta </w:t>
      </w:r>
      <w:r w:rsidRPr="001A1986">
        <w:rPr>
          <w:bCs/>
        </w:rPr>
        <w:t>sähköisen tunnistamisen menetelmien varmuustasoja</w:t>
      </w:r>
      <w:r w:rsidRPr="001A1986">
        <w:t xml:space="preserve"> varten sähköisestä tunnistamisesta ja sähköisiin transaktioihin </w:t>
      </w:r>
      <w:r w:rsidRPr="001A1986">
        <w:lastRenderedPageBreak/>
        <w:t>liittyvistä luottamuspalveluista sisämarkkinoilla annetun Euroopan parlamentin ja neuvoston asetuksen (EU) N:o 910/2014 8 artiklan 3 kohdan mukaisesti</w:t>
      </w:r>
    </w:p>
    <w:p w14:paraId="64A2FC1B" w14:textId="77777777" w:rsidR="00403A32" w:rsidRPr="00EB4CD1" w:rsidRDefault="00403A32" w:rsidP="00403A32">
      <w:pPr>
        <w:pStyle w:val="Leipteksti"/>
      </w:pPr>
      <w:r>
        <w:t xml:space="preserve">[6] </w:t>
      </w:r>
      <w:r w:rsidRPr="005E0D74">
        <w:t xml:space="preserve">EU:n komission täytäntöönpanoasetus </w:t>
      </w:r>
      <w:hyperlink r:id="rId10" w:tgtFrame="_blank" w:history="1">
        <w:r w:rsidRPr="005E0D74">
          <w:rPr>
            <w:rStyle w:val="Hyperlinkki"/>
          </w:rPr>
          <w:t xml:space="preserve">(EU) 2015/1501 </w:t>
        </w:r>
      </w:hyperlink>
      <w:proofErr w:type="spellStart"/>
      <w:r w:rsidRPr="005E0D74">
        <w:rPr>
          <w:bCs/>
        </w:rPr>
        <w:t>yhteentoimivuusjärjestelmän</w:t>
      </w:r>
      <w:proofErr w:type="spellEnd"/>
      <w:r w:rsidRPr="005E0D74">
        <w:rPr>
          <w:bCs/>
        </w:rPr>
        <w:t xml:space="preserve"> vahvistamisesta sähköisestä tunnistamisesta</w:t>
      </w:r>
      <w:r w:rsidRPr="005E0D74">
        <w:t xml:space="preserve"> ja sähköisiin transaktioihin liittyvistä luottamuspalveluista sisämarkkinoilla annetun Euroopan parlamentin ja </w:t>
      </w:r>
      <w:r w:rsidRPr="00EB4CD1">
        <w:t>neuvoston asetuksen (EU) N:o 910/2014 12 artiklan 8 kohdan mukaisesti</w:t>
      </w:r>
    </w:p>
    <w:p w14:paraId="5BAE8DF8" w14:textId="237DA415" w:rsidR="00403A32" w:rsidRPr="00EB4CD1" w:rsidRDefault="00403A32" w:rsidP="00403A32">
      <w:pPr>
        <w:pStyle w:val="Leipteksti"/>
      </w:pPr>
      <w:r w:rsidRPr="00EB4CD1">
        <w:t xml:space="preserve">[7] </w:t>
      </w:r>
      <w:r w:rsidR="00EB4CD1" w:rsidRPr="00EB4CD1">
        <w:t>Liikenne- ja v</w:t>
      </w:r>
      <w:r w:rsidRPr="00EB4CD1">
        <w:t xml:space="preserve">iestintäviraston suositus </w:t>
      </w:r>
      <w:r w:rsidR="00EB4CD1" w:rsidRPr="00EB4CD1">
        <w:t>212/2021</w:t>
      </w:r>
      <w:r w:rsidRPr="00EB4CD1">
        <w:t xml:space="preserve"> S </w:t>
      </w:r>
      <w:r w:rsidR="00EB4CD1" w:rsidRPr="00EB4CD1">
        <w:t>(SAML) Luottamusverkoston rajapinnasta (</w:t>
      </w:r>
      <w:proofErr w:type="spellStart"/>
      <w:r w:rsidRPr="00EB4CD1">
        <w:t>Finnish</w:t>
      </w:r>
      <w:proofErr w:type="spellEnd"/>
      <w:r w:rsidRPr="00EB4CD1">
        <w:t xml:space="preserve"> </w:t>
      </w:r>
      <w:proofErr w:type="spellStart"/>
      <w:r w:rsidRPr="00EB4CD1">
        <w:t>Trust</w:t>
      </w:r>
      <w:proofErr w:type="spellEnd"/>
      <w:r w:rsidRPr="00EB4CD1">
        <w:t xml:space="preserve"> Network SAML 2.0 </w:t>
      </w:r>
      <w:proofErr w:type="spellStart"/>
      <w:r w:rsidRPr="00EB4CD1">
        <w:t>Protocol</w:t>
      </w:r>
      <w:proofErr w:type="spellEnd"/>
      <w:r w:rsidRPr="00EB4CD1">
        <w:t xml:space="preserve"> </w:t>
      </w:r>
      <w:proofErr w:type="spellStart"/>
      <w:r w:rsidRPr="00EB4CD1">
        <w:t>Profile</w:t>
      </w:r>
      <w:proofErr w:type="spellEnd"/>
      <w:r w:rsidR="00EB4CD1" w:rsidRPr="00EB4CD1">
        <w:t>)</w:t>
      </w:r>
    </w:p>
    <w:p w14:paraId="52894E17" w14:textId="70C1E022" w:rsidR="00403A32" w:rsidRPr="00EB4CD1" w:rsidRDefault="00403A32" w:rsidP="00403A32">
      <w:pPr>
        <w:pStyle w:val="Leipteksti"/>
      </w:pPr>
      <w:r w:rsidRPr="00EB4CD1">
        <w:t xml:space="preserve">[8] </w:t>
      </w:r>
      <w:r w:rsidR="00EB4CD1" w:rsidRPr="00EB4CD1">
        <w:t>Liikenne- ja v</w:t>
      </w:r>
      <w:r w:rsidRPr="00EB4CD1">
        <w:t>iestintäviraston suositus</w:t>
      </w:r>
      <w:r w:rsidR="00EB4CD1" w:rsidRPr="00EB4CD1">
        <w:t xml:space="preserve"> 213/2021</w:t>
      </w:r>
      <w:r w:rsidRPr="00EB4CD1">
        <w:t xml:space="preserve"> S </w:t>
      </w:r>
      <w:r w:rsidR="00EB4CD1" w:rsidRPr="00EB4CD1">
        <w:t>(OIDC) Luottamusverkoston rajapinnasta (</w:t>
      </w:r>
      <w:proofErr w:type="spellStart"/>
      <w:r w:rsidRPr="00EB4CD1">
        <w:t>Finnish</w:t>
      </w:r>
      <w:proofErr w:type="spellEnd"/>
      <w:r w:rsidRPr="00EB4CD1">
        <w:t xml:space="preserve"> </w:t>
      </w:r>
      <w:proofErr w:type="spellStart"/>
      <w:r w:rsidRPr="00EB4CD1">
        <w:t>Trust</w:t>
      </w:r>
      <w:proofErr w:type="spellEnd"/>
      <w:r w:rsidRPr="00EB4CD1">
        <w:t xml:space="preserve"> Network </w:t>
      </w:r>
      <w:proofErr w:type="spellStart"/>
      <w:r w:rsidRPr="00EB4CD1">
        <w:t>OpenID</w:t>
      </w:r>
      <w:proofErr w:type="spellEnd"/>
      <w:r w:rsidRPr="00EB4CD1">
        <w:t xml:space="preserve"> Connect </w:t>
      </w:r>
      <w:proofErr w:type="spellStart"/>
      <w:r w:rsidRPr="00EB4CD1">
        <w:t>Protocol</w:t>
      </w:r>
      <w:proofErr w:type="spellEnd"/>
      <w:r w:rsidRPr="00EB4CD1">
        <w:t xml:space="preserve"> </w:t>
      </w:r>
      <w:proofErr w:type="spellStart"/>
      <w:r w:rsidRPr="00EB4CD1">
        <w:t>Profile</w:t>
      </w:r>
      <w:proofErr w:type="spellEnd"/>
      <w:r w:rsidR="00EB4CD1" w:rsidRPr="00EB4CD1">
        <w:t>)</w:t>
      </w:r>
    </w:p>
    <w:p w14:paraId="7885B0E1" w14:textId="77777777" w:rsidR="00403A32" w:rsidRPr="00065486" w:rsidRDefault="00403A32" w:rsidP="00403A32">
      <w:pPr>
        <w:pStyle w:val="Leipteksti"/>
      </w:pPr>
      <w:r w:rsidRPr="00DA37F9">
        <w:t xml:space="preserve">[9] Viestintäviraston julkaisu 004/2016 J, Olli Norros: </w:t>
      </w:r>
      <w:r w:rsidRPr="00DA37F9">
        <w:rPr>
          <w:bCs/>
        </w:rPr>
        <w:t xml:space="preserve">Selvitys tunnistamiseen liittyvistä vahingonkorvauskysymyksistä, </w:t>
      </w:r>
      <w:r w:rsidRPr="00DA37F9">
        <w:t>Vahingo</w:t>
      </w:r>
      <w:r w:rsidRPr="00065486">
        <w:t>nkorvausoikeudellinen selvitys</w:t>
      </w:r>
    </w:p>
    <w:p w14:paraId="3BDF907D" w14:textId="77777777" w:rsidR="005D6F83" w:rsidRDefault="005D6F83" w:rsidP="00A82957">
      <w:pPr>
        <w:pStyle w:val="Leipteksti"/>
      </w:pPr>
    </w:p>
    <w:p w14:paraId="0AB6E2DB" w14:textId="77777777" w:rsidR="005D6F83" w:rsidRDefault="005D6F83" w:rsidP="00A82957">
      <w:pPr>
        <w:pStyle w:val="Leipteksti"/>
      </w:pPr>
    </w:p>
    <w:sectPr w:rsidR="005D6F83" w:rsidSect="000008C6">
      <w:headerReference w:type="even" r:id="rId11"/>
      <w:headerReference w:type="default" r:id="rId12"/>
      <w:footerReference w:type="default" r:id="rId13"/>
      <w:headerReference w:type="first" r:id="rId14"/>
      <w:footerReference w:type="first" r:id="rId15"/>
      <w:pgSz w:w="11906" w:h="16838" w:code="9"/>
      <w:pgMar w:top="1531" w:right="1021"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E24D" w14:textId="77777777" w:rsidR="00017634" w:rsidRDefault="00017634" w:rsidP="00261760">
      <w:r>
        <w:separator/>
      </w:r>
    </w:p>
  </w:endnote>
  <w:endnote w:type="continuationSeparator" w:id="0">
    <w:p w14:paraId="22DF6D5E" w14:textId="77777777" w:rsidR="00017634" w:rsidRDefault="00017634"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5000" w:type="pct"/>
      <w:tblCellMar>
        <w:left w:w="0" w:type="dxa"/>
        <w:right w:w="0" w:type="dxa"/>
      </w:tblCellMar>
      <w:tblLook w:val="04A0" w:firstRow="1" w:lastRow="0" w:firstColumn="1" w:lastColumn="0" w:noHBand="0" w:noVBand="1"/>
    </w:tblPr>
    <w:tblGrid>
      <w:gridCol w:w="9751"/>
    </w:tblGrid>
    <w:tr w:rsidR="00017634" w:rsidRPr="00432598" w14:paraId="2A3E9487" w14:textId="77777777" w:rsidTr="00432598">
      <w:tc>
        <w:tcPr>
          <w:tcW w:w="5000" w:type="pct"/>
        </w:tcPr>
        <w:p w14:paraId="72F889AB" w14:textId="77777777" w:rsidR="00017634" w:rsidRPr="00432598" w:rsidRDefault="00017634" w:rsidP="0000775A">
          <w:pPr>
            <w:pStyle w:val="Alatunniste"/>
          </w:pPr>
        </w:p>
        <w:p w14:paraId="43C651D8" w14:textId="235DBB64" w:rsidR="00017634" w:rsidRPr="00432598" w:rsidRDefault="00017634" w:rsidP="0000775A">
          <w:pPr>
            <w:pStyle w:val="Alatunniste"/>
          </w:pPr>
        </w:p>
      </w:tc>
    </w:tr>
  </w:tbl>
  <w:p w14:paraId="3DD4B657" w14:textId="77777777" w:rsidR="00017634" w:rsidRDefault="0001763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017634" w:rsidRPr="00EA2384" w14:paraId="427F673D" w14:textId="77777777" w:rsidTr="00F86E16">
      <w:trPr>
        <w:trHeight w:val="426"/>
      </w:trPr>
      <w:tc>
        <w:tcPr>
          <w:tcW w:w="4111" w:type="dxa"/>
        </w:tcPr>
        <w:p w14:paraId="5285DE17" w14:textId="77777777" w:rsidR="00017634" w:rsidRDefault="00017634" w:rsidP="00213E47">
          <w:pPr>
            <w:pStyle w:val="Alatunniste"/>
            <w:rPr>
              <w:b/>
              <w:lang w:eastAsia="fi-FI"/>
            </w:rPr>
          </w:pPr>
        </w:p>
      </w:tc>
      <w:tc>
        <w:tcPr>
          <w:tcW w:w="2126" w:type="dxa"/>
        </w:tcPr>
        <w:p w14:paraId="74A5EC92" w14:textId="77777777" w:rsidR="00017634" w:rsidRPr="008279C6" w:rsidRDefault="00017634" w:rsidP="008279C6">
          <w:pPr>
            <w:pStyle w:val="Alatunniste"/>
          </w:pPr>
        </w:p>
      </w:tc>
      <w:tc>
        <w:tcPr>
          <w:tcW w:w="2693" w:type="dxa"/>
        </w:tcPr>
        <w:p w14:paraId="1C71A38A" w14:textId="77777777" w:rsidR="00017634" w:rsidRPr="009D2B4A" w:rsidRDefault="00017634" w:rsidP="008279C6">
          <w:pPr>
            <w:pStyle w:val="Alatunniste"/>
            <w:rPr>
              <w:lang w:val="sv-FI"/>
            </w:rPr>
          </w:pPr>
        </w:p>
      </w:tc>
      <w:tc>
        <w:tcPr>
          <w:tcW w:w="2589" w:type="dxa"/>
          <w:gridSpan w:val="2"/>
        </w:tcPr>
        <w:p w14:paraId="4E9B9A68" w14:textId="77777777" w:rsidR="00017634" w:rsidRPr="004715F5" w:rsidRDefault="00017634" w:rsidP="008279C6">
          <w:pPr>
            <w:pStyle w:val="Alatunniste"/>
          </w:pPr>
        </w:p>
      </w:tc>
    </w:tr>
    <w:tr w:rsidR="00017634" w:rsidRPr="00964842" w14:paraId="17100654" w14:textId="77777777" w:rsidTr="00F86E16">
      <w:trPr>
        <w:gridAfter w:val="1"/>
        <w:wAfter w:w="38" w:type="dxa"/>
      </w:trPr>
      <w:tc>
        <w:tcPr>
          <w:tcW w:w="4111" w:type="dxa"/>
        </w:tcPr>
        <w:p w14:paraId="2CA878BC" w14:textId="77777777" w:rsidR="00017634" w:rsidRPr="00E37C6F" w:rsidRDefault="00017634" w:rsidP="00213E47">
          <w:pPr>
            <w:pStyle w:val="Alatunniste"/>
            <w:rPr>
              <w:lang w:val="sv-SE"/>
            </w:rPr>
          </w:pPr>
          <w:r w:rsidRPr="00E37C6F">
            <w:rPr>
              <w:lang w:eastAsia="fi-FI"/>
            </w:rPr>
            <mc:AlternateContent>
              <mc:Choice Requires="wps">
                <w:drawing>
                  <wp:anchor distT="0" distB="0" distL="114300" distR="114300" simplePos="0" relativeHeight="251676927" behindDoc="0" locked="1" layoutInCell="1" allowOverlap="1" wp14:anchorId="5FF69449" wp14:editId="11A3A5BD">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D938A"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Pr="00E37C6F">
            <w:rPr>
              <w:lang w:val="sv-SE"/>
            </w:rPr>
            <w:t>Liikenne- ja viestintävirasto Traficom</w:t>
          </w:r>
        </w:p>
        <w:p w14:paraId="562C9B83" w14:textId="77777777" w:rsidR="00017634" w:rsidRPr="00E37C6F" w:rsidRDefault="00017634" w:rsidP="00213E47">
          <w:pPr>
            <w:pStyle w:val="Alatunniste"/>
            <w:rPr>
              <w:lang w:val="sv-SE"/>
            </w:rPr>
          </w:pPr>
          <w:r w:rsidRPr="00E37C6F">
            <w:rPr>
              <w:lang w:val="sv-SE"/>
            </w:rPr>
            <w:t>Transport- och kommunikationsverket Traficom</w:t>
          </w:r>
        </w:p>
        <w:p w14:paraId="0856DAEB" w14:textId="77777777" w:rsidR="00017634" w:rsidRPr="00E37C6F" w:rsidRDefault="00017634" w:rsidP="00213E47">
          <w:pPr>
            <w:pStyle w:val="Alatunniste"/>
            <w:rPr>
              <w:b/>
              <w:lang w:val="en-US"/>
            </w:rPr>
          </w:pPr>
          <w:r w:rsidRPr="00E37C6F">
            <w:rPr>
              <w:lang w:val="en-US"/>
            </w:rPr>
            <w:t>Finnish Transport and Communications Agency Traficom</w:t>
          </w:r>
        </w:p>
      </w:tc>
      <w:tc>
        <w:tcPr>
          <w:tcW w:w="2126" w:type="dxa"/>
        </w:tcPr>
        <w:p w14:paraId="0719132F" w14:textId="77777777" w:rsidR="00017634" w:rsidRPr="005D6F83" w:rsidRDefault="00017634" w:rsidP="00213E47">
          <w:pPr>
            <w:pStyle w:val="Alatunniste"/>
            <w:rPr>
              <w:lang w:val="sv-SE"/>
            </w:rPr>
          </w:pPr>
          <w:r w:rsidRPr="005D6F83">
            <w:rPr>
              <w:lang w:val="sv-SE"/>
            </w:rPr>
            <w:t>Kumpulantie 9, Helsinki</w:t>
          </w:r>
        </w:p>
        <w:p w14:paraId="6801B32F" w14:textId="77777777" w:rsidR="00017634" w:rsidRPr="005D6F83" w:rsidRDefault="00017634" w:rsidP="00213E47">
          <w:pPr>
            <w:pStyle w:val="Alatunniste"/>
            <w:rPr>
              <w:lang w:val="sv-SE"/>
            </w:rPr>
          </w:pPr>
          <w:r w:rsidRPr="005D6F83">
            <w:rPr>
              <w:lang w:val="sv-SE"/>
            </w:rPr>
            <w:t>PL 320</w:t>
          </w:r>
        </w:p>
        <w:p w14:paraId="24440C5C" w14:textId="77777777" w:rsidR="00017634" w:rsidRPr="005D6F83" w:rsidRDefault="00017634" w:rsidP="009C5C38">
          <w:pPr>
            <w:pStyle w:val="Alatunniste"/>
            <w:ind w:right="280"/>
            <w:rPr>
              <w:lang w:val="sv-SE"/>
            </w:rPr>
          </w:pPr>
          <w:r w:rsidRPr="005D6F83">
            <w:rPr>
              <w:lang w:val="sv-SE"/>
            </w:rPr>
            <w:t>00059 TRAFICOM</w:t>
          </w:r>
        </w:p>
        <w:p w14:paraId="619AE9AE" w14:textId="77777777" w:rsidR="00017634" w:rsidRPr="005D6F83" w:rsidRDefault="00017634" w:rsidP="00213E47">
          <w:pPr>
            <w:pStyle w:val="Alatunniste"/>
            <w:rPr>
              <w:lang w:val="sv-SE"/>
            </w:rPr>
          </w:pPr>
          <w:r w:rsidRPr="005D6F83">
            <w:rPr>
              <w:lang w:val="sv-SE"/>
            </w:rPr>
            <w:t>p. 0295 345 000</w:t>
          </w:r>
        </w:p>
        <w:p w14:paraId="0F03A443" w14:textId="77777777" w:rsidR="00017634" w:rsidRPr="00E37C6F" w:rsidRDefault="00017634" w:rsidP="00345558">
          <w:pPr>
            <w:pStyle w:val="Alatunniste"/>
            <w:rPr>
              <w:lang w:val="sv-FI"/>
            </w:rPr>
          </w:pPr>
          <w:r w:rsidRPr="00E37C6F">
            <w:rPr>
              <w:lang w:val="sv-FI"/>
            </w:rPr>
            <w:t>traficom.fi</w:t>
          </w:r>
        </w:p>
      </w:tc>
      <w:tc>
        <w:tcPr>
          <w:tcW w:w="2693" w:type="dxa"/>
        </w:tcPr>
        <w:p w14:paraId="19C14EF9" w14:textId="77777777" w:rsidR="00017634" w:rsidRPr="00E37C6F" w:rsidRDefault="00017634" w:rsidP="00213E47">
          <w:pPr>
            <w:pStyle w:val="Alatunniste"/>
            <w:rPr>
              <w:lang w:val="sv-FI"/>
            </w:rPr>
          </w:pPr>
          <w:r w:rsidRPr="00E37C6F">
            <w:rPr>
              <w:lang w:val="sv-FI"/>
            </w:rPr>
            <w:t>Gumtäktsvägen 9, Helsingfors</w:t>
          </w:r>
        </w:p>
        <w:p w14:paraId="27FF5584" w14:textId="77777777" w:rsidR="00017634" w:rsidRPr="00E37C6F" w:rsidRDefault="00017634" w:rsidP="00213E47">
          <w:pPr>
            <w:pStyle w:val="Alatunniste"/>
            <w:rPr>
              <w:lang w:val="sv-FI"/>
            </w:rPr>
          </w:pPr>
          <w:r w:rsidRPr="00E37C6F">
            <w:rPr>
              <w:lang w:val="sv-FI"/>
            </w:rPr>
            <w:t xml:space="preserve">PB 320, FI-00059 </w:t>
          </w:r>
        </w:p>
        <w:p w14:paraId="09805F21" w14:textId="77777777" w:rsidR="00017634" w:rsidRPr="00E37C6F" w:rsidRDefault="00017634" w:rsidP="00213E47">
          <w:pPr>
            <w:pStyle w:val="Alatunniste"/>
            <w:rPr>
              <w:lang w:val="sv-FI"/>
            </w:rPr>
          </w:pPr>
          <w:r w:rsidRPr="00E37C6F">
            <w:rPr>
              <w:lang w:val="sv-SE"/>
            </w:rPr>
            <w:t>TRAFICOM</w:t>
          </w:r>
          <w:r w:rsidRPr="00E37C6F">
            <w:rPr>
              <w:lang w:val="sv-FI"/>
            </w:rPr>
            <w:t>, Finland</w:t>
          </w:r>
        </w:p>
        <w:p w14:paraId="1CCE34FB" w14:textId="77777777" w:rsidR="00017634" w:rsidRPr="00E37C6F" w:rsidRDefault="00017634" w:rsidP="00213E47">
          <w:pPr>
            <w:pStyle w:val="Alatunniste"/>
            <w:rPr>
              <w:lang w:val="sv-FI"/>
            </w:rPr>
          </w:pPr>
          <w:r>
            <w:rPr>
              <w:lang w:val="sv-FI"/>
            </w:rPr>
            <w:t xml:space="preserve">tfn. </w:t>
          </w:r>
          <w:r w:rsidRPr="00E37C6F">
            <w:rPr>
              <w:lang w:val="sv-FI"/>
            </w:rPr>
            <w:t>+358 295 345 000</w:t>
          </w:r>
        </w:p>
        <w:p w14:paraId="2DD3394E" w14:textId="77777777" w:rsidR="00017634" w:rsidRPr="00E37C6F" w:rsidRDefault="00017634" w:rsidP="00213E47">
          <w:pPr>
            <w:pStyle w:val="Alatunniste"/>
            <w:rPr>
              <w:lang w:val="sv-FI"/>
            </w:rPr>
          </w:pPr>
          <w:r w:rsidRPr="00E37C6F">
            <w:rPr>
              <w:lang w:val="sv-FI"/>
            </w:rPr>
            <w:t>traficom.fi</w:t>
          </w:r>
        </w:p>
      </w:tc>
      <w:tc>
        <w:tcPr>
          <w:tcW w:w="2551" w:type="dxa"/>
        </w:tcPr>
        <w:p w14:paraId="1B4A410D" w14:textId="77777777" w:rsidR="00017634" w:rsidRPr="005A28CB" w:rsidRDefault="00017634" w:rsidP="00213E47">
          <w:pPr>
            <w:pStyle w:val="Alatunniste"/>
          </w:pPr>
          <w:r w:rsidRPr="005A28CB">
            <w:t>Kumpulantie 9, Helsinki</w:t>
          </w:r>
        </w:p>
        <w:p w14:paraId="0AAE4FCA" w14:textId="77777777" w:rsidR="00017634" w:rsidRPr="005A28CB" w:rsidRDefault="00017634" w:rsidP="00F86E16">
          <w:pPr>
            <w:pStyle w:val="Alatunniste"/>
            <w:ind w:left="290" w:hanging="290"/>
          </w:pPr>
          <w:r w:rsidRPr="005A28CB">
            <w:t>P.O. Box 320, FI-00059</w:t>
          </w:r>
        </w:p>
        <w:p w14:paraId="5C37B779" w14:textId="77777777" w:rsidR="00017634" w:rsidRPr="00E37C6F" w:rsidRDefault="00017634" w:rsidP="00213E47">
          <w:pPr>
            <w:pStyle w:val="Alatunniste"/>
            <w:rPr>
              <w:lang w:val="sv-FI"/>
            </w:rPr>
          </w:pPr>
          <w:r w:rsidRPr="00E37C6F">
            <w:rPr>
              <w:lang w:val="sv-SE"/>
            </w:rPr>
            <w:t>TRAFICOM</w:t>
          </w:r>
          <w:r w:rsidRPr="00E37C6F">
            <w:rPr>
              <w:lang w:val="sv-FI"/>
            </w:rPr>
            <w:t>, Finland</w:t>
          </w:r>
        </w:p>
        <w:p w14:paraId="6086748C" w14:textId="77777777" w:rsidR="00017634" w:rsidRPr="005D6F83" w:rsidRDefault="00017634" w:rsidP="00213E47">
          <w:pPr>
            <w:pStyle w:val="Alatunniste"/>
            <w:rPr>
              <w:lang w:val="sv-SE"/>
            </w:rPr>
          </w:pPr>
          <w:r w:rsidRPr="005D6F83">
            <w:rPr>
              <w:lang w:val="sv-SE"/>
            </w:rPr>
            <w:t>Tel. +358 295 345 000</w:t>
          </w:r>
        </w:p>
        <w:p w14:paraId="213205AA" w14:textId="77777777" w:rsidR="00017634" w:rsidRPr="005D6F83" w:rsidRDefault="00017634" w:rsidP="00213E47">
          <w:pPr>
            <w:pStyle w:val="Alatunniste"/>
            <w:rPr>
              <w:lang w:val="sv-SE"/>
            </w:rPr>
          </w:pPr>
          <w:r w:rsidRPr="005D6F83">
            <w:rPr>
              <w:lang w:val="sv-SE"/>
            </w:rPr>
            <w:t>traficom.fi</w:t>
          </w:r>
        </w:p>
      </w:tc>
    </w:tr>
  </w:tbl>
  <w:p w14:paraId="5CCF8780" w14:textId="77777777" w:rsidR="00017634" w:rsidRPr="005D6F83" w:rsidRDefault="00017634" w:rsidP="005C795F">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022C" w14:textId="77777777" w:rsidR="00017634" w:rsidRDefault="00017634" w:rsidP="00261760">
      <w:r>
        <w:separator/>
      </w:r>
    </w:p>
  </w:footnote>
  <w:footnote w:type="continuationSeparator" w:id="0">
    <w:p w14:paraId="32429716" w14:textId="77777777" w:rsidR="00017634" w:rsidRDefault="00017634" w:rsidP="0026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E125" w14:textId="77777777" w:rsidR="00017634" w:rsidRDefault="00964842">
    <w:pPr>
      <w:pStyle w:val="Yltunniste"/>
    </w:pPr>
    <w:r>
      <w:pict w14:anchorId="3507D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41047" o:spid="_x0000_s2050" type="#_x0000_t136" style="position:absolute;margin-left:0;margin-top:0;width:581.6pt;height:105.75pt;rotation:315;z-index:-251633409;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017634" w:rsidRPr="00EC3F4A" w14:paraId="00893E0B" w14:textId="77777777" w:rsidTr="0000775A">
      <w:tc>
        <w:tcPr>
          <w:tcW w:w="5670" w:type="dxa"/>
          <w:vMerge w:val="restart"/>
        </w:tcPr>
        <w:p w14:paraId="6E1C2FC3" w14:textId="77777777" w:rsidR="00017634" w:rsidRPr="00EC3F4A" w:rsidRDefault="00017634" w:rsidP="00295BB7">
          <w:pPr>
            <w:pStyle w:val="Yltunniste"/>
          </w:pPr>
          <w:r>
            <w:rPr>
              <w:lang w:eastAsia="fi-FI"/>
            </w:rPr>
            <w:drawing>
              <wp:anchor distT="0" distB="0" distL="114300" distR="114300" simplePos="0" relativeHeight="251678975" behindDoc="0" locked="0" layoutInCell="1" allowOverlap="1" wp14:anchorId="09CA9C73" wp14:editId="3CE0ACC9">
                <wp:simplePos x="0" y="0"/>
                <wp:positionH relativeFrom="page">
                  <wp:posOffset>0</wp:posOffset>
                </wp:positionH>
                <wp:positionV relativeFrom="page">
                  <wp:posOffset>0</wp:posOffset>
                </wp:positionV>
                <wp:extent cx="2160000" cy="474409"/>
                <wp:effectExtent l="0" t="0" r="0" b="1905"/>
                <wp:wrapNone/>
                <wp:docPr id="4"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b/>
            </w:rPr>
            <w:id w:val="-2059541170"/>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4A615063" w14:textId="77777777" w:rsidR="00017634" w:rsidRPr="00EC3F4A" w:rsidRDefault="00017634" w:rsidP="00295BB7">
              <w:pPr>
                <w:pStyle w:val="Yltunniste"/>
              </w:pPr>
              <w:r>
                <w:rPr>
                  <w:b/>
                </w:rPr>
                <w:t>Suositus</w:t>
              </w:r>
            </w:p>
          </w:sdtContent>
        </w:sdt>
      </w:tc>
      <w:tc>
        <w:tcPr>
          <w:tcW w:w="1386" w:type="dxa"/>
          <w:gridSpan w:val="2"/>
        </w:tcPr>
        <w:p w14:paraId="1255CC3F" w14:textId="17D30FA9" w:rsidR="00017634" w:rsidRPr="00EC3F4A" w:rsidRDefault="00017634" w:rsidP="00295BB7">
          <w:pPr>
            <w:pStyle w:val="Yltunniste"/>
            <w:jc w:val="right"/>
          </w:pPr>
          <w:r>
            <w:fldChar w:fldCharType="begin"/>
          </w:r>
          <w:r>
            <w:instrText xml:space="preserve"> PAGE   \* MERGEFORMAT </w:instrText>
          </w:r>
          <w:r>
            <w:fldChar w:fldCharType="separate"/>
          </w:r>
          <w:r w:rsidR="00964842">
            <w:t>20</w:t>
          </w:r>
          <w:r>
            <w:fldChar w:fldCharType="end"/>
          </w:r>
          <w:r w:rsidRPr="00EC3F4A">
            <w:t xml:space="preserve"> (</w:t>
          </w:r>
          <w:r w:rsidR="00964842">
            <w:fldChar w:fldCharType="begin"/>
          </w:r>
          <w:r w:rsidR="00964842">
            <w:instrText xml:space="preserve"> NUMPAGES   \* MERGEFORMAT </w:instrText>
          </w:r>
          <w:r w:rsidR="00964842">
            <w:fldChar w:fldCharType="separate"/>
          </w:r>
          <w:r w:rsidR="00964842">
            <w:t>20</w:t>
          </w:r>
          <w:r w:rsidR="00964842">
            <w:fldChar w:fldCharType="end"/>
          </w:r>
          <w:r w:rsidRPr="00EC3F4A">
            <w:t>)</w:t>
          </w:r>
        </w:p>
      </w:tc>
    </w:tr>
    <w:tr w:rsidR="00017634" w:rsidRPr="00EC3F4A" w14:paraId="5EBD3B38" w14:textId="77777777" w:rsidTr="0000775A">
      <w:trPr>
        <w:trHeight w:val="172"/>
      </w:trPr>
      <w:tc>
        <w:tcPr>
          <w:tcW w:w="5670" w:type="dxa"/>
          <w:vMerge/>
        </w:tcPr>
        <w:p w14:paraId="2C1DE578" w14:textId="77777777" w:rsidR="00017634" w:rsidRPr="00EC3F4A" w:rsidRDefault="00017634" w:rsidP="00295BB7">
          <w:pPr>
            <w:pStyle w:val="Yltunniste"/>
          </w:pPr>
        </w:p>
      </w:tc>
      <w:tc>
        <w:tcPr>
          <w:tcW w:w="993" w:type="dxa"/>
        </w:tcPr>
        <w:p w14:paraId="11F8EC49" w14:textId="77777777" w:rsidR="00017634" w:rsidRPr="00EC3F4A" w:rsidRDefault="00017634" w:rsidP="00295BB7">
          <w:pPr>
            <w:pStyle w:val="Yltunniste"/>
          </w:pPr>
        </w:p>
      </w:tc>
      <w:tc>
        <w:tcPr>
          <w:tcW w:w="2466" w:type="dxa"/>
          <w:gridSpan w:val="2"/>
        </w:tcPr>
        <w:p w14:paraId="158D7AA3" w14:textId="77777777" w:rsidR="00017634" w:rsidRPr="00EC3F4A" w:rsidRDefault="00017634" w:rsidP="00295BB7">
          <w:pPr>
            <w:pStyle w:val="Yltunniste"/>
          </w:pPr>
        </w:p>
      </w:tc>
      <w:tc>
        <w:tcPr>
          <w:tcW w:w="762" w:type="dxa"/>
        </w:tcPr>
        <w:p w14:paraId="6FA66D55" w14:textId="77777777" w:rsidR="00017634" w:rsidRPr="00EC3F4A" w:rsidRDefault="00017634" w:rsidP="00295BB7">
          <w:pPr>
            <w:pStyle w:val="Yltunniste"/>
          </w:pPr>
        </w:p>
      </w:tc>
    </w:tr>
    <w:tr w:rsidR="00017634" w:rsidRPr="00EC3F4A" w14:paraId="517AA027" w14:textId="77777777" w:rsidTr="0000775A">
      <w:trPr>
        <w:trHeight w:val="172"/>
      </w:trPr>
      <w:tc>
        <w:tcPr>
          <w:tcW w:w="5670" w:type="dxa"/>
          <w:vMerge/>
        </w:tcPr>
        <w:p w14:paraId="1C95B3C7" w14:textId="77777777" w:rsidR="00017634" w:rsidRPr="00EC3F4A" w:rsidRDefault="00017634" w:rsidP="00295BB7">
          <w:pPr>
            <w:pStyle w:val="Yltunniste"/>
          </w:pPr>
        </w:p>
      </w:tc>
      <w:tc>
        <w:tcPr>
          <w:tcW w:w="4221" w:type="dxa"/>
          <w:gridSpan w:val="4"/>
        </w:tcPr>
        <w:p w14:paraId="361EAA5E" w14:textId="2D947CE8" w:rsidR="00017634" w:rsidRPr="00EC3F4A" w:rsidRDefault="00017634" w:rsidP="00DA37F9">
          <w:pPr>
            <w:pStyle w:val="Yltunniste"/>
          </w:pPr>
          <w:r w:rsidRPr="00403A32">
            <w:t>216/20</w:t>
          </w:r>
          <w:r>
            <w:t>20</w:t>
          </w:r>
          <w:r w:rsidRPr="00403A32">
            <w:t xml:space="preserve"> S</w:t>
          </w:r>
        </w:p>
      </w:tc>
    </w:tr>
    <w:tr w:rsidR="00017634" w:rsidRPr="00EC3F4A" w14:paraId="4FB42F6D" w14:textId="77777777" w:rsidTr="0000775A">
      <w:tc>
        <w:tcPr>
          <w:tcW w:w="5670" w:type="dxa"/>
        </w:tcPr>
        <w:p w14:paraId="685EE75C" w14:textId="77777777" w:rsidR="00017634" w:rsidRPr="009D2B4A" w:rsidRDefault="00017634" w:rsidP="00295BB7">
          <w:pPr>
            <w:pStyle w:val="Yltunniste"/>
          </w:pPr>
        </w:p>
      </w:tc>
      <w:tc>
        <w:tcPr>
          <w:tcW w:w="993" w:type="dxa"/>
        </w:tcPr>
        <w:p w14:paraId="1BDEA38B" w14:textId="77777777" w:rsidR="00017634" w:rsidRPr="009D2B4A" w:rsidRDefault="00017634" w:rsidP="00295BB7">
          <w:pPr>
            <w:pStyle w:val="Yltunniste"/>
          </w:pPr>
        </w:p>
      </w:tc>
      <w:tc>
        <w:tcPr>
          <w:tcW w:w="3228" w:type="dxa"/>
          <w:gridSpan w:val="3"/>
        </w:tcPr>
        <w:p w14:paraId="4734CD48" w14:textId="77777777" w:rsidR="00017634" w:rsidRPr="00EC3F4A" w:rsidRDefault="00017634" w:rsidP="00295BB7">
          <w:pPr>
            <w:pStyle w:val="Yltunniste"/>
            <w:jc w:val="right"/>
          </w:pPr>
          <w:r>
            <w:t>x.x.2020</w:t>
          </w:r>
        </w:p>
      </w:tc>
    </w:tr>
    <w:tr w:rsidR="00017634" w:rsidRPr="00EC3F4A" w14:paraId="0FF988CF" w14:textId="77777777" w:rsidTr="0000775A">
      <w:tc>
        <w:tcPr>
          <w:tcW w:w="5670" w:type="dxa"/>
        </w:tcPr>
        <w:p w14:paraId="4E8C547E" w14:textId="77777777" w:rsidR="00017634" w:rsidRPr="00546123" w:rsidRDefault="00017634" w:rsidP="00295BB7">
          <w:pPr>
            <w:pStyle w:val="Yltunniste"/>
          </w:pPr>
        </w:p>
      </w:tc>
      <w:tc>
        <w:tcPr>
          <w:tcW w:w="993" w:type="dxa"/>
        </w:tcPr>
        <w:p w14:paraId="78925530" w14:textId="77777777" w:rsidR="00017634" w:rsidRDefault="00017634" w:rsidP="00295BB7">
          <w:pPr>
            <w:pStyle w:val="Yltunniste"/>
          </w:pPr>
        </w:p>
      </w:tc>
      <w:tc>
        <w:tcPr>
          <w:tcW w:w="3228" w:type="dxa"/>
          <w:gridSpan w:val="3"/>
        </w:tcPr>
        <w:p w14:paraId="20DB1677" w14:textId="77777777" w:rsidR="00017634" w:rsidRPr="00EC3F4A" w:rsidRDefault="00017634" w:rsidP="00295BB7">
          <w:pPr>
            <w:pStyle w:val="Yltunniste"/>
          </w:pPr>
        </w:p>
      </w:tc>
    </w:tr>
  </w:tbl>
  <w:p w14:paraId="73021BCD" w14:textId="77777777" w:rsidR="00017634" w:rsidRDefault="00964842">
    <w:pPr>
      <w:pStyle w:val="Yltunniste"/>
    </w:pPr>
    <w:r>
      <w:pict w14:anchorId="12518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41048" o:spid="_x0000_s2051" type="#_x0000_t136" style="position:absolute;margin-left:0;margin-top:0;width:581.6pt;height:105.75pt;rotation:315;z-index:-251631361;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p w14:paraId="32F186ED" w14:textId="77777777" w:rsidR="00017634" w:rsidRDefault="0001763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017634" w:rsidRPr="00EC3F4A" w14:paraId="46DFCF1C" w14:textId="77777777" w:rsidTr="00170958">
      <w:tc>
        <w:tcPr>
          <w:tcW w:w="3969" w:type="dxa"/>
          <w:vMerge w:val="restart"/>
        </w:tcPr>
        <w:p w14:paraId="2BE300BA" w14:textId="77777777" w:rsidR="00017634" w:rsidRPr="00EC3F4A" w:rsidRDefault="00017634" w:rsidP="0000775A">
          <w:pPr>
            <w:pStyle w:val="Yltunniste"/>
          </w:pPr>
          <w:r>
            <w:rPr>
              <w:lang w:eastAsia="fi-FI"/>
            </w:rPr>
            <w:drawing>
              <wp:anchor distT="0" distB="0" distL="114300" distR="114300" simplePos="0" relativeHeight="251668480" behindDoc="0" locked="0" layoutInCell="1" allowOverlap="1" wp14:anchorId="5BA93A53" wp14:editId="062F5B52">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3E9F9A8A" w14:textId="77777777" w:rsidR="00017634" w:rsidRPr="00F12499" w:rsidRDefault="00017634" w:rsidP="0000775A">
              <w:pPr>
                <w:pStyle w:val="Yltunniste"/>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tc>
      <w:tc>
        <w:tcPr>
          <w:tcW w:w="1842" w:type="dxa"/>
        </w:tcPr>
        <w:p w14:paraId="0BF8781A" w14:textId="77777777" w:rsidR="00017634" w:rsidRPr="00EC3F4A" w:rsidRDefault="00017634" w:rsidP="00170958">
          <w:pPr>
            <w:pStyle w:val="Yltunniste"/>
            <w:jc w:val="right"/>
          </w:pPr>
        </w:p>
      </w:tc>
      <w:tc>
        <w:tcPr>
          <w:tcW w:w="1386" w:type="dxa"/>
          <w:gridSpan w:val="2"/>
        </w:tcPr>
        <w:p w14:paraId="56243A5C" w14:textId="77777777" w:rsidR="00017634" w:rsidRPr="00EC3F4A" w:rsidRDefault="00017634" w:rsidP="00170958">
          <w:pPr>
            <w:pStyle w:val="Yltunniste"/>
            <w:jc w:val="right"/>
          </w:pPr>
          <w:r>
            <w:fldChar w:fldCharType="begin"/>
          </w:r>
          <w:r>
            <w:instrText xml:space="preserve"> PAGE   \* MERGEFORMAT </w:instrText>
          </w:r>
          <w:r>
            <w:fldChar w:fldCharType="separate"/>
          </w:r>
          <w:r>
            <w:t>1</w:t>
          </w:r>
          <w:r>
            <w:fldChar w:fldCharType="end"/>
          </w:r>
          <w:r w:rsidRPr="00EC3F4A">
            <w:t xml:space="preserve"> (</w:t>
          </w:r>
          <w:r w:rsidR="00964842">
            <w:fldChar w:fldCharType="begin"/>
          </w:r>
          <w:r w:rsidR="00964842">
            <w:instrText xml:space="preserve"> NUMPAGES   \* MERGEFORMAT </w:instrText>
          </w:r>
          <w:r w:rsidR="00964842">
            <w:fldChar w:fldCharType="separate"/>
          </w:r>
          <w:r>
            <w:t>4</w:t>
          </w:r>
          <w:r w:rsidR="00964842">
            <w:fldChar w:fldCharType="end"/>
          </w:r>
          <w:r w:rsidRPr="00EC3F4A">
            <w:t>)</w:t>
          </w:r>
        </w:p>
      </w:tc>
    </w:tr>
    <w:tr w:rsidR="00017634" w:rsidRPr="00EC3F4A" w14:paraId="0BEE22C2" w14:textId="77777777" w:rsidTr="00170958">
      <w:trPr>
        <w:trHeight w:val="172"/>
      </w:trPr>
      <w:tc>
        <w:tcPr>
          <w:tcW w:w="3969" w:type="dxa"/>
          <w:vMerge/>
        </w:tcPr>
        <w:p w14:paraId="13195066" w14:textId="77777777" w:rsidR="00017634" w:rsidRPr="00EC3F4A" w:rsidRDefault="00017634" w:rsidP="0000775A">
          <w:pPr>
            <w:pStyle w:val="Yltunniste"/>
          </w:pPr>
        </w:p>
      </w:tc>
      <w:tc>
        <w:tcPr>
          <w:tcW w:w="2694" w:type="dxa"/>
        </w:tcPr>
        <w:p w14:paraId="4D2E09C2" w14:textId="77777777" w:rsidR="00017634" w:rsidRPr="00EC3F4A" w:rsidRDefault="00017634" w:rsidP="0000775A">
          <w:pPr>
            <w:pStyle w:val="Yltunniste"/>
          </w:pPr>
        </w:p>
      </w:tc>
      <w:tc>
        <w:tcPr>
          <w:tcW w:w="2466" w:type="dxa"/>
          <w:gridSpan w:val="2"/>
        </w:tcPr>
        <w:p w14:paraId="7A3933DC" w14:textId="77777777" w:rsidR="00017634" w:rsidRPr="00EC3F4A" w:rsidRDefault="00017634" w:rsidP="0000775A">
          <w:pPr>
            <w:pStyle w:val="Yltunniste"/>
          </w:pPr>
        </w:p>
      </w:tc>
      <w:tc>
        <w:tcPr>
          <w:tcW w:w="762" w:type="dxa"/>
        </w:tcPr>
        <w:p w14:paraId="7F877DB2" w14:textId="77777777" w:rsidR="00017634" w:rsidRPr="00EC3F4A" w:rsidRDefault="00017634" w:rsidP="0000775A">
          <w:pPr>
            <w:pStyle w:val="Yltunniste"/>
          </w:pPr>
        </w:p>
      </w:tc>
    </w:tr>
    <w:tr w:rsidR="00017634" w:rsidRPr="00EC3F4A" w14:paraId="266F65B4" w14:textId="77777777" w:rsidTr="0000775A">
      <w:trPr>
        <w:trHeight w:val="172"/>
      </w:trPr>
      <w:tc>
        <w:tcPr>
          <w:tcW w:w="3969" w:type="dxa"/>
          <w:vMerge/>
        </w:tcPr>
        <w:p w14:paraId="49B82127" w14:textId="77777777" w:rsidR="00017634" w:rsidRPr="00EC3F4A" w:rsidRDefault="00017634" w:rsidP="0000775A">
          <w:pPr>
            <w:pStyle w:val="Yltunniste"/>
          </w:pPr>
        </w:p>
      </w:tc>
      <w:tc>
        <w:tcPr>
          <w:tcW w:w="5922" w:type="dxa"/>
          <w:gridSpan w:val="4"/>
        </w:tcPr>
        <w:p w14:paraId="37DCA33E" w14:textId="77777777" w:rsidR="00017634" w:rsidRPr="00EC3F4A" w:rsidRDefault="00017634" w:rsidP="00170958">
          <w:pPr>
            <w:pStyle w:val="Yltunniste"/>
            <w:jc w:val="right"/>
          </w:pPr>
          <w:r>
            <w:t xml:space="preserve">Dnro </w:t>
          </w:r>
          <w:r>
            <w:fldChar w:fldCharType="begin"/>
          </w:r>
          <w:r>
            <w:instrText xml:space="preserve"> Macrobutton NoMacro [XXXX/XXXX/XXXX]</w:instrText>
          </w:r>
          <w:r>
            <w:fldChar w:fldCharType="end"/>
          </w:r>
        </w:p>
      </w:tc>
    </w:tr>
    <w:tr w:rsidR="00017634" w:rsidRPr="00EC3F4A" w14:paraId="33D4698C" w14:textId="77777777" w:rsidTr="00910BA8">
      <w:tc>
        <w:tcPr>
          <w:tcW w:w="3969" w:type="dxa"/>
        </w:tcPr>
        <w:p w14:paraId="1A9D7E9D" w14:textId="77777777" w:rsidR="00017634" w:rsidRPr="009D2B4A" w:rsidRDefault="00017634" w:rsidP="0000775A">
          <w:pPr>
            <w:pStyle w:val="Yltunniste"/>
          </w:pPr>
        </w:p>
      </w:tc>
      <w:tc>
        <w:tcPr>
          <w:tcW w:w="2694" w:type="dxa"/>
        </w:tcPr>
        <w:p w14:paraId="270F06CF" w14:textId="77777777" w:rsidR="00017634" w:rsidRPr="009D2B4A" w:rsidRDefault="00017634" w:rsidP="0000775A">
          <w:pPr>
            <w:pStyle w:val="Yltunniste"/>
          </w:pPr>
          <w:r>
            <w:t>Liite 1</w:t>
          </w:r>
        </w:p>
      </w:tc>
      <w:tc>
        <w:tcPr>
          <w:tcW w:w="3228" w:type="dxa"/>
          <w:gridSpan w:val="3"/>
        </w:tcPr>
        <w:p w14:paraId="0684E867" w14:textId="77777777" w:rsidR="00017634" w:rsidRPr="00EC3F4A" w:rsidRDefault="00017634" w:rsidP="00170958">
          <w:pPr>
            <w:pStyle w:val="Yltunniste"/>
            <w:jc w:val="right"/>
          </w:pPr>
          <w:r>
            <w:fldChar w:fldCharType="begin"/>
          </w:r>
          <w:r>
            <w:instrText xml:space="preserve"> Macrobutton NoMacro [Pvm]</w:instrText>
          </w:r>
          <w:r>
            <w:fldChar w:fldCharType="end"/>
          </w:r>
        </w:p>
      </w:tc>
    </w:tr>
    <w:tr w:rsidR="00017634" w:rsidRPr="00EC3F4A" w14:paraId="379571E2" w14:textId="77777777" w:rsidTr="00910BA8">
      <w:tc>
        <w:tcPr>
          <w:tcW w:w="3969" w:type="dxa"/>
        </w:tcPr>
        <w:p w14:paraId="76E1E730" w14:textId="77777777" w:rsidR="00017634" w:rsidRPr="00546123" w:rsidRDefault="00017634" w:rsidP="0000775A">
          <w:pPr>
            <w:pStyle w:val="Yltunniste"/>
          </w:pPr>
        </w:p>
      </w:tc>
      <w:tc>
        <w:tcPr>
          <w:tcW w:w="2694" w:type="dxa"/>
        </w:tcPr>
        <w:p w14:paraId="536F19A4" w14:textId="77777777" w:rsidR="00017634" w:rsidRDefault="00017634" w:rsidP="0000775A">
          <w:pPr>
            <w:pStyle w:val="Yltunniste"/>
          </w:pPr>
        </w:p>
      </w:tc>
      <w:tc>
        <w:tcPr>
          <w:tcW w:w="3228" w:type="dxa"/>
          <w:gridSpan w:val="3"/>
        </w:tcPr>
        <w:p w14:paraId="6837967F" w14:textId="77777777" w:rsidR="00017634" w:rsidRPr="00EC3F4A" w:rsidRDefault="00017634" w:rsidP="0000775A">
          <w:pPr>
            <w:pStyle w:val="Yltunniste"/>
          </w:pPr>
        </w:p>
      </w:tc>
    </w:tr>
  </w:tbl>
  <w:p w14:paraId="7B3ECC94" w14:textId="77777777" w:rsidR="00017634" w:rsidRDefault="00964842">
    <w:pPr>
      <w:pStyle w:val="Yltunniste"/>
    </w:pPr>
    <w:r>
      <w:pict w14:anchorId="61CF1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41046" o:spid="_x0000_s2049" type="#_x0000_t136" style="position:absolute;margin-left:0;margin-top:0;width:581.6pt;height:105.75pt;rotation:315;z-index:-251635457;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p w14:paraId="333B5608" w14:textId="77777777" w:rsidR="00017634" w:rsidRDefault="00017634">
    <w:pPr>
      <w:pStyle w:val="Yltunniste"/>
    </w:pPr>
  </w:p>
  <w:p w14:paraId="06604BF3" w14:textId="77777777" w:rsidR="00017634" w:rsidRDefault="0001763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D430728"/>
    <w:multiLevelType w:val="hybridMultilevel"/>
    <w:tmpl w:val="EDE278D4"/>
    <w:lvl w:ilvl="0" w:tplc="5D52A290">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E15EBE"/>
    <w:multiLevelType w:val="multilevel"/>
    <w:tmpl w:val="FBD6CC3A"/>
    <w:numStyleLink w:val="Luettelonumerot"/>
  </w:abstractNum>
  <w:abstractNum w:abstractNumId="3" w15:restartNumberingAfterBreak="0">
    <w:nsid w:val="2E867EEC"/>
    <w:multiLevelType w:val="multilevel"/>
    <w:tmpl w:val="1EC6F1B4"/>
    <w:styleLink w:val="Numeroituotsikointi"/>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1134" w:hanging="1134"/>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4" w15:restartNumberingAfterBreak="0">
    <w:nsid w:val="2EE37C28"/>
    <w:multiLevelType w:val="hybridMultilevel"/>
    <w:tmpl w:val="BF86302A"/>
    <w:lvl w:ilvl="0" w:tplc="040B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5" w15:restartNumberingAfterBreak="0">
    <w:nsid w:val="3A8C5608"/>
    <w:multiLevelType w:val="hybridMultilevel"/>
    <w:tmpl w:val="5B1A5256"/>
    <w:lvl w:ilvl="0" w:tplc="040B000F">
      <w:start w:val="1"/>
      <w:numFmt w:val="decimal"/>
      <w:lvlText w:val="%1."/>
      <w:lvlJc w:val="left"/>
      <w:pPr>
        <w:ind w:left="3328" w:hanging="360"/>
      </w:pPr>
    </w:lvl>
    <w:lvl w:ilvl="1" w:tplc="1904FA84">
      <w:numFmt w:val="bullet"/>
      <w:lvlText w:val="-"/>
      <w:lvlJc w:val="left"/>
      <w:pPr>
        <w:ind w:left="4996" w:hanging="1308"/>
      </w:pPr>
      <w:rPr>
        <w:rFonts w:ascii="Verdana" w:eastAsiaTheme="minorHAnsi" w:hAnsi="Verdana" w:cstheme="minorHAnsi" w:hint="default"/>
      </w:r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6" w15:restartNumberingAfterBreak="0">
    <w:nsid w:val="51DD55A5"/>
    <w:multiLevelType w:val="hybridMultilevel"/>
    <w:tmpl w:val="23943AB2"/>
    <w:lvl w:ilvl="0" w:tplc="040B000F">
      <w:start w:val="1"/>
      <w:numFmt w:val="decimal"/>
      <w:lvlText w:val="%1."/>
      <w:lvlJc w:val="left"/>
      <w:pPr>
        <w:ind w:left="3328" w:hanging="360"/>
      </w:pPr>
    </w:lvl>
    <w:lvl w:ilvl="1" w:tplc="1FFC846C">
      <w:start w:val="1"/>
      <w:numFmt w:val="decimal"/>
      <w:lvlText w:val="%2)"/>
      <w:lvlJc w:val="left"/>
      <w:pPr>
        <w:ind w:left="4048" w:hanging="360"/>
      </w:pPr>
      <w:rPr>
        <w:rFonts w:hint="default"/>
      </w:r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7" w15:restartNumberingAfterBreak="0">
    <w:nsid w:val="5D8741EC"/>
    <w:multiLevelType w:val="multilevel"/>
    <w:tmpl w:val="FBD6CC3A"/>
    <w:styleLink w:val="Luettelonumero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69692C51"/>
    <w:multiLevelType w:val="hybridMultilevel"/>
    <w:tmpl w:val="B7DAA432"/>
    <w:lvl w:ilvl="0" w:tplc="52781CC2">
      <w:start w:val="2"/>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A8B1E70"/>
    <w:multiLevelType w:val="hybridMultilevel"/>
    <w:tmpl w:val="23943AB2"/>
    <w:lvl w:ilvl="0" w:tplc="040B000F">
      <w:start w:val="1"/>
      <w:numFmt w:val="decimal"/>
      <w:lvlText w:val="%1."/>
      <w:lvlJc w:val="left"/>
      <w:pPr>
        <w:ind w:left="3328" w:hanging="360"/>
      </w:pPr>
    </w:lvl>
    <w:lvl w:ilvl="1" w:tplc="1FFC846C">
      <w:start w:val="1"/>
      <w:numFmt w:val="decimal"/>
      <w:lvlText w:val="%2)"/>
      <w:lvlJc w:val="left"/>
      <w:pPr>
        <w:ind w:left="4048" w:hanging="360"/>
      </w:pPr>
      <w:rPr>
        <w:rFonts w:hint="default"/>
      </w:r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7F263A62"/>
    <w:multiLevelType w:val="multilevel"/>
    <w:tmpl w:val="79A88E1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0"/>
  </w:num>
  <w:num w:numId="2">
    <w:abstractNumId w:val="7"/>
  </w:num>
  <w:num w:numId="3">
    <w:abstractNumId w:val="3"/>
  </w:num>
  <w:num w:numId="4">
    <w:abstractNumId w:val="0"/>
  </w:num>
  <w:num w:numId="5">
    <w:abstractNumId w:val="2"/>
  </w:num>
  <w:num w:numId="6">
    <w:abstractNumId w:val="5"/>
  </w:num>
  <w:num w:numId="7">
    <w:abstractNumId w:val="4"/>
  </w:num>
  <w:num w:numId="8">
    <w:abstractNumId w:val="9"/>
  </w:num>
  <w:num w:numId="9">
    <w:abstractNumId w:val="6"/>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1304"/>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32"/>
    <w:rsid w:val="0000057D"/>
    <w:rsid w:val="000008C6"/>
    <w:rsid w:val="000060C1"/>
    <w:rsid w:val="0000775A"/>
    <w:rsid w:val="00014E30"/>
    <w:rsid w:val="0001699F"/>
    <w:rsid w:val="00017634"/>
    <w:rsid w:val="000238BF"/>
    <w:rsid w:val="00032708"/>
    <w:rsid w:val="00035282"/>
    <w:rsid w:val="00047EF7"/>
    <w:rsid w:val="00063065"/>
    <w:rsid w:val="00067875"/>
    <w:rsid w:val="0009610D"/>
    <w:rsid w:val="000B3357"/>
    <w:rsid w:val="000B3F1D"/>
    <w:rsid w:val="000E4D27"/>
    <w:rsid w:val="000F0224"/>
    <w:rsid w:val="000F3064"/>
    <w:rsid w:val="00101D9E"/>
    <w:rsid w:val="0011074D"/>
    <w:rsid w:val="001124B9"/>
    <w:rsid w:val="001127D3"/>
    <w:rsid w:val="00115887"/>
    <w:rsid w:val="001174E2"/>
    <w:rsid w:val="001223C1"/>
    <w:rsid w:val="00127935"/>
    <w:rsid w:val="00134CE2"/>
    <w:rsid w:val="001674B7"/>
    <w:rsid w:val="00170958"/>
    <w:rsid w:val="00193233"/>
    <w:rsid w:val="0019752B"/>
    <w:rsid w:val="001A7F54"/>
    <w:rsid w:val="001B5BA6"/>
    <w:rsid w:val="001C0A18"/>
    <w:rsid w:val="001D62DC"/>
    <w:rsid w:val="001E2770"/>
    <w:rsid w:val="00213E47"/>
    <w:rsid w:val="00217315"/>
    <w:rsid w:val="00223987"/>
    <w:rsid w:val="002337C2"/>
    <w:rsid w:val="00240745"/>
    <w:rsid w:val="002461CF"/>
    <w:rsid w:val="002522F2"/>
    <w:rsid w:val="00261760"/>
    <w:rsid w:val="00271722"/>
    <w:rsid w:val="0029240F"/>
    <w:rsid w:val="00293F3E"/>
    <w:rsid w:val="00295BB7"/>
    <w:rsid w:val="002A212A"/>
    <w:rsid w:val="002A5A4B"/>
    <w:rsid w:val="002D0DA1"/>
    <w:rsid w:val="002E538C"/>
    <w:rsid w:val="002F6929"/>
    <w:rsid w:val="003030F4"/>
    <w:rsid w:val="00305757"/>
    <w:rsid w:val="0030655E"/>
    <w:rsid w:val="003401A5"/>
    <w:rsid w:val="00340459"/>
    <w:rsid w:val="00345558"/>
    <w:rsid w:val="00350DB9"/>
    <w:rsid w:val="003916A6"/>
    <w:rsid w:val="003917E1"/>
    <w:rsid w:val="003934D5"/>
    <w:rsid w:val="00393C81"/>
    <w:rsid w:val="003A7045"/>
    <w:rsid w:val="003E6880"/>
    <w:rsid w:val="003F27E5"/>
    <w:rsid w:val="00400957"/>
    <w:rsid w:val="00403A32"/>
    <w:rsid w:val="00407C11"/>
    <w:rsid w:val="00416F3C"/>
    <w:rsid w:val="00424608"/>
    <w:rsid w:val="00432598"/>
    <w:rsid w:val="00447286"/>
    <w:rsid w:val="004478DB"/>
    <w:rsid w:val="0045242D"/>
    <w:rsid w:val="004715F5"/>
    <w:rsid w:val="004A4AC8"/>
    <w:rsid w:val="004B62A4"/>
    <w:rsid w:val="004C56FF"/>
    <w:rsid w:val="004D079E"/>
    <w:rsid w:val="004D7F15"/>
    <w:rsid w:val="0051544F"/>
    <w:rsid w:val="0053238E"/>
    <w:rsid w:val="00546123"/>
    <w:rsid w:val="00555B18"/>
    <w:rsid w:val="00557918"/>
    <w:rsid w:val="00592100"/>
    <w:rsid w:val="00596083"/>
    <w:rsid w:val="005A10E1"/>
    <w:rsid w:val="005A28CB"/>
    <w:rsid w:val="005B374E"/>
    <w:rsid w:val="005B5649"/>
    <w:rsid w:val="005B6FC0"/>
    <w:rsid w:val="005C5925"/>
    <w:rsid w:val="005C5AAB"/>
    <w:rsid w:val="005C795F"/>
    <w:rsid w:val="005D6F83"/>
    <w:rsid w:val="005F23B7"/>
    <w:rsid w:val="00612D32"/>
    <w:rsid w:val="00634C73"/>
    <w:rsid w:val="0064061C"/>
    <w:rsid w:val="00657CCA"/>
    <w:rsid w:val="0066608E"/>
    <w:rsid w:val="006700CD"/>
    <w:rsid w:val="0069005A"/>
    <w:rsid w:val="00696C7A"/>
    <w:rsid w:val="00697384"/>
    <w:rsid w:val="006A5316"/>
    <w:rsid w:val="006C6235"/>
    <w:rsid w:val="006C7E27"/>
    <w:rsid w:val="006D1013"/>
    <w:rsid w:val="006D31EA"/>
    <w:rsid w:val="006E36F0"/>
    <w:rsid w:val="007102B6"/>
    <w:rsid w:val="0072074B"/>
    <w:rsid w:val="00725063"/>
    <w:rsid w:val="00745A0C"/>
    <w:rsid w:val="00766157"/>
    <w:rsid w:val="00770934"/>
    <w:rsid w:val="00785108"/>
    <w:rsid w:val="007A3D7B"/>
    <w:rsid w:val="007B27D9"/>
    <w:rsid w:val="007D10CC"/>
    <w:rsid w:val="007D2260"/>
    <w:rsid w:val="007E3C0A"/>
    <w:rsid w:val="007E6CEB"/>
    <w:rsid w:val="007F0683"/>
    <w:rsid w:val="007F195D"/>
    <w:rsid w:val="00811C93"/>
    <w:rsid w:val="00825477"/>
    <w:rsid w:val="008279C6"/>
    <w:rsid w:val="00845C83"/>
    <w:rsid w:val="008615BD"/>
    <w:rsid w:val="00881BDD"/>
    <w:rsid w:val="0089181B"/>
    <w:rsid w:val="00896362"/>
    <w:rsid w:val="00897887"/>
    <w:rsid w:val="008B04C0"/>
    <w:rsid w:val="008B4E1C"/>
    <w:rsid w:val="008C2451"/>
    <w:rsid w:val="008D30DD"/>
    <w:rsid w:val="008D4E9E"/>
    <w:rsid w:val="008F1AA4"/>
    <w:rsid w:val="00910BA8"/>
    <w:rsid w:val="00931AC4"/>
    <w:rsid w:val="00943906"/>
    <w:rsid w:val="00943D46"/>
    <w:rsid w:val="009636ED"/>
    <w:rsid w:val="00964842"/>
    <w:rsid w:val="009729AC"/>
    <w:rsid w:val="009A1EBE"/>
    <w:rsid w:val="009A2221"/>
    <w:rsid w:val="009A56CA"/>
    <w:rsid w:val="009B5A06"/>
    <w:rsid w:val="009C035F"/>
    <w:rsid w:val="009C0F8B"/>
    <w:rsid w:val="009C5C38"/>
    <w:rsid w:val="009C5D49"/>
    <w:rsid w:val="009D2B4A"/>
    <w:rsid w:val="009E56AA"/>
    <w:rsid w:val="009E7C92"/>
    <w:rsid w:val="009F74FE"/>
    <w:rsid w:val="00A03600"/>
    <w:rsid w:val="00A31517"/>
    <w:rsid w:val="00A4492C"/>
    <w:rsid w:val="00A5386D"/>
    <w:rsid w:val="00A622B4"/>
    <w:rsid w:val="00A637D1"/>
    <w:rsid w:val="00A82957"/>
    <w:rsid w:val="00A91104"/>
    <w:rsid w:val="00A93033"/>
    <w:rsid w:val="00AA1231"/>
    <w:rsid w:val="00AA14AC"/>
    <w:rsid w:val="00AB7413"/>
    <w:rsid w:val="00AC0A55"/>
    <w:rsid w:val="00AC5327"/>
    <w:rsid w:val="00AC60BA"/>
    <w:rsid w:val="00B00D18"/>
    <w:rsid w:val="00B07128"/>
    <w:rsid w:val="00B222AC"/>
    <w:rsid w:val="00B3558F"/>
    <w:rsid w:val="00B45749"/>
    <w:rsid w:val="00B54D30"/>
    <w:rsid w:val="00B717A3"/>
    <w:rsid w:val="00B93B24"/>
    <w:rsid w:val="00B94C70"/>
    <w:rsid w:val="00BA3AE7"/>
    <w:rsid w:val="00BA5905"/>
    <w:rsid w:val="00BC37BF"/>
    <w:rsid w:val="00BF79C5"/>
    <w:rsid w:val="00C02735"/>
    <w:rsid w:val="00C21B0F"/>
    <w:rsid w:val="00C521B3"/>
    <w:rsid w:val="00C548C4"/>
    <w:rsid w:val="00C76CF3"/>
    <w:rsid w:val="00C86D83"/>
    <w:rsid w:val="00C91803"/>
    <w:rsid w:val="00C94128"/>
    <w:rsid w:val="00CA4655"/>
    <w:rsid w:val="00CD1C54"/>
    <w:rsid w:val="00CD313B"/>
    <w:rsid w:val="00CD6DC6"/>
    <w:rsid w:val="00CF5149"/>
    <w:rsid w:val="00D03D0D"/>
    <w:rsid w:val="00D31CFD"/>
    <w:rsid w:val="00D35DD0"/>
    <w:rsid w:val="00D41B18"/>
    <w:rsid w:val="00D5347F"/>
    <w:rsid w:val="00D63FDE"/>
    <w:rsid w:val="00D651ED"/>
    <w:rsid w:val="00D810BD"/>
    <w:rsid w:val="00D83385"/>
    <w:rsid w:val="00D85420"/>
    <w:rsid w:val="00DA37F9"/>
    <w:rsid w:val="00DB49A1"/>
    <w:rsid w:val="00DC1C03"/>
    <w:rsid w:val="00DC4BB7"/>
    <w:rsid w:val="00DF0E85"/>
    <w:rsid w:val="00DF4AFA"/>
    <w:rsid w:val="00DF7FEE"/>
    <w:rsid w:val="00E0180F"/>
    <w:rsid w:val="00E20BFD"/>
    <w:rsid w:val="00E37C6F"/>
    <w:rsid w:val="00E41012"/>
    <w:rsid w:val="00E43DBE"/>
    <w:rsid w:val="00E56F9B"/>
    <w:rsid w:val="00E618B6"/>
    <w:rsid w:val="00E8082B"/>
    <w:rsid w:val="00EA2384"/>
    <w:rsid w:val="00EA5C3D"/>
    <w:rsid w:val="00EB4CD1"/>
    <w:rsid w:val="00EB505B"/>
    <w:rsid w:val="00EB6C50"/>
    <w:rsid w:val="00EC3F4A"/>
    <w:rsid w:val="00EE2B4D"/>
    <w:rsid w:val="00F05F9D"/>
    <w:rsid w:val="00F07EB5"/>
    <w:rsid w:val="00F12499"/>
    <w:rsid w:val="00F15CB8"/>
    <w:rsid w:val="00F16CEE"/>
    <w:rsid w:val="00F236E9"/>
    <w:rsid w:val="00F3083D"/>
    <w:rsid w:val="00F360DF"/>
    <w:rsid w:val="00F363B0"/>
    <w:rsid w:val="00F5251F"/>
    <w:rsid w:val="00F71E95"/>
    <w:rsid w:val="00F77EB3"/>
    <w:rsid w:val="00F86E16"/>
    <w:rsid w:val="00F8710D"/>
    <w:rsid w:val="00F93854"/>
    <w:rsid w:val="00F97EC5"/>
    <w:rsid w:val="00FB4D05"/>
    <w:rsid w:val="00FC3C1E"/>
    <w:rsid w:val="00FD0F6C"/>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59D4B"/>
  <w15:docId w15:val="{AB1D6D11-2922-4F47-A700-FC879132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313B"/>
    <w:rPr>
      <w:sz w:val="20"/>
    </w:rPr>
  </w:style>
  <w:style w:type="paragraph" w:styleId="Otsikko1">
    <w:name w:val="heading 1"/>
    <w:basedOn w:val="Normaali"/>
    <w:next w:val="Leipteksti"/>
    <w:link w:val="Otsikko1Char"/>
    <w:uiPriority w:val="9"/>
    <w:qFormat/>
    <w:rsid w:val="00CD313B"/>
    <w:pPr>
      <w:keepNext/>
      <w:keepLines/>
      <w:numPr>
        <w:numId w:val="3"/>
      </w:numPr>
      <w:spacing w:after="220"/>
      <w:outlineLvl w:val="0"/>
    </w:pPr>
    <w:rPr>
      <w:rFonts w:asciiTheme="majorHAnsi" w:eastAsiaTheme="majorEastAsia" w:hAnsiTheme="majorHAnsi" w:cstheme="majorHAnsi"/>
      <w:b/>
      <w:bCs/>
      <w:sz w:val="22"/>
      <w:szCs w:val="28"/>
    </w:rPr>
  </w:style>
  <w:style w:type="paragraph" w:styleId="Otsikko2">
    <w:name w:val="heading 2"/>
    <w:basedOn w:val="Normaali"/>
    <w:next w:val="Leipteksti"/>
    <w:link w:val="Otsikko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9729AC"/>
    <w:rPr>
      <w:noProof/>
    </w:rPr>
  </w:style>
  <w:style w:type="character" w:customStyle="1" w:styleId="YltunnisteChar">
    <w:name w:val="Ylätunniste Char"/>
    <w:basedOn w:val="Kappaleenoletusfontti"/>
    <w:link w:val="Yltunniste"/>
    <w:uiPriority w:val="99"/>
    <w:rsid w:val="00697384"/>
    <w:rPr>
      <w:noProof/>
      <w:sz w:val="20"/>
    </w:rPr>
  </w:style>
  <w:style w:type="paragraph" w:styleId="Alatunniste">
    <w:name w:val="footer"/>
    <w:basedOn w:val="Normaali"/>
    <w:link w:val="AlatunnisteChar"/>
    <w:uiPriority w:val="99"/>
    <w:rsid w:val="000008C6"/>
    <w:rPr>
      <w:noProof/>
      <w:sz w:val="16"/>
    </w:rPr>
  </w:style>
  <w:style w:type="character" w:customStyle="1" w:styleId="AlatunnisteChar">
    <w:name w:val="Alatunniste Char"/>
    <w:basedOn w:val="Kappaleenoletusfontti"/>
    <w:link w:val="Alatunniste"/>
    <w:uiPriority w:val="99"/>
    <w:rsid w:val="000008C6"/>
    <w:rPr>
      <w:noProof/>
      <w:sz w:val="16"/>
    </w:rPr>
  </w:style>
  <w:style w:type="paragraph" w:styleId="Seliteteksti">
    <w:name w:val="Balloon Text"/>
    <w:basedOn w:val="Normaali"/>
    <w:link w:val="SelitetekstiChar"/>
    <w:uiPriority w:val="99"/>
    <w:semiHidden/>
    <w:unhideWhenUsed/>
    <w:rsid w:val="009729AC"/>
    <w:rPr>
      <w:rFonts w:ascii="Tahoma" w:hAnsi="Tahoma" w:cs="Tahoma"/>
      <w:sz w:val="16"/>
      <w:szCs w:val="16"/>
    </w:rPr>
  </w:style>
  <w:style w:type="character" w:customStyle="1" w:styleId="SelitetekstiChar">
    <w:name w:val="Seliteteksti Char"/>
    <w:basedOn w:val="Kappaleenoletusfontti"/>
    <w:link w:val="Seliteteksti"/>
    <w:uiPriority w:val="99"/>
    <w:semiHidden/>
    <w:rsid w:val="00261760"/>
    <w:rPr>
      <w:rFonts w:ascii="Tahoma" w:hAnsi="Tahoma" w:cs="Tahoma"/>
      <w:sz w:val="16"/>
      <w:szCs w:val="16"/>
    </w:rPr>
  </w:style>
  <w:style w:type="table" w:styleId="TaulukkoRuudukko">
    <w:name w:val="Table Grid"/>
    <w:basedOn w:val="Normaalitaulukko"/>
    <w:uiPriority w:val="3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9729AC"/>
    <w:tblPr/>
  </w:style>
  <w:style w:type="character" w:styleId="Paikkamerkkiteksti">
    <w:name w:val="Placeholder Text"/>
    <w:basedOn w:val="Kappaleenoletusfontti"/>
    <w:uiPriority w:val="99"/>
    <w:rsid w:val="00CD313B"/>
    <w:rPr>
      <w:color w:val="auto"/>
      <w:bdr w:val="none" w:sz="0" w:space="0" w:color="auto"/>
      <w:shd w:val="clear" w:color="auto" w:fill="00AEB2" w:themeFill="accent1"/>
    </w:rPr>
  </w:style>
  <w:style w:type="character" w:customStyle="1" w:styleId="Otsikko7Char">
    <w:name w:val="Otsikko 7 Char"/>
    <w:basedOn w:val="Kappaleenoletusfontti"/>
    <w:link w:val="Otsikko7"/>
    <w:uiPriority w:val="9"/>
    <w:rsid w:val="0069005A"/>
    <w:rPr>
      <w:rFonts w:asciiTheme="majorHAnsi" w:eastAsiaTheme="majorEastAsia" w:hAnsiTheme="majorHAnsi" w:cstheme="majorBidi"/>
      <w:iCs/>
      <w:sz w:val="20"/>
    </w:rPr>
  </w:style>
  <w:style w:type="paragraph" w:styleId="Leipteksti">
    <w:name w:val="Body Text"/>
    <w:basedOn w:val="Normaali"/>
    <w:link w:val="LeiptekstiChar"/>
    <w:uiPriority w:val="1"/>
    <w:qFormat/>
    <w:rsid w:val="00CD313B"/>
    <w:pPr>
      <w:spacing w:after="200"/>
      <w:ind w:left="1304"/>
    </w:pPr>
  </w:style>
  <w:style w:type="character" w:customStyle="1" w:styleId="LeiptekstiChar">
    <w:name w:val="Leipäteksti Char"/>
    <w:basedOn w:val="Kappaleenoletusfontti"/>
    <w:link w:val="Leipteksti"/>
    <w:uiPriority w:val="1"/>
    <w:rsid w:val="00CD313B"/>
    <w:rPr>
      <w:sz w:val="20"/>
    </w:rPr>
  </w:style>
  <w:style w:type="paragraph" w:styleId="Eivli">
    <w:name w:val="No Spacing"/>
    <w:uiPriority w:val="2"/>
    <w:qFormat/>
    <w:rsid w:val="00032708"/>
    <w:pPr>
      <w:ind w:left="1304"/>
    </w:pPr>
    <w:rPr>
      <w:sz w:val="20"/>
    </w:rPr>
  </w:style>
  <w:style w:type="paragraph" w:styleId="Numeroituluettelo">
    <w:name w:val="List Number"/>
    <w:basedOn w:val="Normaali"/>
    <w:uiPriority w:val="99"/>
    <w:qFormat/>
    <w:rsid w:val="005A10E1"/>
    <w:pPr>
      <w:numPr>
        <w:numId w:val="5"/>
      </w:numPr>
      <w:spacing w:after="200"/>
      <w:contextualSpacing/>
    </w:pPr>
  </w:style>
  <w:style w:type="paragraph" w:styleId="Merkittyluettelo">
    <w:name w:val="List Bullet"/>
    <w:basedOn w:val="Normaali"/>
    <w:uiPriority w:val="99"/>
    <w:qFormat/>
    <w:rsid w:val="005A10E1"/>
    <w:pPr>
      <w:numPr>
        <w:numId w:val="4"/>
      </w:numPr>
      <w:spacing w:after="200"/>
      <w:contextualSpacing/>
    </w:pPr>
  </w:style>
  <w:style w:type="character" w:customStyle="1" w:styleId="Otsikko1Char">
    <w:name w:val="Otsikko 1 Char"/>
    <w:basedOn w:val="Kappaleenoletusfontti"/>
    <w:link w:val="Otsikko1"/>
    <w:uiPriority w:val="9"/>
    <w:rsid w:val="00CD313B"/>
    <w:rPr>
      <w:rFonts w:asciiTheme="majorHAnsi" w:eastAsiaTheme="majorEastAsia" w:hAnsiTheme="majorHAnsi" w:cstheme="majorHAnsi"/>
      <w:b/>
      <w:bCs/>
      <w:szCs w:val="28"/>
    </w:rPr>
  </w:style>
  <w:style w:type="paragraph" w:styleId="Otsikko">
    <w:name w:val="Title"/>
    <w:basedOn w:val="Normaali"/>
    <w:next w:val="Leipteksti"/>
    <w:link w:val="OtsikkoChar"/>
    <w:uiPriority w:val="10"/>
    <w:qFormat/>
    <w:rsid w:val="000008C6"/>
    <w:pPr>
      <w:spacing w:after="220"/>
      <w:contextualSpacing/>
    </w:pPr>
    <w:rPr>
      <w:rFonts w:asciiTheme="majorHAnsi" w:eastAsiaTheme="majorEastAsia" w:hAnsiTheme="majorHAnsi" w:cstheme="majorHAnsi"/>
      <w:b/>
      <w:kern w:val="22"/>
      <w:sz w:val="30"/>
      <w:szCs w:val="52"/>
    </w:rPr>
  </w:style>
  <w:style w:type="character" w:customStyle="1" w:styleId="OtsikkoChar">
    <w:name w:val="Otsikko Char"/>
    <w:basedOn w:val="Kappaleenoletusfontti"/>
    <w:link w:val="Otsikko"/>
    <w:uiPriority w:val="10"/>
    <w:rsid w:val="000008C6"/>
    <w:rPr>
      <w:rFonts w:asciiTheme="majorHAnsi" w:eastAsiaTheme="majorEastAsia" w:hAnsiTheme="majorHAnsi" w:cstheme="majorHAnsi"/>
      <w:b/>
      <w:kern w:val="22"/>
      <w:sz w:val="30"/>
      <w:szCs w:val="52"/>
    </w:rPr>
  </w:style>
  <w:style w:type="paragraph" w:styleId="Sisllysluettelonotsikko">
    <w:name w:val="TOC Heading"/>
    <w:next w:val="Normaali"/>
    <w:uiPriority w:val="39"/>
    <w:rsid w:val="00CD313B"/>
    <w:pPr>
      <w:spacing w:after="220"/>
    </w:pPr>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69005A"/>
    <w:rPr>
      <w:rFonts w:asciiTheme="majorHAnsi" w:eastAsiaTheme="majorEastAsia" w:hAnsiTheme="majorHAnsi" w:cstheme="majorBidi"/>
      <w:b/>
      <w:bCs/>
      <w:sz w:val="20"/>
      <w:szCs w:val="26"/>
    </w:rPr>
  </w:style>
  <w:style w:type="character" w:customStyle="1" w:styleId="Otsikko3Char">
    <w:name w:val="Otsikko 3 Char"/>
    <w:basedOn w:val="Kappaleenoletusfontti"/>
    <w:link w:val="Otsikko3"/>
    <w:uiPriority w:val="9"/>
    <w:rsid w:val="0069005A"/>
    <w:rPr>
      <w:rFonts w:asciiTheme="majorHAnsi" w:eastAsiaTheme="majorEastAsia" w:hAnsiTheme="majorHAnsi" w:cstheme="majorBidi"/>
      <w:bCs/>
      <w:sz w:val="20"/>
    </w:rPr>
  </w:style>
  <w:style w:type="character" w:customStyle="1" w:styleId="Otsikko4Char">
    <w:name w:val="Otsikko 4 Char"/>
    <w:basedOn w:val="Kappaleenoletusfontti"/>
    <w:link w:val="Otsikko4"/>
    <w:uiPriority w:val="9"/>
    <w:rsid w:val="0069005A"/>
    <w:rPr>
      <w:rFonts w:asciiTheme="majorHAnsi" w:eastAsiaTheme="majorEastAsia" w:hAnsiTheme="majorHAnsi" w:cstheme="majorBidi"/>
      <w:bCs/>
      <w:iCs/>
      <w:sz w:val="20"/>
    </w:rPr>
  </w:style>
  <w:style w:type="character" w:customStyle="1" w:styleId="Otsikko5Char">
    <w:name w:val="Otsikko 5 Char"/>
    <w:basedOn w:val="Kappaleenoletusfontti"/>
    <w:link w:val="Otsikko5"/>
    <w:uiPriority w:val="9"/>
    <w:rsid w:val="0069005A"/>
    <w:rPr>
      <w:rFonts w:asciiTheme="majorHAnsi" w:eastAsiaTheme="majorEastAsia" w:hAnsiTheme="majorHAnsi" w:cstheme="majorBidi"/>
      <w:sz w:val="20"/>
    </w:rPr>
  </w:style>
  <w:style w:type="character" w:customStyle="1" w:styleId="Otsikko6Char">
    <w:name w:val="Otsikko 6 Char"/>
    <w:basedOn w:val="Kappaleenoletusfontti"/>
    <w:link w:val="Otsikko6"/>
    <w:uiPriority w:val="9"/>
    <w:rsid w:val="0069005A"/>
    <w:rPr>
      <w:rFonts w:asciiTheme="majorHAnsi" w:eastAsiaTheme="majorEastAsia" w:hAnsiTheme="majorHAnsi" w:cstheme="majorBidi"/>
      <w:iCs/>
      <w:sz w:val="20"/>
    </w:rPr>
  </w:style>
  <w:style w:type="character" w:customStyle="1" w:styleId="Otsikko8Char">
    <w:name w:val="Otsikko 8 Char"/>
    <w:basedOn w:val="Kappaleenoletusfontti"/>
    <w:link w:val="Otsikko8"/>
    <w:uiPriority w:val="9"/>
    <w:rsid w:val="0069005A"/>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Leipteksti"/>
    <w:uiPriority w:val="99"/>
    <w:rsid w:val="009729AC"/>
    <w:pPr>
      <w:shd w:val="clear" w:color="auto" w:fill="FFFF00"/>
    </w:pPr>
  </w:style>
  <w:style w:type="character" w:styleId="Hyperlinkki">
    <w:name w:val="Hyperlink"/>
    <w:basedOn w:val="Kappaleenoletusfontti"/>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ali"/>
    <w:next w:val="Normaali"/>
    <w:rsid w:val="009729AC"/>
    <w:pPr>
      <w:spacing w:after="120"/>
      <w:jc w:val="both"/>
    </w:pPr>
    <w:rPr>
      <w:rFonts w:ascii="Verdana" w:eastAsia="Times New Roman" w:hAnsi="Verdana" w:cs="Arial"/>
      <w:b/>
    </w:rPr>
  </w:style>
  <w:style w:type="paragraph" w:customStyle="1" w:styleId="Taulukkoteksti">
    <w:name w:val="Taulukkoteksti"/>
    <w:basedOn w:val="Normaali"/>
    <w:rsid w:val="009729AC"/>
    <w:pPr>
      <w:spacing w:after="120"/>
      <w:jc w:val="both"/>
    </w:pPr>
    <w:rPr>
      <w:rFonts w:ascii="Verdana" w:eastAsia="Times New Roman" w:hAnsi="Verdana" w:cs="Arial"/>
    </w:rPr>
  </w:style>
  <w:style w:type="paragraph" w:styleId="Sisluet1">
    <w:name w:val="toc 1"/>
    <w:next w:val="Normaali"/>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Sisluet2">
    <w:name w:val="toc 2"/>
    <w:next w:val="Normaali"/>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Sisluet3">
    <w:name w:val="toc 3"/>
    <w:next w:val="Normaali"/>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Sisluet4">
    <w:name w:val="toc 4"/>
    <w:basedOn w:val="Normaali"/>
    <w:next w:val="Normaali"/>
    <w:autoRedefine/>
    <w:uiPriority w:val="39"/>
    <w:rsid w:val="009729AC"/>
    <w:pPr>
      <w:ind w:left="660"/>
    </w:pPr>
    <w:rPr>
      <w:szCs w:val="20"/>
    </w:rPr>
  </w:style>
  <w:style w:type="paragraph" w:styleId="Sisluet5">
    <w:name w:val="toc 5"/>
    <w:basedOn w:val="Normaali"/>
    <w:next w:val="Normaali"/>
    <w:autoRedefine/>
    <w:uiPriority w:val="39"/>
    <w:rsid w:val="009729AC"/>
    <w:pPr>
      <w:ind w:left="880"/>
    </w:pPr>
    <w:rPr>
      <w:szCs w:val="20"/>
    </w:rPr>
  </w:style>
  <w:style w:type="paragraph" w:styleId="Sisluet6">
    <w:name w:val="toc 6"/>
    <w:basedOn w:val="Normaali"/>
    <w:next w:val="Normaali"/>
    <w:autoRedefine/>
    <w:uiPriority w:val="39"/>
    <w:rsid w:val="009729AC"/>
    <w:pPr>
      <w:ind w:left="1100"/>
    </w:pPr>
    <w:rPr>
      <w:szCs w:val="20"/>
    </w:rPr>
  </w:style>
  <w:style w:type="paragraph" w:styleId="Sisluet7">
    <w:name w:val="toc 7"/>
    <w:basedOn w:val="Normaali"/>
    <w:next w:val="Normaali"/>
    <w:autoRedefine/>
    <w:uiPriority w:val="39"/>
    <w:rsid w:val="009729AC"/>
    <w:pPr>
      <w:ind w:left="1320"/>
    </w:pPr>
    <w:rPr>
      <w:szCs w:val="20"/>
    </w:rPr>
  </w:style>
  <w:style w:type="paragraph" w:styleId="Sisluet8">
    <w:name w:val="toc 8"/>
    <w:basedOn w:val="Normaali"/>
    <w:next w:val="Normaali"/>
    <w:autoRedefine/>
    <w:uiPriority w:val="39"/>
    <w:rsid w:val="009729AC"/>
    <w:pPr>
      <w:ind w:left="1540"/>
    </w:pPr>
    <w:rPr>
      <w:szCs w:val="20"/>
    </w:rPr>
  </w:style>
  <w:style w:type="paragraph" w:styleId="Sisluet9">
    <w:name w:val="toc 9"/>
    <w:basedOn w:val="Normaali"/>
    <w:next w:val="Normaali"/>
    <w:autoRedefine/>
    <w:uiPriority w:val="39"/>
    <w:rsid w:val="009729AC"/>
    <w:pPr>
      <w:ind w:left="1760"/>
    </w:pPr>
    <w:rPr>
      <w:szCs w:val="20"/>
    </w:rPr>
  </w:style>
  <w:style w:type="table" w:customStyle="1" w:styleId="Traficomtaulukko">
    <w:name w:val="Traficom taulukko"/>
    <w:basedOn w:val="Normaalitaulukko"/>
    <w:uiPriority w:val="99"/>
    <w:qFormat/>
    <w:rsid w:val="005D6F83"/>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cPr>
      <w:shd w:val="clear" w:color="auto" w:fill="auto"/>
    </w:tcPr>
    <w:tblStylePr w:type="firstRow">
      <w:rPr>
        <w:b/>
        <w:color w:val="FFFFFF" w:themeColor="background1"/>
      </w:rPr>
      <w:tblPr/>
      <w:tcPr>
        <w:shd w:val="clear" w:color="auto" w:fill="018285" w:themeFill="accent2"/>
      </w:tcPr>
    </w:tblStylePr>
  </w:style>
  <w:style w:type="paragraph" w:styleId="Kuvaotsikko">
    <w:name w:val="caption"/>
    <w:basedOn w:val="Normaali"/>
    <w:next w:val="Normaali"/>
    <w:uiPriority w:val="35"/>
    <w:unhideWhenUsed/>
    <w:qFormat/>
    <w:rsid w:val="00F5251F"/>
    <w:pPr>
      <w:spacing w:after="200"/>
    </w:pPr>
    <w:rPr>
      <w:i/>
      <w:iCs/>
      <w:color w:val="018285" w:themeColor="text2"/>
      <w:sz w:val="18"/>
      <w:szCs w:val="18"/>
    </w:rPr>
  </w:style>
  <w:style w:type="table" w:customStyle="1" w:styleId="Viestintvirastotaulukko">
    <w:name w:val="Viestintävirasto taulukko"/>
    <w:basedOn w:val="Normaalitaulukko"/>
    <w:uiPriority w:val="99"/>
    <w:qFormat/>
    <w:rsid w:val="0053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character" w:styleId="Kommentinviite">
    <w:name w:val="annotation reference"/>
    <w:basedOn w:val="Kappaleenoletusfontti"/>
    <w:uiPriority w:val="99"/>
    <w:semiHidden/>
    <w:unhideWhenUsed/>
    <w:rsid w:val="00403A32"/>
    <w:rPr>
      <w:sz w:val="16"/>
      <w:szCs w:val="16"/>
    </w:rPr>
  </w:style>
  <w:style w:type="paragraph" w:styleId="Kommentinteksti">
    <w:name w:val="annotation text"/>
    <w:basedOn w:val="Normaali"/>
    <w:link w:val="KommentintekstiChar"/>
    <w:uiPriority w:val="99"/>
    <w:unhideWhenUsed/>
    <w:rsid w:val="00403A32"/>
    <w:rPr>
      <w:szCs w:val="20"/>
    </w:rPr>
  </w:style>
  <w:style w:type="character" w:customStyle="1" w:styleId="KommentintekstiChar">
    <w:name w:val="Kommentin teksti Char"/>
    <w:basedOn w:val="Kappaleenoletusfontti"/>
    <w:link w:val="Kommentinteksti"/>
    <w:uiPriority w:val="99"/>
    <w:rsid w:val="00403A32"/>
    <w:rPr>
      <w:sz w:val="20"/>
      <w:szCs w:val="20"/>
    </w:rPr>
  </w:style>
  <w:style w:type="character" w:styleId="Korostus">
    <w:name w:val="Emphasis"/>
    <w:basedOn w:val="Kappaleenoletusfontti"/>
    <w:uiPriority w:val="20"/>
    <w:qFormat/>
    <w:rsid w:val="00403A32"/>
    <w:rPr>
      <w:i/>
      <w:iCs/>
    </w:rPr>
  </w:style>
  <w:style w:type="paragraph" w:customStyle="1" w:styleId="Normalvasen">
    <w:name w:val="Normal vasen"/>
    <w:basedOn w:val="Normaali"/>
    <w:link w:val="NormalvasenChar"/>
    <w:qFormat/>
    <w:rsid w:val="00403A32"/>
    <w:rPr>
      <w:rFonts w:cstheme="minorBidi"/>
      <w:sz w:val="22"/>
      <w:lang w:val="en-US"/>
    </w:rPr>
  </w:style>
  <w:style w:type="character" w:customStyle="1" w:styleId="NormalvasenChar">
    <w:name w:val="Normal vasen Char"/>
    <w:basedOn w:val="Kappaleenoletusfontti"/>
    <w:link w:val="Normalvasen"/>
    <w:rsid w:val="00403A32"/>
    <w:rPr>
      <w:rFonts w:cstheme="minorBidi"/>
      <w:lang w:val="en-US"/>
    </w:rPr>
  </w:style>
  <w:style w:type="paragraph" w:styleId="Kommentinotsikko">
    <w:name w:val="annotation subject"/>
    <w:basedOn w:val="Kommentinteksti"/>
    <w:next w:val="Kommentinteksti"/>
    <w:link w:val="KommentinotsikkoChar"/>
    <w:uiPriority w:val="99"/>
    <w:semiHidden/>
    <w:unhideWhenUsed/>
    <w:rsid w:val="008C2451"/>
    <w:rPr>
      <w:b/>
      <w:bCs/>
    </w:rPr>
  </w:style>
  <w:style w:type="character" w:customStyle="1" w:styleId="KommentinotsikkoChar">
    <w:name w:val="Kommentin otsikko Char"/>
    <w:basedOn w:val="KommentintekstiChar"/>
    <w:link w:val="Kommentinotsikko"/>
    <w:uiPriority w:val="99"/>
    <w:semiHidden/>
    <w:rsid w:val="008C2451"/>
    <w:rPr>
      <w:b/>
      <w:bCs/>
      <w:sz w:val="20"/>
      <w:szCs w:val="20"/>
    </w:rPr>
  </w:style>
  <w:style w:type="paragraph" w:customStyle="1" w:styleId="Sisennys">
    <w:name w:val="Sisennys"/>
    <w:basedOn w:val="Leipteksti"/>
    <w:link w:val="SisennysChar"/>
    <w:qFormat/>
    <w:rsid w:val="00416F3C"/>
    <w:pPr>
      <w:ind w:left="1843"/>
    </w:pPr>
    <w:rPr>
      <w:sz w:val="18"/>
    </w:rPr>
  </w:style>
  <w:style w:type="character" w:customStyle="1" w:styleId="SisennysChar">
    <w:name w:val="Sisennys Char"/>
    <w:basedOn w:val="LeiptekstiChar"/>
    <w:link w:val="Sisennys"/>
    <w:rsid w:val="00416F3C"/>
    <w:rPr>
      <w:sz w:val="18"/>
    </w:rPr>
  </w:style>
  <w:style w:type="paragraph" w:styleId="Vaintekstin">
    <w:name w:val="Plain Text"/>
    <w:basedOn w:val="Normaali"/>
    <w:link w:val="VaintekstinChar"/>
    <w:uiPriority w:val="99"/>
    <w:semiHidden/>
    <w:unhideWhenUsed/>
    <w:rsid w:val="00115887"/>
    <w:rPr>
      <w:rFonts w:ascii="Calibri" w:hAnsi="Calibri" w:cstheme="minorBidi"/>
      <w:sz w:val="22"/>
      <w:szCs w:val="21"/>
    </w:rPr>
  </w:style>
  <w:style w:type="character" w:customStyle="1" w:styleId="VaintekstinChar">
    <w:name w:val="Vain tekstinä Char"/>
    <w:basedOn w:val="Kappaleenoletusfontti"/>
    <w:link w:val="Vaintekstin"/>
    <w:uiPriority w:val="99"/>
    <w:semiHidden/>
    <w:rsid w:val="00115887"/>
    <w:rPr>
      <w:rFonts w:ascii="Calibri" w:hAnsi="Calibri" w:cstheme="minorBidi"/>
      <w:szCs w:val="21"/>
    </w:rPr>
  </w:style>
  <w:style w:type="paragraph" w:styleId="Muutos">
    <w:name w:val="Revision"/>
    <w:hidden/>
    <w:uiPriority w:val="99"/>
    <w:semiHidden/>
    <w:rsid w:val="000F0224"/>
    <w:rPr>
      <w:sz w:val="20"/>
    </w:rPr>
  </w:style>
  <w:style w:type="paragraph" w:styleId="Luettelokappale">
    <w:name w:val="List Paragraph"/>
    <w:basedOn w:val="Normaali"/>
    <w:uiPriority w:val="34"/>
    <w:semiHidden/>
    <w:qFormat/>
    <w:rsid w:val="002A2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04789">
      <w:bodyDiv w:val="1"/>
      <w:marLeft w:val="0"/>
      <w:marRight w:val="0"/>
      <w:marTop w:val="0"/>
      <w:marBottom w:val="0"/>
      <w:divBdr>
        <w:top w:val="none" w:sz="0" w:space="0" w:color="auto"/>
        <w:left w:val="none" w:sz="0" w:space="0" w:color="auto"/>
        <w:bottom w:val="none" w:sz="0" w:space="0" w:color="auto"/>
        <w:right w:val="none" w:sz="0" w:space="0" w:color="auto"/>
      </w:divBdr>
    </w:div>
    <w:div w:id="18384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gal-content/FI/TXT/PDF/?uri=CELEX:32015R1501&amp;rid=2" TargetMode="External"/><Relationship Id="rId4" Type="http://schemas.openxmlformats.org/officeDocument/2006/relationships/styles" Target="styles.xml"/><Relationship Id="rId9" Type="http://schemas.openxmlformats.org/officeDocument/2006/relationships/hyperlink" Target="http://eur-lex.europa.eu/legal-content/FI/TXT/PDF/?uri=CELEX:32015R1502&amp;qid=1455478267718&amp;from=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D%20Pitk&#228;%20asiakirja%201%20su.dotx" TargetMode="External"/></Relationship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CB44B9-A916-477F-9681-89FAD1B4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Pitkä asiakirja 1 su.dotx</Template>
  <TotalTime>1</TotalTime>
  <Pages>20</Pages>
  <Words>5497</Words>
  <Characters>44531</Characters>
  <Application>Microsoft Office Word</Application>
  <DocSecurity>0</DocSecurity>
  <Lines>371</Lines>
  <Paragraphs>99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Liikenne- ja viestintävirasto Traficom</Company>
  <LinksUpToDate>false</LinksUpToDate>
  <CharactersWithSpaces>49929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Priiki Marko</dc:creator>
  <cp:lastModifiedBy>Ihalainen Hilda</cp:lastModifiedBy>
  <cp:revision>2</cp:revision>
  <cp:lastPrinted>2018-06-08T10:12:00Z</cp:lastPrinted>
  <dcterms:created xsi:type="dcterms:W3CDTF">2022-04-13T10:00:00Z</dcterms:created>
  <dcterms:modified xsi:type="dcterms:W3CDTF">2022-04-13T10:00:00Z</dcterms:modified>
</cp:coreProperties>
</file>