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3A19" w14:textId="0C1D172B" w:rsidR="00415CDB" w:rsidRDefault="00415CDB" w:rsidP="00507BB8">
      <w:pPr>
        <w:jc w:val="both"/>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E054CB5">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232AB3C5" w:rsidR="0040546B" w:rsidRPr="00C02F47" w:rsidRDefault="0E054CB5" w:rsidP="00507BB8">
            <w:pPr>
              <w:pStyle w:val="Header"/>
              <w:tabs>
                <w:tab w:val="clear" w:pos="4819"/>
                <w:tab w:val="clear" w:pos="9638"/>
              </w:tabs>
              <w:jc w:val="both"/>
              <w:rPr>
                <w:sz w:val="16"/>
                <w:szCs w:val="16"/>
              </w:rPr>
            </w:pPr>
            <w:r w:rsidRPr="0E054CB5">
              <w:rPr>
                <w:sz w:val="16"/>
                <w:szCs w:val="16"/>
              </w:rPr>
              <w:t>Antopäivä:</w:t>
            </w:r>
            <w:r w:rsidR="51BC3758">
              <w:br/>
            </w:r>
            <w:r w:rsidR="004E04CD">
              <w:t>x.</w:t>
            </w:r>
            <w:r w:rsidR="00097C31">
              <w:t>12</w:t>
            </w:r>
            <w:r w:rsidR="004E04CD">
              <w:t>.2022</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AB1593" w:rsidRDefault="0E054CB5" w:rsidP="00507BB8">
            <w:pPr>
              <w:pStyle w:val="Header"/>
              <w:tabs>
                <w:tab w:val="clear" w:pos="4819"/>
                <w:tab w:val="clear" w:pos="9638"/>
              </w:tabs>
              <w:jc w:val="both"/>
              <w:rPr>
                <w:sz w:val="16"/>
                <w:szCs w:val="16"/>
              </w:rPr>
            </w:pPr>
            <w:commentRangeStart w:id="0"/>
            <w:r w:rsidRPr="0E054CB5">
              <w:rPr>
                <w:sz w:val="16"/>
                <w:szCs w:val="16"/>
              </w:rPr>
              <w:t>Voimaantulopäivä:</w:t>
            </w:r>
          </w:p>
          <w:p w14:paraId="70E450CF" w14:textId="3C933706" w:rsidR="0040546B" w:rsidRDefault="0E054CB5" w:rsidP="00507BB8">
            <w:pPr>
              <w:pStyle w:val="Header"/>
              <w:jc w:val="both"/>
            </w:pPr>
            <w:r>
              <w:t>1.</w:t>
            </w:r>
            <w:r w:rsidR="004E04CD">
              <w:t>1</w:t>
            </w:r>
            <w:r>
              <w:t>.</w:t>
            </w:r>
            <w:r w:rsidR="004E04CD">
              <w:t>2023</w:t>
            </w:r>
            <w:commentRangeEnd w:id="0"/>
            <w:r w:rsidR="00943646">
              <w:rPr>
                <w:rStyle w:val="CommentReference"/>
              </w:rPr>
              <w:commentReference w:id="0"/>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AB1593" w:rsidRDefault="0E054CB5" w:rsidP="00507BB8">
            <w:pPr>
              <w:pStyle w:val="Header"/>
              <w:tabs>
                <w:tab w:val="clear" w:pos="4819"/>
                <w:tab w:val="clear" w:pos="9638"/>
              </w:tabs>
              <w:jc w:val="both"/>
              <w:rPr>
                <w:sz w:val="16"/>
                <w:szCs w:val="16"/>
              </w:rPr>
            </w:pPr>
            <w:r w:rsidRPr="0E054CB5">
              <w:rPr>
                <w:sz w:val="16"/>
                <w:szCs w:val="16"/>
              </w:rPr>
              <w:t>Voimassa:</w:t>
            </w:r>
          </w:p>
          <w:p w14:paraId="70E450D1" w14:textId="714DCC79" w:rsidR="0040546B" w:rsidRDefault="0E054CB5" w:rsidP="00507BB8">
            <w:pPr>
              <w:pStyle w:val="Header"/>
              <w:jc w:val="both"/>
            </w:pPr>
            <w:r>
              <w:t>toistaiseksi</w:t>
            </w:r>
          </w:p>
        </w:tc>
      </w:tr>
      <w:tr w:rsidR="0040546B" w14:paraId="70E450D5"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D85402B" w14:textId="7ACEA42F" w:rsidR="00C6588C" w:rsidRPr="00AB1593" w:rsidRDefault="0E054CB5" w:rsidP="00507BB8">
            <w:pPr>
              <w:pStyle w:val="Header"/>
              <w:tabs>
                <w:tab w:val="clear" w:pos="4819"/>
                <w:tab w:val="clear" w:pos="9638"/>
              </w:tabs>
              <w:jc w:val="both"/>
              <w:rPr>
                <w:sz w:val="16"/>
                <w:szCs w:val="16"/>
              </w:rPr>
            </w:pPr>
            <w:r w:rsidRPr="0E054CB5">
              <w:rPr>
                <w:sz w:val="16"/>
                <w:szCs w:val="16"/>
              </w:rPr>
              <w:t>Lainsäädäntö, johon ohje perustuu:</w:t>
            </w:r>
          </w:p>
          <w:p w14:paraId="70E450D4" w14:textId="77777777" w:rsidR="0040546B" w:rsidRDefault="0040546B" w:rsidP="00507BB8">
            <w:pPr>
              <w:pStyle w:val="Header"/>
              <w:tabs>
                <w:tab w:val="clear" w:pos="4819"/>
                <w:tab w:val="clear" w:pos="9638"/>
              </w:tabs>
              <w:jc w:val="both"/>
            </w:pPr>
          </w:p>
        </w:tc>
      </w:tr>
      <w:tr w:rsidR="0040546B" w14:paraId="70E450DB"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AB1593" w:rsidRDefault="0E054CB5" w:rsidP="00507BB8">
            <w:pPr>
              <w:pStyle w:val="Header"/>
              <w:tabs>
                <w:tab w:val="clear" w:pos="4819"/>
                <w:tab w:val="clear" w:pos="9638"/>
              </w:tabs>
              <w:jc w:val="both"/>
              <w:rPr>
                <w:sz w:val="18"/>
                <w:szCs w:val="18"/>
              </w:rPr>
            </w:pPr>
            <w:r w:rsidRPr="0E054CB5">
              <w:rPr>
                <w:sz w:val="16"/>
                <w:szCs w:val="16"/>
              </w:rPr>
              <w:t>Muutostiedot:</w:t>
            </w:r>
          </w:p>
          <w:p w14:paraId="24397745" w14:textId="46B785CD" w:rsidR="0040546B" w:rsidRDefault="006044E4" w:rsidP="00507BB8">
            <w:pPr>
              <w:pStyle w:val="Header"/>
              <w:jc w:val="both"/>
            </w:pPr>
            <w:r>
              <w:t>Versio 1.0, antopäivä 29.6.202</w:t>
            </w:r>
            <w:r w:rsidR="00580691">
              <w:t>0</w:t>
            </w:r>
            <w:r>
              <w:t>, voimaantulopäivä 1.7.2020</w:t>
            </w:r>
          </w:p>
          <w:p w14:paraId="48937F25" w14:textId="7FB1463B" w:rsidR="006044E4" w:rsidRDefault="006044E4" w:rsidP="00507BB8">
            <w:pPr>
              <w:pStyle w:val="Header"/>
              <w:jc w:val="both"/>
            </w:pPr>
            <w:r>
              <w:t>Versio 1.1, antopäivä xx.</w:t>
            </w:r>
            <w:r w:rsidR="00065028">
              <w:t>12</w:t>
            </w:r>
            <w:r>
              <w:t>.2022, voimaantulopäivä 1.1.2023</w:t>
            </w:r>
          </w:p>
          <w:p w14:paraId="55A05BEA" w14:textId="4F345432" w:rsidR="007849E3" w:rsidRDefault="007849E3" w:rsidP="00065028">
            <w:pPr>
              <w:pStyle w:val="Header"/>
              <w:numPr>
                <w:ilvl w:val="0"/>
                <w:numId w:val="7"/>
              </w:numPr>
              <w:jc w:val="both"/>
            </w:pPr>
            <w:r>
              <w:t xml:space="preserve">Kappale 1-2: </w:t>
            </w:r>
            <w:r w:rsidR="001508D6">
              <w:t>Vähäisiä ymmärrettävyyttä edistäviä muutoksia</w:t>
            </w:r>
          </w:p>
          <w:p w14:paraId="6213F4A4" w14:textId="5C30C271" w:rsidR="00365E26" w:rsidRDefault="00365E26" w:rsidP="00065028">
            <w:pPr>
              <w:pStyle w:val="Header"/>
              <w:numPr>
                <w:ilvl w:val="0"/>
                <w:numId w:val="7"/>
              </w:numPr>
              <w:jc w:val="both"/>
            </w:pPr>
            <w:r>
              <w:t>Kappale 3: Päivitetty vastaamaan 2022 tilannekuvaa</w:t>
            </w:r>
          </w:p>
          <w:p w14:paraId="23B4A3B0" w14:textId="64607E70" w:rsidR="00365E26" w:rsidRDefault="00365E26" w:rsidP="00065028">
            <w:pPr>
              <w:pStyle w:val="Header"/>
              <w:numPr>
                <w:ilvl w:val="0"/>
                <w:numId w:val="7"/>
              </w:numPr>
              <w:jc w:val="both"/>
            </w:pPr>
            <w:r>
              <w:t xml:space="preserve">Kappale 3.1: </w:t>
            </w:r>
            <w:r w:rsidR="002C082F">
              <w:t>Lisätty</w:t>
            </w:r>
            <w:r w:rsidR="001508D6">
              <w:t xml:space="preserve"> mm.</w:t>
            </w:r>
            <w:r w:rsidR="002C082F">
              <w:t xml:space="preserve"> viittau</w:t>
            </w:r>
            <w:r w:rsidR="004E04CD">
              <w:t>kset</w:t>
            </w:r>
            <w:r w:rsidR="002C082F">
              <w:t xml:space="preserve"> SVPL</w:t>
            </w:r>
            <w:r w:rsidR="002754B3">
              <w:t xml:space="preserve"> 244 a §, </w:t>
            </w:r>
            <w:r w:rsidR="002C082F">
              <w:t>TS50701</w:t>
            </w:r>
            <w:r w:rsidR="001508D6">
              <w:t xml:space="preserve">, </w:t>
            </w:r>
            <w:r w:rsidR="002754B3">
              <w:t>Traficomin ohjeeseen raideliikenteen häiriöiden ilmoittamisesta</w:t>
            </w:r>
            <w:r w:rsidR="001508D6">
              <w:t xml:space="preserve"> ja Kybermittari</w:t>
            </w:r>
            <w:r w:rsidR="002754B3">
              <w:t>. P</w:t>
            </w:r>
            <w:r w:rsidR="002C082F">
              <w:t>äivitetty kuvausta tulevasta sääntelystä ja raideliikenteen kyberturvallisuuden kansainvälisistä verkostoista.</w:t>
            </w:r>
          </w:p>
          <w:p w14:paraId="73CE49E1" w14:textId="5E07948F" w:rsidR="007849E3" w:rsidRDefault="007849E3" w:rsidP="00065028">
            <w:pPr>
              <w:pStyle w:val="Header"/>
              <w:numPr>
                <w:ilvl w:val="0"/>
                <w:numId w:val="7"/>
              </w:numPr>
              <w:jc w:val="both"/>
            </w:pPr>
            <w:r>
              <w:t xml:space="preserve">Kappale 3.2-3.3: Ei </w:t>
            </w:r>
            <w:r w:rsidR="001508D6">
              <w:t>oleellisia s</w:t>
            </w:r>
            <w:r>
              <w:t>isällöllisiä muutoksia</w:t>
            </w:r>
          </w:p>
          <w:p w14:paraId="56F0B5B3" w14:textId="4E3D1B34" w:rsidR="00F96417" w:rsidRDefault="00365E26" w:rsidP="00065028">
            <w:pPr>
              <w:pStyle w:val="Header"/>
              <w:numPr>
                <w:ilvl w:val="0"/>
                <w:numId w:val="7"/>
              </w:numPr>
              <w:jc w:val="both"/>
            </w:pPr>
            <w:r>
              <w:t>K</w:t>
            </w:r>
            <w:r w:rsidR="002754B3">
              <w:t>appale 4</w:t>
            </w:r>
            <w:r>
              <w:t>: Suositetaan hyödyntämään uusissa</w:t>
            </w:r>
            <w:r w:rsidR="004E04CD">
              <w:t xml:space="preserve"> OT-</w:t>
            </w:r>
            <w:r>
              <w:t xml:space="preserve">järjestelmissä TS50701 ja olemassa olevien järjestelmien osalta </w:t>
            </w:r>
            <w:r w:rsidR="004E04CD">
              <w:t xml:space="preserve">IEC 62443 sarjaa. IT-järjestelmien osalta ensisijaisesti suositetaan </w:t>
            </w:r>
            <w:r>
              <w:t>ISO</w:t>
            </w:r>
            <w:r w:rsidR="001508D6">
              <w:t xml:space="preserve">/IEC </w:t>
            </w:r>
            <w:r>
              <w:t>27001</w:t>
            </w:r>
            <w:r w:rsidR="00083C09">
              <w:t xml:space="preserve"> hyödyntämistä, vaihtoehtoineen viitekehys esimerkiksi Kybermittari.</w:t>
            </w:r>
            <w:r w:rsidR="004E04CD">
              <w:t xml:space="preserve"> </w:t>
            </w:r>
            <w:r w:rsidR="001508D6">
              <w:t xml:space="preserve">ISO/IEC 27001 hallintajärjestelmään voidaan sisällyttää myös OT-ympäristö hyödyntäen lisäksi OT-järjestelmien standardeja. </w:t>
            </w:r>
            <w:r w:rsidR="004E04CD">
              <w:t>Em. viitekehyksillä voi</w:t>
            </w:r>
            <w:r w:rsidR="00F96417">
              <w:t>si</w:t>
            </w:r>
            <w:r w:rsidR="004E04CD">
              <w:t xml:space="preserve"> korvata </w:t>
            </w:r>
            <w:r w:rsidR="00083C09">
              <w:t xml:space="preserve">päällekkäisiltä osin </w:t>
            </w:r>
            <w:r w:rsidR="001508D6">
              <w:t xml:space="preserve">tämän suosituksen </w:t>
            </w:r>
            <w:r w:rsidR="004E04CD">
              <w:t>kappaleiden 4.1-4.</w:t>
            </w:r>
            <w:r w:rsidR="00DA1563">
              <w:t>11</w:t>
            </w:r>
            <w:r w:rsidR="004E04CD">
              <w:t xml:space="preserve"> kohdat.</w:t>
            </w:r>
          </w:p>
          <w:p w14:paraId="58F9989C" w14:textId="245DA496" w:rsidR="00F96417" w:rsidRDefault="00DA1563" w:rsidP="00065028">
            <w:pPr>
              <w:pStyle w:val="Header"/>
              <w:numPr>
                <w:ilvl w:val="0"/>
                <w:numId w:val="7"/>
              </w:numPr>
              <w:jc w:val="both"/>
            </w:pPr>
            <w:r>
              <w:t>Suosituksen kappaleet 4.1-4.11 uudistettu vastaamaan</w:t>
            </w:r>
            <w:r w:rsidR="001508D6">
              <w:t xml:space="preserve"> vähintään</w:t>
            </w:r>
            <w:r>
              <w:t xml:space="preserve"> Kybermittarin tavoitetasoa 1. Aikaisemmat suositukset säilytetty siltä </w:t>
            </w:r>
            <w:r w:rsidR="001508D6">
              <w:t>osin,</w:t>
            </w:r>
            <w:r>
              <w:t xml:space="preserve"> kun ne vastaavat kybermittaria. Useita uusia suosituksia lisätty.</w:t>
            </w:r>
          </w:p>
          <w:p w14:paraId="1BCA93A6" w14:textId="77777777" w:rsidR="00F96417" w:rsidRDefault="00065028" w:rsidP="00065028">
            <w:pPr>
              <w:pStyle w:val="Header"/>
              <w:numPr>
                <w:ilvl w:val="0"/>
                <w:numId w:val="7"/>
              </w:numPr>
              <w:jc w:val="both"/>
            </w:pPr>
            <w:r>
              <w:t>Suosituksessa esitetyt hallintakeinot ja kybermittari -työkalu liitteinä</w:t>
            </w:r>
          </w:p>
          <w:p w14:paraId="70E450DA" w14:textId="4DA05ADC" w:rsidR="00065028" w:rsidRDefault="00065028" w:rsidP="00065028">
            <w:pPr>
              <w:pStyle w:val="Header"/>
              <w:ind w:left="720"/>
              <w:jc w:val="both"/>
            </w:pPr>
          </w:p>
        </w:tc>
      </w:tr>
    </w:tbl>
    <w:p w14:paraId="33E3F116" w14:textId="40D0FD4E" w:rsidR="002809C6" w:rsidRPr="00AC1EE8" w:rsidRDefault="0E054CB5" w:rsidP="00507BB8">
      <w:pPr>
        <w:pStyle w:val="TrafiAsiaotsikko"/>
        <w:jc w:val="both"/>
      </w:pPr>
      <w:r w:rsidRPr="0E054CB5">
        <w:rPr>
          <w:sz w:val="28"/>
          <w:szCs w:val="28"/>
        </w:rPr>
        <w:t xml:space="preserve">SUOSITUS KYBERTURVALLISUUDEN EDISTÄMISESTÄ </w:t>
      </w:r>
      <w:r w:rsidR="51BC3758">
        <w:br/>
      </w:r>
      <w:r w:rsidRPr="0E054CB5">
        <w:rPr>
          <w:sz w:val="28"/>
          <w:szCs w:val="28"/>
        </w:rPr>
        <w:t>RAIDELIIKENTEESSÄ</w:t>
      </w:r>
      <w:r w:rsidR="51BC3758">
        <w:br/>
      </w:r>
      <w:r w:rsidR="51BC3758">
        <w:br/>
      </w:r>
      <w:r w:rsidRPr="0E054CB5">
        <w:t>Sisällys</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EastAsia" w:cstheme="minorBidi"/>
          <w:bCs/>
          <w:noProof/>
          <w:sz w:val="22"/>
          <w:szCs w:val="22"/>
          <w:lang w:eastAsia="en-US"/>
        </w:rPr>
      </w:sdtEndPr>
      <w:sdtContent>
        <w:p w14:paraId="058CFED5" w14:textId="3B51B816" w:rsidR="00065028" w:rsidRDefault="00DC3497">
          <w:pPr>
            <w:pStyle w:val="TOC1"/>
            <w:rPr>
              <w:lang w:eastAsia="fi-FI"/>
            </w:rPr>
          </w:pPr>
          <w:r>
            <w:fldChar w:fldCharType="begin"/>
          </w:r>
          <w:r>
            <w:instrText xml:space="preserve"> TOC \o "1-3" \t "Liiteotsikko;1" </w:instrText>
          </w:r>
          <w:r>
            <w:fldChar w:fldCharType="separate"/>
          </w:r>
          <w:r w:rsidR="00065028" w:rsidRPr="003937FD">
            <w:rPr>
              <w:b/>
              <w:bCs/>
            </w:rPr>
            <w:t>1.</w:t>
          </w:r>
          <w:r w:rsidR="00065028">
            <w:rPr>
              <w:lang w:eastAsia="fi-FI"/>
            </w:rPr>
            <w:tab/>
          </w:r>
          <w:r w:rsidR="00065028" w:rsidRPr="003937FD">
            <w:rPr>
              <w:b/>
              <w:bCs/>
            </w:rPr>
            <w:t>Suosituksen tarkoitus ja soveltamisala</w:t>
          </w:r>
          <w:r w:rsidR="00065028">
            <w:tab/>
          </w:r>
          <w:r w:rsidR="00065028">
            <w:fldChar w:fldCharType="begin"/>
          </w:r>
          <w:r w:rsidR="00065028">
            <w:instrText xml:space="preserve"> PAGEREF _Toc116913291 \h </w:instrText>
          </w:r>
          <w:r w:rsidR="00065028">
            <w:fldChar w:fldCharType="separate"/>
          </w:r>
          <w:r w:rsidR="005B4AC5">
            <w:t>3</w:t>
          </w:r>
          <w:r w:rsidR="00065028">
            <w:fldChar w:fldCharType="end"/>
          </w:r>
        </w:p>
        <w:p w14:paraId="0D18E575" w14:textId="06A35961" w:rsidR="00065028" w:rsidRDefault="00065028">
          <w:pPr>
            <w:pStyle w:val="TOC1"/>
            <w:rPr>
              <w:lang w:eastAsia="fi-FI"/>
            </w:rPr>
          </w:pPr>
          <w:r w:rsidRPr="003937FD">
            <w:rPr>
              <w:b/>
              <w:bCs/>
            </w:rPr>
            <w:t>2. Kyberturvallisuuden käsitteet</w:t>
          </w:r>
          <w:r>
            <w:tab/>
          </w:r>
          <w:r>
            <w:fldChar w:fldCharType="begin"/>
          </w:r>
          <w:r>
            <w:instrText xml:space="preserve"> PAGEREF _Toc116913292 \h </w:instrText>
          </w:r>
          <w:r>
            <w:fldChar w:fldCharType="separate"/>
          </w:r>
          <w:r w:rsidR="005B4AC5">
            <w:t>4</w:t>
          </w:r>
          <w:r>
            <w:fldChar w:fldCharType="end"/>
          </w:r>
        </w:p>
        <w:p w14:paraId="0F277633" w14:textId="37914CA2" w:rsidR="00065028" w:rsidRDefault="00065028">
          <w:pPr>
            <w:pStyle w:val="TOC1"/>
            <w:rPr>
              <w:lang w:eastAsia="fi-FI"/>
            </w:rPr>
          </w:pPr>
          <w:r w:rsidRPr="003937FD">
            <w:rPr>
              <w:b/>
              <w:bCs/>
            </w:rPr>
            <w:t>3. Kyberturvallisuus raideliikenteessä</w:t>
          </w:r>
          <w:r>
            <w:tab/>
          </w:r>
          <w:r>
            <w:fldChar w:fldCharType="begin"/>
          </w:r>
          <w:r>
            <w:instrText xml:space="preserve"> PAGEREF _Toc116913293 \h </w:instrText>
          </w:r>
          <w:r>
            <w:fldChar w:fldCharType="separate"/>
          </w:r>
          <w:r w:rsidR="005B4AC5">
            <w:t>5</w:t>
          </w:r>
          <w:r>
            <w:fldChar w:fldCharType="end"/>
          </w:r>
        </w:p>
        <w:p w14:paraId="77EE3AF2" w14:textId="127DFC08" w:rsidR="00065028" w:rsidRDefault="00065028">
          <w:pPr>
            <w:pStyle w:val="TOC2"/>
            <w:rPr>
              <w:noProof/>
              <w:lang w:eastAsia="fi-FI"/>
            </w:rPr>
          </w:pPr>
          <w:r>
            <w:rPr>
              <w:noProof/>
            </w:rPr>
            <w:t>3.1. Raideliikenteen kyberturvallisuussääntely</w:t>
          </w:r>
          <w:r>
            <w:rPr>
              <w:noProof/>
            </w:rPr>
            <w:tab/>
          </w:r>
          <w:r>
            <w:rPr>
              <w:noProof/>
            </w:rPr>
            <w:fldChar w:fldCharType="begin"/>
          </w:r>
          <w:r>
            <w:rPr>
              <w:noProof/>
            </w:rPr>
            <w:instrText xml:space="preserve"> PAGEREF _Toc116913294 \h </w:instrText>
          </w:r>
          <w:r>
            <w:rPr>
              <w:noProof/>
            </w:rPr>
          </w:r>
          <w:r>
            <w:rPr>
              <w:noProof/>
            </w:rPr>
            <w:fldChar w:fldCharType="separate"/>
          </w:r>
          <w:r w:rsidR="005B4AC5">
            <w:rPr>
              <w:noProof/>
            </w:rPr>
            <w:t>6</w:t>
          </w:r>
          <w:r>
            <w:rPr>
              <w:noProof/>
            </w:rPr>
            <w:fldChar w:fldCharType="end"/>
          </w:r>
        </w:p>
        <w:p w14:paraId="09584D81" w14:textId="0B14ED59" w:rsidR="00065028" w:rsidRDefault="00065028">
          <w:pPr>
            <w:pStyle w:val="TOC2"/>
            <w:rPr>
              <w:noProof/>
              <w:lang w:eastAsia="fi-FI"/>
            </w:rPr>
          </w:pPr>
          <w:r>
            <w:rPr>
              <w:noProof/>
            </w:rPr>
            <w:t>3.2. Raideliikenteen kyberturvallisuusuhkat ja -riskit</w:t>
          </w:r>
          <w:r>
            <w:rPr>
              <w:noProof/>
            </w:rPr>
            <w:tab/>
          </w:r>
          <w:r>
            <w:rPr>
              <w:noProof/>
            </w:rPr>
            <w:fldChar w:fldCharType="begin"/>
          </w:r>
          <w:r>
            <w:rPr>
              <w:noProof/>
            </w:rPr>
            <w:instrText xml:space="preserve"> PAGEREF _Toc116913295 \h </w:instrText>
          </w:r>
          <w:r>
            <w:rPr>
              <w:noProof/>
            </w:rPr>
          </w:r>
          <w:r>
            <w:rPr>
              <w:noProof/>
            </w:rPr>
            <w:fldChar w:fldCharType="separate"/>
          </w:r>
          <w:r w:rsidR="005B4AC5">
            <w:rPr>
              <w:noProof/>
            </w:rPr>
            <w:t>7</w:t>
          </w:r>
          <w:r>
            <w:rPr>
              <w:noProof/>
            </w:rPr>
            <w:fldChar w:fldCharType="end"/>
          </w:r>
        </w:p>
        <w:p w14:paraId="1BA1FD72" w14:textId="48AF0445" w:rsidR="00065028" w:rsidRDefault="00065028">
          <w:pPr>
            <w:pStyle w:val="TOC2"/>
            <w:rPr>
              <w:noProof/>
              <w:lang w:eastAsia="fi-FI"/>
            </w:rPr>
          </w:pPr>
          <w:r>
            <w:rPr>
              <w:noProof/>
            </w:rPr>
            <w:t>3.3. Esimerkkejä kyberturvallisuusuhkista ja niiden hallinnan keinoista</w:t>
          </w:r>
          <w:r>
            <w:rPr>
              <w:noProof/>
            </w:rPr>
            <w:tab/>
          </w:r>
          <w:r>
            <w:rPr>
              <w:noProof/>
            </w:rPr>
            <w:fldChar w:fldCharType="begin"/>
          </w:r>
          <w:r>
            <w:rPr>
              <w:noProof/>
            </w:rPr>
            <w:instrText xml:space="preserve"> PAGEREF _Toc116913296 \h </w:instrText>
          </w:r>
          <w:r>
            <w:rPr>
              <w:noProof/>
            </w:rPr>
          </w:r>
          <w:r>
            <w:rPr>
              <w:noProof/>
            </w:rPr>
            <w:fldChar w:fldCharType="separate"/>
          </w:r>
          <w:r w:rsidR="005B4AC5">
            <w:rPr>
              <w:noProof/>
            </w:rPr>
            <w:t>9</w:t>
          </w:r>
          <w:r>
            <w:rPr>
              <w:noProof/>
            </w:rPr>
            <w:fldChar w:fldCharType="end"/>
          </w:r>
        </w:p>
        <w:p w14:paraId="3084BF01" w14:textId="27AFA33B" w:rsidR="00065028" w:rsidRDefault="00065028">
          <w:pPr>
            <w:pStyle w:val="TOC1"/>
            <w:rPr>
              <w:lang w:eastAsia="fi-FI"/>
            </w:rPr>
          </w:pPr>
          <w:r w:rsidRPr="003937FD">
            <w:rPr>
              <w:b/>
              <w:bCs/>
            </w:rPr>
            <w:t>4. Suositukset raideliikenteen kyberturvallisuuden kehittämiseksi</w:t>
          </w:r>
          <w:r>
            <w:tab/>
          </w:r>
          <w:r>
            <w:fldChar w:fldCharType="begin"/>
          </w:r>
          <w:r>
            <w:instrText xml:space="preserve"> PAGEREF _Toc116913297 \h </w:instrText>
          </w:r>
          <w:r>
            <w:fldChar w:fldCharType="separate"/>
          </w:r>
          <w:r w:rsidR="005B4AC5">
            <w:t>12</w:t>
          </w:r>
          <w:r>
            <w:fldChar w:fldCharType="end"/>
          </w:r>
        </w:p>
        <w:p w14:paraId="6FA052DE" w14:textId="1812BE6B" w:rsidR="00065028" w:rsidRDefault="00065028">
          <w:pPr>
            <w:pStyle w:val="TOC2"/>
            <w:rPr>
              <w:noProof/>
              <w:lang w:eastAsia="fi-FI"/>
            </w:rPr>
          </w:pPr>
          <w:r>
            <w:rPr>
              <w:noProof/>
            </w:rPr>
            <w:t>4.1. Kyberturvallisuus osana turvallisuusjohtamista ja turvallisuuskulttuuria</w:t>
          </w:r>
          <w:r>
            <w:rPr>
              <w:noProof/>
            </w:rPr>
            <w:tab/>
          </w:r>
          <w:r>
            <w:rPr>
              <w:noProof/>
            </w:rPr>
            <w:fldChar w:fldCharType="begin"/>
          </w:r>
          <w:r>
            <w:rPr>
              <w:noProof/>
            </w:rPr>
            <w:instrText xml:space="preserve"> PAGEREF _Toc116913298 \h </w:instrText>
          </w:r>
          <w:r>
            <w:rPr>
              <w:noProof/>
            </w:rPr>
          </w:r>
          <w:r>
            <w:rPr>
              <w:noProof/>
            </w:rPr>
            <w:fldChar w:fldCharType="separate"/>
          </w:r>
          <w:r w:rsidR="005B4AC5">
            <w:rPr>
              <w:noProof/>
            </w:rPr>
            <w:t>12</w:t>
          </w:r>
          <w:r>
            <w:rPr>
              <w:noProof/>
            </w:rPr>
            <w:fldChar w:fldCharType="end"/>
          </w:r>
        </w:p>
        <w:p w14:paraId="7497EFC1" w14:textId="3B243754" w:rsidR="00065028" w:rsidRDefault="00065028">
          <w:pPr>
            <w:pStyle w:val="TOC2"/>
            <w:rPr>
              <w:noProof/>
              <w:lang w:eastAsia="fi-FI"/>
            </w:rPr>
          </w:pPr>
          <w:r>
            <w:rPr>
              <w:noProof/>
            </w:rPr>
            <w:t>4.2. Kriittisten palveluiden suojaaminen</w:t>
          </w:r>
          <w:r>
            <w:rPr>
              <w:noProof/>
            </w:rPr>
            <w:tab/>
          </w:r>
          <w:r>
            <w:rPr>
              <w:noProof/>
            </w:rPr>
            <w:fldChar w:fldCharType="begin"/>
          </w:r>
          <w:r>
            <w:rPr>
              <w:noProof/>
            </w:rPr>
            <w:instrText xml:space="preserve"> PAGEREF _Toc116913299 \h </w:instrText>
          </w:r>
          <w:r>
            <w:rPr>
              <w:noProof/>
            </w:rPr>
          </w:r>
          <w:r>
            <w:rPr>
              <w:noProof/>
            </w:rPr>
            <w:fldChar w:fldCharType="separate"/>
          </w:r>
          <w:r w:rsidR="005B4AC5">
            <w:rPr>
              <w:noProof/>
            </w:rPr>
            <w:t>13</w:t>
          </w:r>
          <w:r>
            <w:rPr>
              <w:noProof/>
            </w:rPr>
            <w:fldChar w:fldCharType="end"/>
          </w:r>
        </w:p>
        <w:p w14:paraId="03D5A88B" w14:textId="6C5BF240" w:rsidR="00065028" w:rsidRDefault="00065028">
          <w:pPr>
            <w:pStyle w:val="TOC2"/>
            <w:rPr>
              <w:noProof/>
              <w:lang w:eastAsia="fi-FI"/>
            </w:rPr>
          </w:pPr>
          <w:r>
            <w:rPr>
              <w:noProof/>
            </w:rPr>
            <w:t>4.3. Omaisuuden, muutosten ja konfiguraatioiden hallinta</w:t>
          </w:r>
          <w:r>
            <w:rPr>
              <w:noProof/>
            </w:rPr>
            <w:tab/>
          </w:r>
          <w:r>
            <w:rPr>
              <w:noProof/>
            </w:rPr>
            <w:fldChar w:fldCharType="begin"/>
          </w:r>
          <w:r>
            <w:rPr>
              <w:noProof/>
            </w:rPr>
            <w:instrText xml:space="preserve"> PAGEREF _Toc116913300 \h </w:instrText>
          </w:r>
          <w:r>
            <w:rPr>
              <w:noProof/>
            </w:rPr>
          </w:r>
          <w:r>
            <w:rPr>
              <w:noProof/>
            </w:rPr>
            <w:fldChar w:fldCharType="separate"/>
          </w:r>
          <w:r w:rsidR="005B4AC5">
            <w:rPr>
              <w:noProof/>
            </w:rPr>
            <w:t>13</w:t>
          </w:r>
          <w:r>
            <w:rPr>
              <w:noProof/>
            </w:rPr>
            <w:fldChar w:fldCharType="end"/>
          </w:r>
        </w:p>
        <w:p w14:paraId="36AF7F7D" w14:textId="4CD23C57" w:rsidR="00065028" w:rsidRDefault="00065028">
          <w:pPr>
            <w:pStyle w:val="TOC2"/>
            <w:rPr>
              <w:noProof/>
              <w:lang w:eastAsia="fi-FI"/>
            </w:rPr>
          </w:pPr>
          <w:r>
            <w:rPr>
              <w:noProof/>
            </w:rPr>
            <w:t>4.4. Uhkien ja haavoittuvuuksien hallinta</w:t>
          </w:r>
          <w:r>
            <w:rPr>
              <w:noProof/>
            </w:rPr>
            <w:tab/>
          </w:r>
          <w:r>
            <w:rPr>
              <w:noProof/>
            </w:rPr>
            <w:fldChar w:fldCharType="begin"/>
          </w:r>
          <w:r>
            <w:rPr>
              <w:noProof/>
            </w:rPr>
            <w:instrText xml:space="preserve"> PAGEREF _Toc116913301 \h </w:instrText>
          </w:r>
          <w:r>
            <w:rPr>
              <w:noProof/>
            </w:rPr>
          </w:r>
          <w:r>
            <w:rPr>
              <w:noProof/>
            </w:rPr>
            <w:fldChar w:fldCharType="separate"/>
          </w:r>
          <w:r w:rsidR="005B4AC5">
            <w:rPr>
              <w:noProof/>
            </w:rPr>
            <w:t>14</w:t>
          </w:r>
          <w:r>
            <w:rPr>
              <w:noProof/>
            </w:rPr>
            <w:fldChar w:fldCharType="end"/>
          </w:r>
        </w:p>
        <w:p w14:paraId="05BAB196" w14:textId="181888A1" w:rsidR="00065028" w:rsidRDefault="00065028">
          <w:pPr>
            <w:pStyle w:val="TOC2"/>
            <w:rPr>
              <w:noProof/>
              <w:lang w:eastAsia="fi-FI"/>
            </w:rPr>
          </w:pPr>
          <w:r>
            <w:rPr>
              <w:noProof/>
            </w:rPr>
            <w:t>4.5. Riskienhallinta</w:t>
          </w:r>
          <w:r>
            <w:rPr>
              <w:noProof/>
            </w:rPr>
            <w:tab/>
          </w:r>
          <w:r>
            <w:rPr>
              <w:noProof/>
            </w:rPr>
            <w:fldChar w:fldCharType="begin"/>
          </w:r>
          <w:r>
            <w:rPr>
              <w:noProof/>
            </w:rPr>
            <w:instrText xml:space="preserve"> PAGEREF _Toc116913302 \h </w:instrText>
          </w:r>
          <w:r>
            <w:rPr>
              <w:noProof/>
            </w:rPr>
          </w:r>
          <w:r>
            <w:rPr>
              <w:noProof/>
            </w:rPr>
            <w:fldChar w:fldCharType="separate"/>
          </w:r>
          <w:r w:rsidR="005B4AC5">
            <w:rPr>
              <w:noProof/>
            </w:rPr>
            <w:t>14</w:t>
          </w:r>
          <w:r>
            <w:rPr>
              <w:noProof/>
            </w:rPr>
            <w:fldChar w:fldCharType="end"/>
          </w:r>
        </w:p>
        <w:p w14:paraId="663B6C6E" w14:textId="715B0433" w:rsidR="00065028" w:rsidRDefault="00065028">
          <w:pPr>
            <w:pStyle w:val="TOC2"/>
            <w:rPr>
              <w:noProof/>
              <w:lang w:eastAsia="fi-FI"/>
            </w:rPr>
          </w:pPr>
          <w:r>
            <w:rPr>
              <w:noProof/>
            </w:rPr>
            <w:t>4.6. Identiteetin ja pääsynhallinta</w:t>
          </w:r>
          <w:r>
            <w:rPr>
              <w:noProof/>
            </w:rPr>
            <w:tab/>
          </w:r>
          <w:r>
            <w:rPr>
              <w:noProof/>
            </w:rPr>
            <w:fldChar w:fldCharType="begin"/>
          </w:r>
          <w:r>
            <w:rPr>
              <w:noProof/>
            </w:rPr>
            <w:instrText xml:space="preserve"> PAGEREF _Toc116913303 \h </w:instrText>
          </w:r>
          <w:r>
            <w:rPr>
              <w:noProof/>
            </w:rPr>
          </w:r>
          <w:r>
            <w:rPr>
              <w:noProof/>
            </w:rPr>
            <w:fldChar w:fldCharType="separate"/>
          </w:r>
          <w:r w:rsidR="005B4AC5">
            <w:rPr>
              <w:noProof/>
            </w:rPr>
            <w:t>15</w:t>
          </w:r>
          <w:r>
            <w:rPr>
              <w:noProof/>
            </w:rPr>
            <w:fldChar w:fldCharType="end"/>
          </w:r>
        </w:p>
        <w:p w14:paraId="10BBA6DC" w14:textId="2C0C704D" w:rsidR="00065028" w:rsidRDefault="00065028">
          <w:pPr>
            <w:pStyle w:val="TOC2"/>
            <w:rPr>
              <w:noProof/>
              <w:lang w:eastAsia="fi-FI"/>
            </w:rPr>
          </w:pPr>
          <w:r>
            <w:rPr>
              <w:noProof/>
            </w:rPr>
            <w:lastRenderedPageBreak/>
            <w:t>4.7. Tilannekuva</w:t>
          </w:r>
          <w:r>
            <w:rPr>
              <w:noProof/>
            </w:rPr>
            <w:tab/>
          </w:r>
          <w:r>
            <w:rPr>
              <w:noProof/>
            </w:rPr>
            <w:fldChar w:fldCharType="begin"/>
          </w:r>
          <w:r>
            <w:rPr>
              <w:noProof/>
            </w:rPr>
            <w:instrText xml:space="preserve"> PAGEREF _Toc116913304 \h </w:instrText>
          </w:r>
          <w:r>
            <w:rPr>
              <w:noProof/>
            </w:rPr>
          </w:r>
          <w:r>
            <w:rPr>
              <w:noProof/>
            </w:rPr>
            <w:fldChar w:fldCharType="separate"/>
          </w:r>
          <w:r w:rsidR="005B4AC5">
            <w:rPr>
              <w:noProof/>
            </w:rPr>
            <w:t>15</w:t>
          </w:r>
          <w:r>
            <w:rPr>
              <w:noProof/>
            </w:rPr>
            <w:fldChar w:fldCharType="end"/>
          </w:r>
        </w:p>
        <w:p w14:paraId="09FCF2CF" w14:textId="642B5B62" w:rsidR="00065028" w:rsidRDefault="00065028">
          <w:pPr>
            <w:pStyle w:val="TOC2"/>
            <w:rPr>
              <w:noProof/>
              <w:lang w:eastAsia="fi-FI"/>
            </w:rPr>
          </w:pPr>
          <w:r>
            <w:rPr>
              <w:noProof/>
            </w:rPr>
            <w:t>4.8. Tapahtumien ja häiriöiden hallinta sekä toiminnan jatkuvuus</w:t>
          </w:r>
          <w:r>
            <w:rPr>
              <w:noProof/>
            </w:rPr>
            <w:tab/>
          </w:r>
          <w:r>
            <w:rPr>
              <w:noProof/>
            </w:rPr>
            <w:fldChar w:fldCharType="begin"/>
          </w:r>
          <w:r>
            <w:rPr>
              <w:noProof/>
            </w:rPr>
            <w:instrText xml:space="preserve"> PAGEREF _Toc116913305 \h </w:instrText>
          </w:r>
          <w:r>
            <w:rPr>
              <w:noProof/>
            </w:rPr>
          </w:r>
          <w:r>
            <w:rPr>
              <w:noProof/>
            </w:rPr>
            <w:fldChar w:fldCharType="separate"/>
          </w:r>
          <w:r w:rsidR="005B4AC5">
            <w:rPr>
              <w:noProof/>
            </w:rPr>
            <w:t>15</w:t>
          </w:r>
          <w:r>
            <w:rPr>
              <w:noProof/>
            </w:rPr>
            <w:fldChar w:fldCharType="end"/>
          </w:r>
        </w:p>
        <w:p w14:paraId="47FB9B1B" w14:textId="18EFEA3E" w:rsidR="00065028" w:rsidRDefault="00065028">
          <w:pPr>
            <w:pStyle w:val="TOC2"/>
            <w:rPr>
              <w:noProof/>
              <w:lang w:eastAsia="fi-FI"/>
            </w:rPr>
          </w:pPr>
          <w:r>
            <w:rPr>
              <w:noProof/>
            </w:rPr>
            <w:t>4.9. Kumppaniverkoston riskien hallinta</w:t>
          </w:r>
          <w:r>
            <w:rPr>
              <w:noProof/>
            </w:rPr>
            <w:tab/>
          </w:r>
          <w:r>
            <w:rPr>
              <w:noProof/>
            </w:rPr>
            <w:fldChar w:fldCharType="begin"/>
          </w:r>
          <w:r>
            <w:rPr>
              <w:noProof/>
            </w:rPr>
            <w:instrText xml:space="preserve"> PAGEREF _Toc116913306 \h </w:instrText>
          </w:r>
          <w:r>
            <w:rPr>
              <w:noProof/>
            </w:rPr>
          </w:r>
          <w:r>
            <w:rPr>
              <w:noProof/>
            </w:rPr>
            <w:fldChar w:fldCharType="separate"/>
          </w:r>
          <w:r w:rsidR="005B4AC5">
            <w:rPr>
              <w:noProof/>
            </w:rPr>
            <w:t>16</w:t>
          </w:r>
          <w:r>
            <w:rPr>
              <w:noProof/>
            </w:rPr>
            <w:fldChar w:fldCharType="end"/>
          </w:r>
        </w:p>
        <w:p w14:paraId="1A7A4596" w14:textId="7FA55441" w:rsidR="00065028" w:rsidRDefault="00065028">
          <w:pPr>
            <w:pStyle w:val="TOC2"/>
            <w:rPr>
              <w:noProof/>
              <w:lang w:eastAsia="fi-FI"/>
            </w:rPr>
          </w:pPr>
          <w:r>
            <w:rPr>
              <w:noProof/>
            </w:rPr>
            <w:t>4.10. Henkilöstön johtaminen ja kehittäminen</w:t>
          </w:r>
          <w:r>
            <w:rPr>
              <w:noProof/>
            </w:rPr>
            <w:tab/>
          </w:r>
          <w:r>
            <w:rPr>
              <w:noProof/>
            </w:rPr>
            <w:fldChar w:fldCharType="begin"/>
          </w:r>
          <w:r>
            <w:rPr>
              <w:noProof/>
            </w:rPr>
            <w:instrText xml:space="preserve"> PAGEREF _Toc116913307 \h </w:instrText>
          </w:r>
          <w:r>
            <w:rPr>
              <w:noProof/>
            </w:rPr>
          </w:r>
          <w:r>
            <w:rPr>
              <w:noProof/>
            </w:rPr>
            <w:fldChar w:fldCharType="separate"/>
          </w:r>
          <w:r w:rsidR="005B4AC5">
            <w:rPr>
              <w:noProof/>
            </w:rPr>
            <w:t>16</w:t>
          </w:r>
          <w:r>
            <w:rPr>
              <w:noProof/>
            </w:rPr>
            <w:fldChar w:fldCharType="end"/>
          </w:r>
        </w:p>
        <w:p w14:paraId="5FCC38BF" w14:textId="4718F79F" w:rsidR="00065028" w:rsidRDefault="00065028">
          <w:pPr>
            <w:pStyle w:val="TOC2"/>
            <w:rPr>
              <w:noProof/>
              <w:lang w:eastAsia="fi-FI"/>
            </w:rPr>
          </w:pPr>
          <w:r>
            <w:rPr>
              <w:noProof/>
            </w:rPr>
            <w:t>4.11. Kyberturvallisuusarkkitehtuuri</w:t>
          </w:r>
          <w:r>
            <w:rPr>
              <w:noProof/>
            </w:rPr>
            <w:tab/>
          </w:r>
          <w:r>
            <w:rPr>
              <w:noProof/>
            </w:rPr>
            <w:fldChar w:fldCharType="begin"/>
          </w:r>
          <w:r>
            <w:rPr>
              <w:noProof/>
            </w:rPr>
            <w:instrText xml:space="preserve"> PAGEREF _Toc116913308 \h </w:instrText>
          </w:r>
          <w:r>
            <w:rPr>
              <w:noProof/>
            </w:rPr>
          </w:r>
          <w:r>
            <w:rPr>
              <w:noProof/>
            </w:rPr>
            <w:fldChar w:fldCharType="separate"/>
          </w:r>
          <w:r w:rsidR="005B4AC5">
            <w:rPr>
              <w:noProof/>
            </w:rPr>
            <w:t>17</w:t>
          </w:r>
          <w:r>
            <w:rPr>
              <w:noProof/>
            </w:rPr>
            <w:fldChar w:fldCharType="end"/>
          </w:r>
        </w:p>
        <w:p w14:paraId="38A9EC80" w14:textId="711724C4" w:rsidR="00065028" w:rsidRDefault="00065028">
          <w:pPr>
            <w:pStyle w:val="TOC2"/>
            <w:rPr>
              <w:noProof/>
              <w:lang w:eastAsia="fi-FI"/>
            </w:rPr>
          </w:pPr>
          <w:r>
            <w:rPr>
              <w:noProof/>
            </w:rPr>
            <w:t>4.12. Yhteistyön lisääminen</w:t>
          </w:r>
          <w:r>
            <w:rPr>
              <w:noProof/>
            </w:rPr>
            <w:tab/>
          </w:r>
          <w:r>
            <w:rPr>
              <w:noProof/>
            </w:rPr>
            <w:fldChar w:fldCharType="begin"/>
          </w:r>
          <w:r>
            <w:rPr>
              <w:noProof/>
            </w:rPr>
            <w:instrText xml:space="preserve"> PAGEREF _Toc116913309 \h </w:instrText>
          </w:r>
          <w:r>
            <w:rPr>
              <w:noProof/>
            </w:rPr>
          </w:r>
          <w:r>
            <w:rPr>
              <w:noProof/>
            </w:rPr>
            <w:fldChar w:fldCharType="separate"/>
          </w:r>
          <w:r w:rsidR="005B4AC5">
            <w:rPr>
              <w:noProof/>
            </w:rPr>
            <w:t>17</w:t>
          </w:r>
          <w:r>
            <w:rPr>
              <w:noProof/>
            </w:rPr>
            <w:fldChar w:fldCharType="end"/>
          </w:r>
        </w:p>
        <w:p w14:paraId="69E2C0AA" w14:textId="7BD98276" w:rsidR="00065028" w:rsidRDefault="00065028">
          <w:pPr>
            <w:pStyle w:val="TOC1"/>
            <w:rPr>
              <w:lang w:eastAsia="fi-FI"/>
            </w:rPr>
          </w:pPr>
          <w:r w:rsidRPr="003937FD">
            <w:rPr>
              <w:b/>
              <w:bCs/>
            </w:rPr>
            <w:t>5.</w:t>
          </w:r>
          <w:r>
            <w:rPr>
              <w:lang w:eastAsia="fi-FI"/>
            </w:rPr>
            <w:tab/>
          </w:r>
          <w:r w:rsidRPr="003937FD">
            <w:rPr>
              <w:b/>
              <w:bCs/>
            </w:rPr>
            <w:t>Liitteet, lisätietoa ja tiedon lähteitä</w:t>
          </w:r>
          <w:r>
            <w:tab/>
          </w:r>
          <w:r>
            <w:fldChar w:fldCharType="begin"/>
          </w:r>
          <w:r>
            <w:instrText xml:space="preserve"> PAGEREF _Toc116913310 \h </w:instrText>
          </w:r>
          <w:r>
            <w:fldChar w:fldCharType="separate"/>
          </w:r>
          <w:r w:rsidR="005B4AC5">
            <w:t>18</w:t>
          </w:r>
          <w:r>
            <w:fldChar w:fldCharType="end"/>
          </w:r>
        </w:p>
        <w:p w14:paraId="34C113F0" w14:textId="2819EC5A" w:rsidR="00D649DE" w:rsidRDefault="00DC3497" w:rsidP="00507BB8">
          <w:pPr>
            <w:pStyle w:val="TOC1"/>
            <w:jc w:val="both"/>
            <w:rPr>
              <w:bCs/>
            </w:rPr>
          </w:pPr>
          <w:r>
            <w:fldChar w:fldCharType="end"/>
          </w:r>
        </w:p>
      </w:sdtContent>
    </w:sdt>
    <w:p w14:paraId="70E450DF" w14:textId="03B8FC41" w:rsidR="00D32EE1" w:rsidRDefault="00D649DE" w:rsidP="00507BB8">
      <w:pPr>
        <w:pStyle w:val="TOC1"/>
        <w:jc w:val="both"/>
      </w:pPr>
      <w:r>
        <w:rPr>
          <w:b/>
        </w:rPr>
        <w:t>Taulukot</w:t>
      </w:r>
    </w:p>
    <w:p w14:paraId="1553335D" w14:textId="77777777" w:rsidR="00D649DE" w:rsidRDefault="00D649DE" w:rsidP="00D649DE">
      <w:r>
        <w:t>1. Keskeiset suosituksessa käytettävät määritelmät (s. 4)</w:t>
      </w:r>
    </w:p>
    <w:p w14:paraId="33E6301B" w14:textId="749A58C4" w:rsidR="00D649DE" w:rsidRDefault="00D649DE" w:rsidP="00D649DE">
      <w:r>
        <w:t xml:space="preserve">2. Raideliikenteen kyberriskien jakautuminen pääluokkiin (s. </w:t>
      </w:r>
      <w:r w:rsidR="00065028">
        <w:t>8</w:t>
      </w:r>
      <w:r>
        <w:t>)</w:t>
      </w:r>
    </w:p>
    <w:p w14:paraId="20D053ED" w14:textId="448A9B0B" w:rsidR="00D649DE" w:rsidRDefault="00D649DE" w:rsidP="00D649DE">
      <w:r>
        <w:t xml:space="preserve">3. Raideliikenteen toimintaympäristön </w:t>
      </w:r>
      <w:proofErr w:type="spellStart"/>
      <w:r>
        <w:t>OT:t</w:t>
      </w:r>
      <w:proofErr w:type="spellEnd"/>
      <w:r>
        <w:t xml:space="preserve"> ja </w:t>
      </w:r>
      <w:proofErr w:type="spellStart"/>
      <w:r>
        <w:t>IT:t</w:t>
      </w:r>
      <w:proofErr w:type="spellEnd"/>
      <w:r>
        <w:t xml:space="preserve"> (s. </w:t>
      </w:r>
      <w:r w:rsidR="00065028">
        <w:t>9</w:t>
      </w:r>
      <w:r>
        <w:t>)</w:t>
      </w:r>
    </w:p>
    <w:p w14:paraId="733075F3" w14:textId="11B0C5D5" w:rsidR="00D649DE" w:rsidRDefault="00D649DE" w:rsidP="00D649DE">
      <w:r>
        <w:t>4. Esimerkkejä raideliikenteen kyberuhista (s. 1</w:t>
      </w:r>
      <w:r w:rsidR="00065028">
        <w:t>0</w:t>
      </w:r>
      <w:r>
        <w:t>-1</w:t>
      </w:r>
      <w:r w:rsidR="00065028">
        <w:t>1</w:t>
      </w:r>
      <w:r>
        <w:t>)</w:t>
      </w:r>
    </w:p>
    <w:p w14:paraId="2529D6BA" w14:textId="0F632E03" w:rsidR="00D649DE" w:rsidRDefault="00D649DE" w:rsidP="00D649DE">
      <w:r>
        <w:t xml:space="preserve">5. Esimerkkejä junan kulkuun liittyvien kyberturvallisuustapahtumien tarkastelusta (s. </w:t>
      </w:r>
      <w:r w:rsidR="00065028">
        <w:t>11</w:t>
      </w:r>
      <w:r>
        <w:t>)</w:t>
      </w:r>
    </w:p>
    <w:p w14:paraId="511F6354" w14:textId="104FE38A" w:rsidR="00D649DE" w:rsidRDefault="00D649DE" w:rsidP="00D649DE">
      <w:r>
        <w:t>6. Esimerkkejä kunnossapitoon liittyvien kyberturvallisuustapahtumien tarkastelusta (s. 1</w:t>
      </w:r>
      <w:r w:rsidR="00065028">
        <w:t>1</w:t>
      </w:r>
      <w:r>
        <w:t>)</w:t>
      </w:r>
    </w:p>
    <w:p w14:paraId="3C326B7A" w14:textId="7BD75FCE" w:rsidR="00D649DE" w:rsidRPr="00D649DE" w:rsidRDefault="00D649DE" w:rsidP="00D649DE">
      <w:pPr>
        <w:rPr>
          <w:b/>
        </w:rPr>
      </w:pPr>
      <w:r w:rsidRPr="00D649DE">
        <w:rPr>
          <w:b/>
        </w:rPr>
        <w:t>Liitteet</w:t>
      </w:r>
    </w:p>
    <w:p w14:paraId="7551F89D" w14:textId="40369EBD" w:rsidR="00D649DE" w:rsidRDefault="00D649DE" w:rsidP="00D649DE">
      <w:r>
        <w:t>1</w:t>
      </w:r>
      <w:r w:rsidR="00065028">
        <w:t>.</w:t>
      </w:r>
      <w:r>
        <w:t xml:space="preserve"> Suosituksessa esitetyt kyberturvallisuuden hallintakeinot taulukkomuodossa</w:t>
      </w:r>
    </w:p>
    <w:p w14:paraId="16C7571E" w14:textId="7DF7A1A5" w:rsidR="000648DA" w:rsidRPr="00065028" w:rsidRDefault="00065028" w:rsidP="00065028">
      <w:r>
        <w:t xml:space="preserve">2. </w:t>
      </w:r>
      <w:r w:rsidR="00D649DE">
        <w:t>Kyberturvallisuuskeskuksen Kybermittari</w:t>
      </w:r>
      <w:r>
        <w:t xml:space="preserve"> v.2.0</w:t>
      </w:r>
      <w:r w:rsidR="00D649DE">
        <w:t xml:space="preserve"> -työkalu, joka sisältää viittauksen tähän suositukseen</w:t>
      </w:r>
      <w:r w:rsidR="000648DA">
        <w:br w:type="page"/>
      </w:r>
    </w:p>
    <w:p w14:paraId="70E450E1" w14:textId="6808057C" w:rsidR="007E1100" w:rsidRPr="00310B58" w:rsidRDefault="00312BAB" w:rsidP="00065028">
      <w:pPr>
        <w:pStyle w:val="Heading1"/>
        <w:numPr>
          <w:ilvl w:val="0"/>
          <w:numId w:val="6"/>
        </w:numPr>
        <w:jc w:val="both"/>
        <w:rPr>
          <w:b/>
          <w:bCs/>
        </w:rPr>
      </w:pPr>
      <w:bookmarkStart w:id="1" w:name="_Toc116913291"/>
      <w:r w:rsidRPr="7BB17E1D">
        <w:rPr>
          <w:b/>
          <w:bCs/>
        </w:rPr>
        <w:lastRenderedPageBreak/>
        <w:t>Suosituksen tarkoitus ja soveltamisala</w:t>
      </w:r>
      <w:bookmarkEnd w:id="1"/>
    </w:p>
    <w:p w14:paraId="72809340" w14:textId="2E7AEC0B" w:rsidR="0046122F" w:rsidRPr="0046122F" w:rsidRDefault="0E054CB5" w:rsidP="00507BB8">
      <w:pPr>
        <w:jc w:val="both"/>
      </w:pPr>
      <w:r>
        <w:t>Tällä suosituksella on tarkoitus edistää raideliikenteen kyberturvallisuuden kokonaisvaltaista kehittämistä ja toiminnan jatkuvuuden varmistamista.  Tarkoituksena on lisätä:</w:t>
      </w:r>
    </w:p>
    <w:p w14:paraId="499DE653" w14:textId="66F39B57" w:rsidR="0046122F" w:rsidRPr="0046122F" w:rsidRDefault="00943646" w:rsidP="00065028">
      <w:pPr>
        <w:pStyle w:val="ListParagraph"/>
        <w:numPr>
          <w:ilvl w:val="0"/>
          <w:numId w:val="10"/>
        </w:numPr>
        <w:jc w:val="both"/>
      </w:pPr>
      <w:r>
        <w:t xml:space="preserve">raideliikennealan </w:t>
      </w:r>
      <w:r w:rsidR="0E054CB5">
        <w:t>toimijoiden tietoisuutta kyberturvallisuudesta,</w:t>
      </w:r>
    </w:p>
    <w:p w14:paraId="1ED67D15" w14:textId="2562275F" w:rsidR="005211F0" w:rsidRDefault="0E054CB5" w:rsidP="00065028">
      <w:pPr>
        <w:pStyle w:val="ListParagraph"/>
        <w:numPr>
          <w:ilvl w:val="0"/>
          <w:numId w:val="10"/>
        </w:numPr>
        <w:jc w:val="both"/>
      </w:pPr>
      <w:r>
        <w:t xml:space="preserve">raideliikenteen toimijoiden kyberturvallisuusriskien ja kyberturvallisuushyökkäysten ymmärrystä, </w:t>
      </w:r>
    </w:p>
    <w:p w14:paraId="2FBAA908" w14:textId="369B122D" w:rsidR="0046122F" w:rsidRPr="0046122F" w:rsidRDefault="0E054CB5" w:rsidP="00065028">
      <w:pPr>
        <w:pStyle w:val="ListParagraph"/>
        <w:numPr>
          <w:ilvl w:val="0"/>
          <w:numId w:val="10"/>
        </w:numPr>
        <w:jc w:val="both"/>
      </w:pPr>
      <w:r>
        <w:t>raideliikenteen toimijoiden varautumista ja vastuullista suojautumista omaan toimintaansa kohdistuvia kyberuhkia vastaan riskienhallinnan avulla ja</w:t>
      </w:r>
    </w:p>
    <w:p w14:paraId="26F35C78" w14:textId="58F4AFBB" w:rsidR="0046122F" w:rsidRPr="0046122F" w:rsidRDefault="0E054CB5" w:rsidP="00065028">
      <w:pPr>
        <w:pStyle w:val="ListParagraph"/>
        <w:numPr>
          <w:ilvl w:val="0"/>
          <w:numId w:val="10"/>
        </w:numPr>
        <w:jc w:val="both"/>
      </w:pPr>
      <w:r>
        <w:t>raideliikenteen toimijoiden yhteistyötä, jotta raideliikenteen ja sen järjestelmien kokonaissuojauksen tasoa saadaan nostettua</w:t>
      </w:r>
      <w:r w:rsidR="00507BB8">
        <w:t>.</w:t>
      </w:r>
    </w:p>
    <w:p w14:paraId="612F22C9" w14:textId="3290AEE3" w:rsidR="0046122F" w:rsidRDefault="0E054CB5" w:rsidP="00507BB8">
      <w:pPr>
        <w:jc w:val="both"/>
      </w:pPr>
      <w:r>
        <w:t>Tarkoituksena on edistää rautatiejärjestelmän ja kaupunkiraideliikenteen järjestelmien toimintaan osallistuvien organisaatioiden ja viranomaisten kykyä havaita ja tunnistaa erilaisia raideliikenteeseen vaikuttavia kyberturvallisuustapahtu</w:t>
      </w:r>
      <w:r w:rsidRPr="0E054CB5">
        <w:rPr>
          <w:color w:val="000000" w:themeColor="text1"/>
        </w:rPr>
        <w:t>m</w:t>
      </w:r>
      <w:r>
        <w:t xml:space="preserve">ia sekä suojautua niitä vastaan ja palautua niistä mahdollisimman nopeasti.  </w:t>
      </w:r>
    </w:p>
    <w:p w14:paraId="73FEE5F8" w14:textId="3E5DDFED" w:rsidR="009F1D74" w:rsidRDefault="0E054CB5" w:rsidP="00507BB8">
      <w:pPr>
        <w:jc w:val="both"/>
      </w:pPr>
      <w:r>
        <w:t xml:space="preserve">Suositus jakaantuu kahteen eri osaan. Luvut 1-3 toimivat johdanto-osana. Johdanto-osan tarkoituksena on sekä johdattaa lukija kyberturvallisuuden edistämiseen, että havainnollistaa lukijalle raideliikenteen kyberturvallisuusuhkien monimuotoisuutta. Luvussa 4 esitetään Liikenne- ja viestintäviraston suositukset raideliikenteen toimijoille kyberturvallisuusuhkiin varautumisen sekä kyberturvallisuusriskien hallitsemisen toimenpiteistä. </w:t>
      </w:r>
      <w:r w:rsidR="00C33F16">
        <w:t>Suosituksen liitteet sisältävät luvun 4 kohdat taulukkomuodossa ja liitteillä on tarkoitus edistää suosituksen hyödynnettävyyttä.</w:t>
      </w:r>
    </w:p>
    <w:p w14:paraId="52F25744" w14:textId="169F5E88" w:rsidR="00C62A89" w:rsidRPr="0046122F" w:rsidRDefault="0E054CB5" w:rsidP="00507BB8">
      <w:pPr>
        <w:jc w:val="both"/>
      </w:pPr>
      <w:r>
        <w:t>Koska raideliikenteessä toimii lukuisia erilaisia organisaatioita, suositus ei anna yksiselitteisiä vastauksia siitä, minkälaisiin konkreettisiin toimiin raideliikenteen toimijoiden tulisi kyberturvallisuutensa kehittämiseksi ryhtyä. Suosituksen on tarkoitus toimia konkreettisena apuvälineenä kyberturvallisuuden kehittämisessä. Näin ollen se, miten kukin toimija vastaa luvussa 4 annettuihin suosituksiin, riippuu sekä toimijan toiminnan laadusta ja laajuudesta, että toimijan jo tekemistä toimenpiteistä kyberturvallisuuden kehittämiseksi. Ensisijaisen tärkeää onkin, että kukin raideliikenteen toimija työstää annettuja suosituksia pitäen mielessä oman toimintansa ja toimintaympäristönsä.</w:t>
      </w:r>
    </w:p>
    <w:p w14:paraId="685665E3" w14:textId="6D4E624C" w:rsidR="0046122F" w:rsidRDefault="0E054CB5" w:rsidP="00507BB8">
      <w:pPr>
        <w:jc w:val="both"/>
      </w:pPr>
      <w:r>
        <w:t>Suositus on suunnattu sekä rautatiejärjestelmälle että kaupunkiraideliikenteen järjestelmille. Suositus on pääosin kirjoitettu rautatiejärjestelmää ajatellen, mutta suosituksessa läpikäytävät kyberturvallisuuden käsitteet, haasteet ja hallinnan keinot ovat hyvin sovellettavissa myös kaupunkiraideliikenteeseen. Suosituksen erilaiset esimerkit pohjautuvat pitkälti rautatiejärjestelmään, mutta esimerkit auttavat kyberturvallisuuden hahmottamisessa myös kaupunkiraideliikenteen järjestelmissä.</w:t>
      </w:r>
    </w:p>
    <w:p w14:paraId="0428B147" w14:textId="6942AFC7" w:rsidR="003D147A" w:rsidRDefault="00C33F16" w:rsidP="00507BB8">
      <w:pPr>
        <w:jc w:val="both"/>
      </w:pPr>
      <w:r>
        <w:t xml:space="preserve">Suosituksen 2020 versio laadittiin </w:t>
      </w:r>
      <w:r w:rsidR="0E054CB5">
        <w:t xml:space="preserve">virkatyönä Liikenne- ja turvallisuusvirastossa ja sen valmistelussa </w:t>
      </w:r>
      <w:r>
        <w:t>kuultiin</w:t>
      </w:r>
      <w:r w:rsidR="0E054CB5">
        <w:t xml:space="preserve"> </w:t>
      </w:r>
      <w:r>
        <w:t>raideliikenteen toimijoita. Suosituksen 2022 päivitys on laadittu myös Liikenne- ja viestintäviraston virkatyönä. Vuoden 2022 suosituksen päivitys on ollut valittujen toimijoiden kommentoitavana syksyllä 2022 ja kaikkien raideliikennetoimijoiden kommentoitavana marraskuussa 2022.</w:t>
      </w:r>
    </w:p>
    <w:p w14:paraId="177FDD87" w14:textId="77777777" w:rsidR="00F96417" w:rsidRDefault="00F96417" w:rsidP="00507BB8">
      <w:pPr>
        <w:jc w:val="both"/>
        <w:rPr>
          <w:rFonts w:asciiTheme="majorHAnsi" w:eastAsiaTheme="majorEastAsia" w:hAnsiTheme="majorHAnsi" w:cstheme="majorBidi"/>
          <w:b/>
          <w:bCs/>
          <w:color w:val="262626" w:themeColor="text1" w:themeTint="D9"/>
          <w:sz w:val="32"/>
          <w:szCs w:val="32"/>
        </w:rPr>
      </w:pPr>
      <w:r>
        <w:rPr>
          <w:b/>
          <w:bCs/>
        </w:rPr>
        <w:br w:type="page"/>
      </w:r>
    </w:p>
    <w:p w14:paraId="558FB2BE" w14:textId="4ED9E054" w:rsidR="0046122F" w:rsidRPr="00310B58" w:rsidRDefault="0046122F" w:rsidP="00507BB8">
      <w:pPr>
        <w:pStyle w:val="Heading1"/>
        <w:jc w:val="both"/>
        <w:rPr>
          <w:b/>
          <w:bCs/>
        </w:rPr>
      </w:pPr>
      <w:bookmarkStart w:id="2" w:name="_Toc116913292"/>
      <w:r w:rsidRPr="7BB17E1D">
        <w:rPr>
          <w:b/>
          <w:bCs/>
        </w:rPr>
        <w:t xml:space="preserve">2. Kyberturvallisuuden </w:t>
      </w:r>
      <w:r w:rsidR="00A96F4C" w:rsidRPr="7BB17E1D">
        <w:rPr>
          <w:b/>
          <w:bCs/>
        </w:rPr>
        <w:t>käsitteet</w:t>
      </w:r>
      <w:bookmarkEnd w:id="2"/>
    </w:p>
    <w:p w14:paraId="44D258D0" w14:textId="7D4F3B4A" w:rsidR="000648DA" w:rsidRDefault="00E77A4C" w:rsidP="00507BB8">
      <w:pPr>
        <w:jc w:val="both"/>
      </w:pPr>
      <w:r>
        <w:t>Tieto- ja k</w:t>
      </w:r>
      <w:r w:rsidR="00CB6E96">
        <w:t>yberturvallis</w:t>
      </w:r>
      <w:r w:rsidR="0046122F" w:rsidRPr="0046122F">
        <w:t>u</w:t>
      </w:r>
      <w:r>
        <w:t xml:space="preserve">utta koskevat termit määritellään varsin kattavasti </w:t>
      </w:r>
      <w:r w:rsidR="004D5097">
        <w:t>p</w:t>
      </w:r>
      <w:r w:rsidR="001D1F68">
        <w:t xml:space="preserve">uolustusministeriön yhteydessä toimivan </w:t>
      </w:r>
      <w:r w:rsidR="0046122F" w:rsidRPr="0046122F">
        <w:t xml:space="preserve">Turvallisuuskomitean </w:t>
      </w:r>
      <w:hyperlink r:id="rId14" w:history="1">
        <w:r w:rsidR="0046122F" w:rsidRPr="00E77A4C">
          <w:rPr>
            <w:rStyle w:val="Hyperlink"/>
          </w:rPr>
          <w:t>kyberturvallisuussanast</w:t>
        </w:r>
        <w:r w:rsidRPr="00E77A4C">
          <w:rPr>
            <w:rStyle w:val="Hyperlink"/>
          </w:rPr>
          <w:t>ossa</w:t>
        </w:r>
      </w:hyperlink>
      <w:r w:rsidRPr="39940DFD">
        <w:t xml:space="preserve">. </w:t>
      </w:r>
      <w:r w:rsidR="0046122F" w:rsidRPr="0046122F">
        <w:t xml:space="preserve">Tässä suosituksessa käytetään </w:t>
      </w:r>
      <w:r>
        <w:t xml:space="preserve">selkeyden vuoksi pääsääntöisesti </w:t>
      </w:r>
      <w:r w:rsidR="0046122F" w:rsidRPr="0046122F">
        <w:t>termiä kyberturvallisuus</w:t>
      </w:r>
      <w:r w:rsidR="00101A52">
        <w:t>, vaikka joissakin kohdissa voisi olla</w:t>
      </w:r>
      <w:r w:rsidR="00CF31D7">
        <w:t xml:space="preserve"> tarkoituksenmukaista</w:t>
      </w:r>
      <w:r w:rsidR="00101A52">
        <w:t xml:space="preserve"> viitata tietoturvallisuuteen.</w:t>
      </w:r>
      <w:r w:rsidR="00101A52">
        <w:rPr>
          <w:rStyle w:val="FootnoteReference"/>
        </w:rPr>
        <w:footnoteReference w:id="2"/>
      </w:r>
      <w:r w:rsidR="003D147A" w:rsidRPr="39940DFD">
        <w:t xml:space="preserve"> </w:t>
      </w:r>
    </w:p>
    <w:tbl>
      <w:tblPr>
        <w:tblStyle w:val="TableGrid"/>
        <w:tblW w:w="0" w:type="auto"/>
        <w:tblInd w:w="-5" w:type="dxa"/>
        <w:tblLook w:val="04A0" w:firstRow="1" w:lastRow="0" w:firstColumn="1" w:lastColumn="0" w:noHBand="0" w:noVBand="1"/>
      </w:tblPr>
      <w:tblGrid>
        <w:gridCol w:w="1560"/>
        <w:gridCol w:w="8073"/>
      </w:tblGrid>
      <w:tr w:rsidR="009A23E6" w14:paraId="1AB49C39" w14:textId="77777777" w:rsidTr="0E054CB5">
        <w:trPr>
          <w:trHeight w:val="383"/>
        </w:trPr>
        <w:tc>
          <w:tcPr>
            <w:tcW w:w="1560" w:type="dxa"/>
            <w:shd w:val="clear" w:color="auto" w:fill="92D050"/>
          </w:tcPr>
          <w:p w14:paraId="20187A2C" w14:textId="2D798F0F" w:rsidR="009A23E6" w:rsidRDefault="0E054CB5" w:rsidP="00507BB8">
            <w:pPr>
              <w:jc w:val="both"/>
              <w:rPr>
                <w:b/>
                <w:bCs/>
              </w:rPr>
            </w:pPr>
            <w:commentRangeStart w:id="3"/>
            <w:r>
              <w:t>T</w:t>
            </w:r>
            <w:r w:rsidRPr="0E054CB5">
              <w:rPr>
                <w:b/>
                <w:bCs/>
              </w:rPr>
              <w:t>ermi</w:t>
            </w:r>
          </w:p>
        </w:tc>
        <w:tc>
          <w:tcPr>
            <w:tcW w:w="8073" w:type="dxa"/>
            <w:shd w:val="clear" w:color="auto" w:fill="92D050"/>
          </w:tcPr>
          <w:p w14:paraId="6613A52D" w14:textId="06AF6116" w:rsidR="009A23E6" w:rsidRDefault="0E054CB5" w:rsidP="00507BB8">
            <w:pPr>
              <w:jc w:val="both"/>
              <w:rPr>
                <w:b/>
                <w:bCs/>
              </w:rPr>
            </w:pPr>
            <w:r w:rsidRPr="0E054CB5">
              <w:rPr>
                <w:b/>
                <w:bCs/>
              </w:rPr>
              <w:t>Määritelmä</w:t>
            </w:r>
            <w:commentRangeEnd w:id="3"/>
            <w:r w:rsidR="00846E1E">
              <w:rPr>
                <w:rStyle w:val="CommentReference"/>
              </w:rPr>
              <w:commentReference w:id="3"/>
            </w:r>
          </w:p>
        </w:tc>
      </w:tr>
      <w:tr w:rsidR="009A23E6" w14:paraId="7F28FD09" w14:textId="77777777" w:rsidTr="0E054CB5">
        <w:trPr>
          <w:trHeight w:val="1409"/>
        </w:trPr>
        <w:tc>
          <w:tcPr>
            <w:tcW w:w="1560" w:type="dxa"/>
            <w:shd w:val="clear" w:color="auto" w:fill="E2EFD9" w:themeFill="accent6" w:themeFillTint="33"/>
          </w:tcPr>
          <w:p w14:paraId="1DD9E743" w14:textId="6FACBE21" w:rsidR="009A23E6" w:rsidRDefault="0E054CB5" w:rsidP="00507BB8">
            <w:pPr>
              <w:jc w:val="both"/>
              <w:rPr>
                <w:b/>
                <w:bCs/>
              </w:rPr>
            </w:pPr>
            <w:r w:rsidRPr="0E054CB5">
              <w:rPr>
                <w:b/>
                <w:bCs/>
              </w:rPr>
              <w:t>Haavoittuvuus</w:t>
            </w:r>
          </w:p>
        </w:tc>
        <w:tc>
          <w:tcPr>
            <w:tcW w:w="8073" w:type="dxa"/>
          </w:tcPr>
          <w:p w14:paraId="4B89C3CA" w14:textId="4A14FC11" w:rsidR="009A23E6" w:rsidRPr="009A23E6" w:rsidRDefault="0E054CB5" w:rsidP="00507BB8">
            <w:pPr>
              <w:jc w:val="both"/>
              <w:rPr>
                <w:sz w:val="20"/>
                <w:szCs w:val="20"/>
              </w:rPr>
            </w:pPr>
            <w:r w:rsidRPr="0E054CB5">
              <w:rPr>
                <w:sz w:val="20"/>
                <w:szCs w:val="20"/>
              </w:rPr>
              <w:t>Haavoittuvuus voi olla mikä tahansa heikkous, joka mahdollistaa vahingon toteutumisen tai jota voidaan käyttää vahingon aiheuttamisessa. Haavoittuvuuksia voi olla operatiivisissa järjestelmissä, informaatiojärjestelmissä, prosesseissa ja ihmisen toiminnassa. Haavoittuvuudet voivat johtua esimerkiksi  prosesseista, arkkitehtuurista tai suunnittelusta, konfiguraatioista ja ylläpidosta, fyysisestä tunkeutumisesta, järjestelmän ohjelmisto- ja tuotekehityksestä, viestinnästä ja tietoverkoista, harjoittelun ja tietoisuuden puutteesta.</w:t>
            </w:r>
          </w:p>
        </w:tc>
      </w:tr>
      <w:tr w:rsidR="00846E1E" w14:paraId="02CB2404" w14:textId="77777777" w:rsidTr="0E054CB5">
        <w:tc>
          <w:tcPr>
            <w:tcW w:w="1560" w:type="dxa"/>
            <w:shd w:val="clear" w:color="auto" w:fill="E2EFD9" w:themeFill="accent6" w:themeFillTint="33"/>
          </w:tcPr>
          <w:p w14:paraId="04FD8997" w14:textId="234BD03F" w:rsidR="00846E1E" w:rsidRPr="0E054CB5" w:rsidRDefault="00846E1E" w:rsidP="00507BB8">
            <w:pPr>
              <w:jc w:val="both"/>
              <w:rPr>
                <w:b/>
                <w:bCs/>
              </w:rPr>
            </w:pPr>
            <w:r w:rsidRPr="0E054CB5">
              <w:rPr>
                <w:b/>
                <w:bCs/>
              </w:rPr>
              <w:t>Kyberuhka</w:t>
            </w:r>
          </w:p>
        </w:tc>
        <w:tc>
          <w:tcPr>
            <w:tcW w:w="8073" w:type="dxa"/>
          </w:tcPr>
          <w:p w14:paraId="0D940687" w14:textId="53E61898" w:rsidR="00846E1E" w:rsidRPr="0E054CB5" w:rsidRDefault="00846E1E" w:rsidP="00507BB8">
            <w:pPr>
              <w:jc w:val="both"/>
              <w:rPr>
                <w:sz w:val="20"/>
                <w:szCs w:val="20"/>
              </w:rPr>
            </w:pPr>
            <w:r w:rsidRPr="0E054CB5">
              <w:rPr>
                <w:sz w:val="20"/>
                <w:szCs w:val="20"/>
              </w:rPr>
              <w:t xml:space="preserve">Kyberuhka </w:t>
            </w:r>
            <w:r w:rsidR="0097355E">
              <w:rPr>
                <w:sz w:val="20"/>
                <w:szCs w:val="20"/>
              </w:rPr>
              <w:t>tarkoittaa mahdollisen ei-toivotun haitallisen</w:t>
            </w:r>
            <w:r w:rsidRPr="0E054CB5">
              <w:rPr>
                <w:sz w:val="20"/>
                <w:szCs w:val="20"/>
              </w:rPr>
              <w:t xml:space="preserve"> tapahtuma</w:t>
            </w:r>
            <w:r w:rsidR="0097355E">
              <w:rPr>
                <w:sz w:val="20"/>
                <w:szCs w:val="20"/>
              </w:rPr>
              <w:t>n tai kehityskulun aiheuttajaa</w:t>
            </w:r>
            <w:r w:rsidRPr="0E054CB5">
              <w:rPr>
                <w:sz w:val="20"/>
                <w:szCs w:val="20"/>
              </w:rPr>
              <w:t>, joka kohdistuu kybertoimintaympäristöön ja toteutuessaan vaarantaa siitä riippuvaisen toiminnon. Kyberuhkat voivat aiheutua paitsi toteutuneista tietoturvauhkista myös digitaalisessa viestintäympäristössä tai operatiivisissa järjestelmissä toteutettavista, yhteiskunnan turvallisuutta vaarantavista teoista. Kyberuhkat voivat olla peräisin maan rajojen sisältä tai niiden ulkopuolelta.</w:t>
            </w:r>
          </w:p>
        </w:tc>
      </w:tr>
      <w:tr w:rsidR="00846E1E" w14:paraId="1B74F50A" w14:textId="77777777" w:rsidTr="0E054CB5">
        <w:tc>
          <w:tcPr>
            <w:tcW w:w="1560" w:type="dxa"/>
            <w:shd w:val="clear" w:color="auto" w:fill="E2EFD9" w:themeFill="accent6" w:themeFillTint="33"/>
          </w:tcPr>
          <w:p w14:paraId="62804E9C" w14:textId="75FD6085" w:rsidR="00846E1E" w:rsidRDefault="00846E1E" w:rsidP="00507BB8">
            <w:pPr>
              <w:jc w:val="both"/>
              <w:rPr>
                <w:b/>
                <w:bCs/>
              </w:rPr>
            </w:pPr>
            <w:r w:rsidRPr="0E054CB5">
              <w:rPr>
                <w:b/>
                <w:bCs/>
              </w:rPr>
              <w:t>Kyberriski</w:t>
            </w:r>
          </w:p>
        </w:tc>
        <w:tc>
          <w:tcPr>
            <w:tcW w:w="8073" w:type="dxa"/>
          </w:tcPr>
          <w:p w14:paraId="6F5498C0" w14:textId="0A94EEF8" w:rsidR="00846E1E" w:rsidRPr="009A23E6" w:rsidRDefault="00846E1E" w:rsidP="00507BB8">
            <w:pPr>
              <w:jc w:val="both"/>
              <w:rPr>
                <w:sz w:val="20"/>
                <w:szCs w:val="20"/>
              </w:rPr>
            </w:pPr>
            <w:r w:rsidRPr="0E054CB5">
              <w:rPr>
                <w:sz w:val="20"/>
                <w:szCs w:val="20"/>
              </w:rPr>
              <w:t>Kyberriski on todennäköisyys sille, että uhka hyödyntää haavoittuvuutta sekä niitä vaikutuksia, joita tämä haitallinen tapahtuma toteutuessaan organisaatiolle aiheuttaa.</w:t>
            </w:r>
            <w:r w:rsidR="0097355E">
              <w:rPr>
                <w:sz w:val="20"/>
                <w:szCs w:val="20"/>
              </w:rPr>
              <w:t xml:space="preserve"> Riskejä voidaan hallita riskienhallintamenetelmin.</w:t>
            </w:r>
          </w:p>
        </w:tc>
      </w:tr>
      <w:tr w:rsidR="00846E1E" w14:paraId="7D7F8962" w14:textId="77777777" w:rsidTr="0E054CB5">
        <w:tc>
          <w:tcPr>
            <w:tcW w:w="1560" w:type="dxa"/>
            <w:shd w:val="clear" w:color="auto" w:fill="E2EFD9" w:themeFill="accent6" w:themeFillTint="33"/>
          </w:tcPr>
          <w:p w14:paraId="70E93AB3" w14:textId="595EC673" w:rsidR="00846E1E" w:rsidRDefault="00846E1E" w:rsidP="00507BB8">
            <w:pPr>
              <w:jc w:val="both"/>
              <w:rPr>
                <w:b/>
                <w:bCs/>
              </w:rPr>
            </w:pPr>
            <w:r w:rsidRPr="0E054CB5">
              <w:rPr>
                <w:b/>
                <w:bCs/>
              </w:rPr>
              <w:t>Kybertoimintaympäristö</w:t>
            </w:r>
          </w:p>
        </w:tc>
        <w:tc>
          <w:tcPr>
            <w:tcW w:w="8073" w:type="dxa"/>
          </w:tcPr>
          <w:p w14:paraId="3E7DDC77" w14:textId="7F5E1E8B" w:rsidR="00846E1E" w:rsidRPr="009A23E6" w:rsidRDefault="00846E1E" w:rsidP="00507BB8">
            <w:pPr>
              <w:jc w:val="both"/>
              <w:rPr>
                <w:sz w:val="20"/>
                <w:szCs w:val="20"/>
              </w:rPr>
            </w:pPr>
            <w:r w:rsidRPr="0E054CB5">
              <w:rPr>
                <w:sz w:val="20"/>
                <w:szCs w:val="20"/>
              </w:rPr>
              <w:t xml:space="preserve">Kybertoimintaympäristö on yhdestä tai useammasta digitaalisesta tietojärjestelmästä muodostuva toimintaympäristö. Kybertoimintaympäristölle on tunnusomaista datan ja informaation varastointi, muokkaaminen ja siirto viestintäverkkojen avulla. Raideliikenteen kyberturvallisuusympäristölle on lisäksi tunnusomaista </w:t>
            </w:r>
            <w:r>
              <w:rPr>
                <w:sz w:val="20"/>
                <w:szCs w:val="20"/>
              </w:rPr>
              <w:t xml:space="preserve">maantieteellinen hajautuneisuus, </w:t>
            </w:r>
            <w:r w:rsidRPr="0E054CB5">
              <w:rPr>
                <w:sz w:val="20"/>
                <w:szCs w:val="20"/>
              </w:rPr>
              <w:t>operatiivisten järjestelmien avulla tapahtuva laitteiden ohjaus</w:t>
            </w:r>
            <w:r>
              <w:rPr>
                <w:sz w:val="20"/>
                <w:szCs w:val="20"/>
              </w:rPr>
              <w:t xml:space="preserve"> sekä tiedon eheyden ja saatavuuden korostuminen</w:t>
            </w:r>
            <w:r w:rsidRPr="0E054CB5">
              <w:rPr>
                <w:sz w:val="20"/>
                <w:szCs w:val="20"/>
              </w:rPr>
              <w:t>. Ympäristöön kuuluvat myös datan ja informaation käsittelyyn liittyvät fyysiset rakenteet</w:t>
            </w:r>
            <w:r>
              <w:rPr>
                <w:sz w:val="20"/>
                <w:szCs w:val="20"/>
              </w:rPr>
              <w:t xml:space="preserve">. </w:t>
            </w:r>
          </w:p>
        </w:tc>
      </w:tr>
      <w:tr w:rsidR="00846E1E" w14:paraId="185322D8" w14:textId="77777777" w:rsidTr="0E054CB5">
        <w:tc>
          <w:tcPr>
            <w:tcW w:w="1560" w:type="dxa"/>
            <w:shd w:val="clear" w:color="auto" w:fill="E2EFD9" w:themeFill="accent6" w:themeFillTint="33"/>
          </w:tcPr>
          <w:p w14:paraId="20C671BC" w14:textId="3710379D" w:rsidR="00846E1E" w:rsidRDefault="00846E1E" w:rsidP="00507BB8">
            <w:pPr>
              <w:jc w:val="both"/>
              <w:rPr>
                <w:b/>
                <w:bCs/>
              </w:rPr>
            </w:pPr>
            <w:r w:rsidRPr="0E054CB5">
              <w:rPr>
                <w:b/>
                <w:bCs/>
              </w:rPr>
              <w:t>Kyber-</w:t>
            </w:r>
            <w:r>
              <w:br/>
            </w:r>
            <w:r w:rsidRPr="0E054CB5">
              <w:rPr>
                <w:b/>
                <w:bCs/>
              </w:rPr>
              <w:t>turvallisuus</w:t>
            </w:r>
          </w:p>
        </w:tc>
        <w:tc>
          <w:tcPr>
            <w:tcW w:w="8073" w:type="dxa"/>
          </w:tcPr>
          <w:p w14:paraId="7805F9F5" w14:textId="02793A14" w:rsidR="00846E1E" w:rsidRPr="009A23E6" w:rsidRDefault="00846E1E" w:rsidP="00507BB8">
            <w:pPr>
              <w:jc w:val="both"/>
              <w:rPr>
                <w:sz w:val="20"/>
                <w:szCs w:val="20"/>
              </w:rPr>
            </w:pPr>
            <w:r w:rsidRPr="0E054CB5">
              <w:rPr>
                <w:sz w:val="20"/>
                <w:szCs w:val="20"/>
              </w:rPr>
              <w:t xml:space="preserve">Kyberturvallisuus on tavoitetila, jossa kybertoimintaympäristöön voidaan luottaa ja jossa sen toiminta turvataan. Kyberturvallisuuteen kuuluvat toimenpiteet, joilla voidaan ennakoivasti hallita ja tarvittaessa sietää erilaisia kyberuhkia ja niiden vaikutuksia. Kybertoimintaympäristön toiminnan häiriytyminen aiheutuu usein toteutuneesta tietoturvauhkasta, joten kyberturvallisuuteen pyrittäessä tietoturva on keskeinen tekijä. Tietoturvan lisäksi kyberturvallisuuteen pyritään muun muassa toimenpiteillä, joiden tarkoituksena on turvata häiriytyneestä kybertoimintaympäristöstä riippuvaiset fyysisen maailman toiminnot. Siinä missä tietoturvalla tarkoitetaan tiedon saatavuutta, eheyttä ja luottamuksellisuutta, kyberturvallisuus tarkoittaa digitaalisen ja verkottuneen yhteiskunnan tai organisaation turvallisuutta ja sen vaikutusta niiden toimintoihin. </w:t>
            </w:r>
          </w:p>
        </w:tc>
      </w:tr>
      <w:tr w:rsidR="00846E1E" w14:paraId="764F2B11" w14:textId="77777777" w:rsidTr="003F0D21">
        <w:trPr>
          <w:trHeight w:val="2451"/>
        </w:trPr>
        <w:tc>
          <w:tcPr>
            <w:tcW w:w="1560" w:type="dxa"/>
            <w:shd w:val="clear" w:color="auto" w:fill="E2EFD9" w:themeFill="accent6" w:themeFillTint="33"/>
          </w:tcPr>
          <w:p w14:paraId="486C6F3E" w14:textId="47B924BE" w:rsidR="00846E1E" w:rsidRDefault="00846E1E" w:rsidP="00507BB8">
            <w:pPr>
              <w:jc w:val="both"/>
              <w:rPr>
                <w:b/>
                <w:bCs/>
              </w:rPr>
            </w:pPr>
            <w:r w:rsidRPr="0E054CB5">
              <w:rPr>
                <w:b/>
                <w:bCs/>
              </w:rPr>
              <w:t>Tieto-</w:t>
            </w:r>
            <w:r>
              <w:br/>
            </w:r>
            <w:r w:rsidRPr="0E054CB5">
              <w:rPr>
                <w:b/>
                <w:bCs/>
              </w:rPr>
              <w:t>turvallisuus</w:t>
            </w:r>
          </w:p>
        </w:tc>
        <w:tc>
          <w:tcPr>
            <w:tcW w:w="8073" w:type="dxa"/>
          </w:tcPr>
          <w:p w14:paraId="02F46EE6" w14:textId="24C36511" w:rsidR="00846E1E" w:rsidRPr="009A23E6" w:rsidRDefault="00846E1E" w:rsidP="00507BB8">
            <w:pPr>
              <w:jc w:val="both"/>
              <w:rPr>
                <w:sz w:val="20"/>
                <w:szCs w:val="20"/>
              </w:rPr>
            </w:pPr>
            <w:r w:rsidRPr="0E054CB5">
              <w:rPr>
                <w:sz w:val="20"/>
                <w:szCs w:val="20"/>
              </w:rPr>
              <w:t>Tietoturvallisuudella tarkoitetaan järjestelyjä, joilla pyritään varmistamaan tiedon saatavuus, eheys ja luottamuksellisuus. Saatavuus tarkoittaa, että tieto on hyödynnettävissä haluttuna aikana. Eheys tarkoittaa tiedon yhtäpitävyyttä alkuperäisen tiedon kanssa ja luottamuksellisuus sitä, ettei kukaan sivullinen saa tietoa. Tietoturvan järjestelyjä ovat esimerkiksi kulunvalvonta, tilojen lukitus, asiakirjojen turvallinen säilytys ja hävitys, tietojen salaus ja varmuuskopiointi sekä palomuurin, virustorjuntaohjelman ja varmenteiden käyttö. Tietoturvaan kuuluu muun muassa tietoaineistojen, laitteistojen, ohjelmistojen, tietoliikenteen ja toiminnan turvaaminen. Tietoturvalla ja tietoturvallisuudella voidaan tarkoittaa myös oloja, joissa tietoturvariskit ovat hallinnassa.</w:t>
            </w:r>
          </w:p>
        </w:tc>
      </w:tr>
    </w:tbl>
    <w:p w14:paraId="783E83CE" w14:textId="6A2645D0" w:rsidR="0046122F" w:rsidRPr="0046122F" w:rsidRDefault="0E054CB5" w:rsidP="00507BB8">
      <w:r w:rsidRPr="0E054CB5">
        <w:rPr>
          <w:i/>
          <w:iCs/>
        </w:rPr>
        <w:t>Taulukko 1 Keskeiset suosituksessa käytettävät määritelmät</w:t>
      </w:r>
      <w:r w:rsidR="51BC3758">
        <w:br/>
      </w:r>
      <w:r>
        <w:t xml:space="preserve">                      </w:t>
      </w:r>
    </w:p>
    <w:p w14:paraId="4B821CC2" w14:textId="7CE12A85" w:rsidR="0046122F" w:rsidRPr="00310B58" w:rsidRDefault="0046122F" w:rsidP="00507BB8">
      <w:pPr>
        <w:pStyle w:val="Heading1"/>
        <w:jc w:val="both"/>
        <w:rPr>
          <w:b/>
          <w:bCs/>
        </w:rPr>
      </w:pPr>
      <w:bookmarkStart w:id="4" w:name="_Toc116913293"/>
      <w:r w:rsidRPr="7BB17E1D">
        <w:rPr>
          <w:b/>
          <w:bCs/>
        </w:rPr>
        <w:t>3. Kyberturvallisuus raideliikenteessä</w:t>
      </w:r>
      <w:bookmarkEnd w:id="4"/>
    </w:p>
    <w:p w14:paraId="13513046" w14:textId="6800F2D1" w:rsidR="51BC3758" w:rsidRDefault="0E054CB5" w:rsidP="00507BB8">
      <w:pPr>
        <w:jc w:val="both"/>
        <w:rPr>
          <w:color w:val="2E74B5" w:themeColor="accent1" w:themeShade="BF"/>
        </w:rPr>
      </w:pPr>
      <w:r w:rsidRPr="00034E29">
        <w:t>Eurooppalaisen rautatiejärjestelmän yhtenäistymisen ja digitalisoitumisen myötä järjestelmästä on tullut harmonisoidumpi ja avoimempi sekä näin ollen haavoittuvampi.</w:t>
      </w:r>
      <w:r w:rsidR="00630F74">
        <w:t xml:space="preserve"> Venäjän hyökkäyssota Ukrainassa on </w:t>
      </w:r>
      <w:r w:rsidR="004E04CD">
        <w:t>vahvistanut</w:t>
      </w:r>
      <w:r w:rsidR="00630F74">
        <w:t xml:space="preserve"> rautatiejärjestelmän olevan tärkeä osa yhteiskunnan kriittistä infrastruktuuria. </w:t>
      </w:r>
      <w:r w:rsidR="00943646">
        <w:t>Vuoden 2022</w:t>
      </w:r>
      <w:r w:rsidR="00630F74">
        <w:t xml:space="preserve"> aikana Ukrainassa, Valko-Venäjällä ja EU:n alueella on havaittu useita rautatiejärjestelmään kohdistuneita kyberhäiriöitä.</w:t>
      </w:r>
      <w:r w:rsidRPr="00034E29">
        <w:t xml:space="preserve"> </w:t>
      </w:r>
      <w:r w:rsidR="00630F74">
        <w:t xml:space="preserve">Nämä tekijät ovat johtaneet </w:t>
      </w:r>
      <w:r w:rsidRPr="00034E29">
        <w:t xml:space="preserve">kyberturvallisuusriskien kasvuun raideliikenteessä. Raideliikenteen tehokkuuden parantaminen nojaa vahvasti </w:t>
      </w:r>
      <w:proofErr w:type="spellStart"/>
      <w:r w:rsidRPr="00034E29">
        <w:t>digitalisaatioon</w:t>
      </w:r>
      <w:proofErr w:type="spellEnd"/>
      <w:r w:rsidRPr="00034E29">
        <w:t xml:space="preserve"> ja tulevaisuuden </w:t>
      </w:r>
      <w:proofErr w:type="spellStart"/>
      <w:r w:rsidRPr="00034E29">
        <w:t>digitalisaatiotavoitteiden</w:t>
      </w:r>
      <w:proofErr w:type="spellEnd"/>
      <w:r w:rsidRPr="00034E29">
        <w:t xml:space="preserve"> mahdollistamien hyötyjen saavuttaminen edellyttää vahvaa kyberturvallisuuden </w:t>
      </w:r>
      <w:r w:rsidR="004E04CD" w:rsidRPr="00034E29">
        <w:t>perus</w:t>
      </w:r>
      <w:r w:rsidR="004E04CD">
        <w:t>tasoa</w:t>
      </w:r>
      <w:r w:rsidRPr="00034E29">
        <w:t>.</w:t>
      </w:r>
    </w:p>
    <w:p w14:paraId="6C77E0E2" w14:textId="12B3A183" w:rsidR="0046122F" w:rsidRDefault="0E054CB5" w:rsidP="00507BB8">
      <w:pPr>
        <w:jc w:val="both"/>
      </w:pPr>
      <w:r>
        <w:t xml:space="preserve">Myös maantieteellisesti selvästi rajoittuneemmat kaupunkiraideliikennejärjestelmät </w:t>
      </w:r>
      <w:r w:rsidR="00630F74">
        <w:t>ovat maailmalla joutuneet</w:t>
      </w:r>
      <w:r>
        <w:t xml:space="preserve"> kyberturvallisuushyökkäysten kohteeksi.  Siitä huolimatta, että hyökkäysten seuraamukset ovat kaupunkiraideliikenteessä maantieteellisesti rajatumpia, niillä voi olla silti merkittäviä negatiivisia vaikutuksia järjestelmien</w:t>
      </w:r>
      <w:r w:rsidR="00705857">
        <w:t xml:space="preserve"> toimintaan, liikenteen</w:t>
      </w:r>
      <w:r>
        <w:t xml:space="preserve"> turvallisuuteen</w:t>
      </w:r>
      <w:r w:rsidR="00943646">
        <w:t xml:space="preserve"> ja toimintavarmuuteen</w:t>
      </w:r>
      <w:r>
        <w:t>.</w:t>
      </w:r>
    </w:p>
    <w:p w14:paraId="4DFB2833" w14:textId="1EDC6C0F" w:rsidR="0046122F" w:rsidRPr="0046122F" w:rsidRDefault="0E054CB5" w:rsidP="00507BB8">
      <w:pPr>
        <w:jc w:val="both"/>
      </w:pPr>
      <w:r>
        <w:t>Raideliikenteessä kyberriskit voivat realisoitua monin eri tavoin. Kyberturvallisuusriski voi realisoitua tahottomasti, mutta myös tarkoituksellisesti, jolloin sen toteuttajina voivat olla yksittäiset ihmiset,</w:t>
      </w:r>
      <w:r w:rsidR="00414AC6">
        <w:t xml:space="preserve"> verkostot</w:t>
      </w:r>
      <w:r w:rsidR="00943646">
        <w:t>,</w:t>
      </w:r>
      <w:r>
        <w:t xml:space="preserve"> organisaatiot tai </w:t>
      </w:r>
      <w:r w:rsidR="00414AC6">
        <w:t>valtiolliset tahot</w:t>
      </w:r>
      <w:r>
        <w:t>.</w:t>
      </w:r>
      <w:r w:rsidR="00414AC6">
        <w:t xml:space="preserve"> Uhkien tunnistaminen edellyttää kaikkien uhkatekijöiden huomioimista, olivat ne sitten luonnon tai ihmisen aiheuttamia, onnettomuuksia tai tahallaan aiheutettuja.</w:t>
      </w:r>
      <w:r>
        <w:t xml:space="preserve"> Organisaatio voi joutua nimenomaisesti sitä kohtaan kohdennetun kyberturvallisuushyökkäyksen kohteeksi. Organisaatio voi joutua myös kohdentamattoman kyberturvallisuushyökkäyksen kohteeksi esimerkiksi siksi, että sen järjestelmässä on helposti havaittavissa ja hyödynnettävissä oleva haavoittuvuus. Kohdentamattomia hyökkäyksiä tiedetään tapahtuvan useammin kuin kohdennettuja hyökkäyksiä ja kohdentamatonkin hyökkäys voi olla organisaation toiminnalle vahingollinen. Kyberturvallisuusuhkan lähteenä, eli vahingoittamista tavoittelevana tahona, voi myös toimia eri taho kuin itse kyberturvallisuushyökkäyksen toteuttajana. Toteuttajia voi löytyä niin organisaatioiden sisältä, kilpailijoiden tai alihankkijoiden joukosta kuin rikollisten, terroristen tai hakkerienkin joukosta.</w:t>
      </w:r>
      <w:r w:rsidR="004E4F20" w:rsidRPr="004E4F20">
        <w:t xml:space="preserve"> </w:t>
      </w:r>
      <w:r w:rsidR="004E4F20">
        <w:t>Traficomin raideliiken</w:t>
      </w:r>
      <w:r w:rsidR="00F75D0F">
        <w:t>teen palvelukokonaisuus</w:t>
      </w:r>
      <w:r w:rsidR="004E4F20">
        <w:t xml:space="preserve"> pitää yllä </w:t>
      </w:r>
      <w:r w:rsidR="00943646">
        <w:t xml:space="preserve">tilannekuvaa </w:t>
      </w:r>
      <w:r w:rsidR="004E4F20">
        <w:t>julkisuuteen raportoiduista raideliikenteen kyberhäiriöistä.</w:t>
      </w:r>
    </w:p>
    <w:p w14:paraId="5FC35001" w14:textId="03CF0835" w:rsidR="00584C69" w:rsidRPr="00584C69" w:rsidRDefault="0E054CB5" w:rsidP="00507BB8">
      <w:pPr>
        <w:jc w:val="both"/>
      </w:pPr>
      <w:r>
        <w:t>Toteutuneilla kyberturvallisuus</w:t>
      </w:r>
      <w:r w:rsidR="006044E4">
        <w:t>häiriöillä</w:t>
      </w:r>
      <w:r>
        <w:t xml:space="preserve"> voi olla merkittäviä negatiivisia vaikutuksia raideliikenteeseen. Todennäköistä on, että kyberturvallisuus</w:t>
      </w:r>
      <w:r w:rsidR="006044E4">
        <w:t>häiriöt</w:t>
      </w:r>
      <w:r>
        <w:t xml:space="preserve"> johtavat </w:t>
      </w:r>
      <w:r w:rsidR="004E4F20">
        <w:t>palveluiden saatavuuden heikentymiseen</w:t>
      </w:r>
      <w:r>
        <w:t>, lisätyöhön ja mainekolauksiin, mutta ne voivat johtaa myös vaaratilanteisiin ja jopa onnettomuuksiin. Tässä suosituksessa kyberturvallisuutta käsitelläänkin erityisesti turvallisuuden kannalta kriittisten järjestelmien osalta.</w:t>
      </w:r>
    </w:p>
    <w:p w14:paraId="37420E29" w14:textId="6CA49254" w:rsidR="0046122F" w:rsidRDefault="0E054CB5" w:rsidP="00507BB8">
      <w:pPr>
        <w:jc w:val="both"/>
      </w:pPr>
      <w:r>
        <w:t>Koska rautatiejärjestelmä on kasvavassa määrin yksi yhteinen järjestelmä, toteutunut kyberturvallisuus</w:t>
      </w:r>
      <w:r w:rsidR="006044E4">
        <w:t>häiriö</w:t>
      </w:r>
      <w:r>
        <w:t xml:space="preserve"> voi johtaa jopa koko järjestelmän ja valtion rataverkon kattaviin häiriöihin. Vastaavasti on mahdollista, että kyberturvallisuus</w:t>
      </w:r>
      <w:r w:rsidR="009E4B8E">
        <w:t>häiriö</w:t>
      </w:r>
      <w:r>
        <w:t xml:space="preserve"> lamaannuttaa esimerkiksi metroliikennejärjestelmän toimimisen kokonaisuudessaan. Näin ollen kyberturvallisuutta pitää edistää järjestelmälähtöisesti ja yhdessä – vain näin voidaan estää tilanne, jossa koko järjestelmä kärsii sen yhden osa-alueen haavoittuvuudesta. </w:t>
      </w:r>
      <w:r w:rsidR="00943646">
        <w:t>Merkittävillä raideliikenteen häiriöillä voivat myös välillisesti vaikuttaa muiden liikennemuotojen ja muun yhteiskunnan kriittisen infrastruktuurin toimintaan.</w:t>
      </w:r>
    </w:p>
    <w:p w14:paraId="08DF4ADA" w14:textId="57842955" w:rsidR="00A96F4C" w:rsidRPr="00A96F4C" w:rsidRDefault="0E054CB5" w:rsidP="00507BB8">
      <w:pPr>
        <w:jc w:val="both"/>
      </w:pPr>
      <w:r>
        <w:t xml:space="preserve">Kyberturvallisuuden edistämisessä on keskeistä ymmärtää, että kyberturvallisuus on osa raideliikennejärjestelmän turvallisuutta eikä kyberturvallisuutta tule kokea tai käsitellä erillisenä kokonaisuutena. </w:t>
      </w:r>
    </w:p>
    <w:p w14:paraId="2017E034" w14:textId="17483688" w:rsidR="00C40806" w:rsidRDefault="009E4B8E" w:rsidP="00507BB8">
      <w:pPr>
        <w:jc w:val="both"/>
      </w:pPr>
      <w:r>
        <w:t>Kyberturvallisuutta raideliikennejärjestelmässä säädellään EU:n verkko- ja tietojärjestelmien turvallisuutta koskevassa</w:t>
      </w:r>
      <w:r w:rsidR="00943646">
        <w:t xml:space="preserve"> NIS-</w:t>
      </w:r>
      <w:r>
        <w:t>direktiivissä</w:t>
      </w:r>
      <w:r w:rsidR="00060604">
        <w:rPr>
          <w:rStyle w:val="FootnoteReference"/>
        </w:rPr>
        <w:footnoteReference w:id="3"/>
      </w:r>
      <w:r w:rsidR="00943646" w:rsidRPr="00943646">
        <w:t xml:space="preserve"> </w:t>
      </w:r>
      <w:r w:rsidR="00943646">
        <w:t>(</w:t>
      </w:r>
      <w:hyperlink r:id="rId15">
        <w:r w:rsidR="00943646" w:rsidRPr="0E054CB5">
          <w:rPr>
            <w:rStyle w:val="Hyperlink"/>
          </w:rPr>
          <w:t>EU:n verkko- ja tietoturvadirektiivi</w:t>
        </w:r>
      </w:hyperlink>
      <w:r w:rsidR="00943646">
        <w:t>, (EU) 2016/1148)</w:t>
      </w:r>
      <w:r>
        <w:t xml:space="preserve">. Sitä ei kuitenkaan </w:t>
      </w:r>
      <w:r w:rsidR="0E054CB5">
        <w:t>säädellä kattavasti</w:t>
      </w:r>
      <w:r>
        <w:t xml:space="preserve"> raideliikenteen omassa</w:t>
      </w:r>
      <w:r w:rsidR="0E054CB5">
        <w:t xml:space="preserve"> EU-sääntelyssä tai huomioida esimerkiksi turvallisuusjohtamisjärjestelmän sisältöä ohjaavissa arviointikriteereissä</w:t>
      </w:r>
      <w:r>
        <w:t>. Tästä huolimatta</w:t>
      </w:r>
      <w:r w:rsidR="0E054CB5">
        <w:t xml:space="preserve"> kyberturvallisuuden sisällyttäminen toimijan turvallisuusjohtamisjärjestelmään tai turvallisuuden hallintajärjestelmään on suositeltavaa ja edistää toimijan kokonaisturvallisuuden johtamista ja hallintaa. </w:t>
      </w:r>
    </w:p>
    <w:p w14:paraId="40E88D4A" w14:textId="33675B61" w:rsidR="001E49CF" w:rsidRDefault="00310B58" w:rsidP="00507BB8">
      <w:pPr>
        <w:pStyle w:val="Heading2"/>
        <w:jc w:val="both"/>
      </w:pPr>
      <w:bookmarkStart w:id="5" w:name="_Toc116913294"/>
      <w:r>
        <w:t>3.1</w:t>
      </w:r>
      <w:r w:rsidR="0046122F" w:rsidRPr="39940DFD">
        <w:t xml:space="preserve">. </w:t>
      </w:r>
      <w:r w:rsidR="001E49CF">
        <w:t>Raideliikenteen kyberturvallisuussääntely</w:t>
      </w:r>
      <w:bookmarkEnd w:id="5"/>
    </w:p>
    <w:p w14:paraId="65AE78E4" w14:textId="6604D80E" w:rsidR="002776FC" w:rsidRDefault="001E49CF" w:rsidP="00507BB8">
      <w:pPr>
        <w:jc w:val="both"/>
      </w:pPr>
      <w:r>
        <w:br/>
      </w:r>
      <w:r w:rsidR="0E054CB5">
        <w:t>Raideliikenteen kyberturvallisuussääntely</w:t>
      </w:r>
      <w:r w:rsidR="009E4B8E">
        <w:t xml:space="preserve">n kehityksen odotetaan jatkuvan. </w:t>
      </w:r>
      <w:r w:rsidR="0E054CB5">
        <w:t>Raideliikennelain 169 §</w:t>
      </w:r>
      <w:r w:rsidR="009E4B8E">
        <w:t xml:space="preserve"> on jo yli neljän vuoden ajan sisältänyt</w:t>
      </w:r>
      <w:r w:rsidR="0E054CB5">
        <w:t xml:space="preserve"> säännökset velvollisuudesta huolehtia viestintäverkkoihin ja tietojärjestelmiin kohdistuvien riskien hallinnasta ja tietoturvallisuuteen liittyvästä häiriöstä ilmoittamisesta. Säännös kohdistuu toistaiseksi vain valtion rataverkon haltijaan sekä liikenteenohjauspalvelun tarjoajaan. Sen taustalla </w:t>
      </w:r>
      <w:r w:rsidR="004A3813">
        <w:t>on NIS</w:t>
      </w:r>
      <w:r w:rsidR="0E054CB5">
        <w:t xml:space="preserve">-direktiivi. </w:t>
      </w:r>
      <w:hyperlink r:id="rId16" w:anchor="O9L29P244a" w:history="1">
        <w:r w:rsidR="004A0734" w:rsidRPr="004A0734">
          <w:rPr>
            <w:rStyle w:val="Hyperlink"/>
          </w:rPr>
          <w:t>Laki sähköisen viestinnän palveluista 244 a §</w:t>
        </w:r>
      </w:hyperlink>
      <w:r w:rsidR="004A0734">
        <w:t xml:space="preserve"> velvoittaa </w:t>
      </w:r>
      <w:r w:rsidR="00414AC6">
        <w:t xml:space="preserve">tiettyjen edellytysten täyttyessä </w:t>
      </w:r>
      <w:r w:rsidR="00630F74">
        <w:t xml:space="preserve">raideliikennejärjestelmän keskeisimpien toimijoiden, kuten valtion rataverkon haltijan ja liikenteenohjauspalveluiden tarjoajan, </w:t>
      </w:r>
      <w:r w:rsidR="004A0734">
        <w:t xml:space="preserve">yleiseen viestintäverkkoon liitetyn erillisverkon </w:t>
      </w:r>
      <w:r w:rsidR="004A0734" w:rsidRPr="004A0734">
        <w:t xml:space="preserve">osalta </w:t>
      </w:r>
      <w:r w:rsidR="004A0734">
        <w:t>tunnistamaan ja dokumentoimaan</w:t>
      </w:r>
      <w:r w:rsidR="004A0734" w:rsidRPr="004A0734">
        <w:t xml:space="preserve"> verkon kriittiset osat ja niissä käytetyt verkkolaitteet sekä </w:t>
      </w:r>
      <w:r w:rsidR="004A0734">
        <w:t>arvioimaan</w:t>
      </w:r>
      <w:r w:rsidR="004A0734" w:rsidRPr="004A0734">
        <w:t>, miten varmistutaan siitä, että verkkolaitteiden käytöstä ei aiheudu uhkaa kansalliselle turvallisuudelle tai maanpuolustukselle.</w:t>
      </w:r>
      <w:r w:rsidR="004A0734">
        <w:t xml:space="preserve"> </w:t>
      </w:r>
      <w:r w:rsidR="00414AC6">
        <w:t>Velvoitteen</w:t>
      </w:r>
      <w:r w:rsidR="004A0734">
        <w:t xml:space="preserve"> taustalla on EU:n </w:t>
      </w:r>
      <w:r w:rsidR="00414AC6">
        <w:t xml:space="preserve">5G </w:t>
      </w:r>
      <w:proofErr w:type="spellStart"/>
      <w:r w:rsidR="00414AC6">
        <w:t>toolbox</w:t>
      </w:r>
      <w:proofErr w:type="spellEnd"/>
      <w:r w:rsidR="00060604">
        <w:rPr>
          <w:rStyle w:val="FootnoteReference"/>
        </w:rPr>
        <w:footnoteReference w:id="4"/>
      </w:r>
      <w:r w:rsidR="004A0734">
        <w:t xml:space="preserve"> ja huoli 5G-verkkojen tietoturvasta.</w:t>
      </w:r>
    </w:p>
    <w:p w14:paraId="68D80109" w14:textId="782FAE9E" w:rsidR="007A62A0" w:rsidRDefault="0E054CB5" w:rsidP="00507BB8">
      <w:pPr>
        <w:jc w:val="both"/>
      </w:pPr>
      <w:r>
        <w:t xml:space="preserve">Raideliikennelaki sisältää myös yleisemmän velvoitteen ilmoittaa tilannekuvan muodostamiseksi tarvittavista tiedoista. </w:t>
      </w:r>
      <w:r w:rsidR="009E4B8E">
        <w:t xml:space="preserve">Lain </w:t>
      </w:r>
      <w:r>
        <w:t xml:space="preserve">172 § kohdistuu sekä rautatieliikenteen harjoittajiin, rataverkon haltijoihin, liikenteenohjauspalvelua tarjoavaan yhtiöön sekä kaupunkiraideliikenteen rataverkon liikenteenohjauksesta vastaavaan toimijaan, joiden on ilmoitettava </w:t>
      </w:r>
      <w:proofErr w:type="spellStart"/>
      <w:r>
        <w:t>Traficomille</w:t>
      </w:r>
      <w:proofErr w:type="spellEnd"/>
      <w:r>
        <w:t xml:space="preserve"> viipymättä sellaisista niiden tietoon tulleista tapahtumista, jotka voivat vaikuttaa tilannekuvan muodostamiseen. Traficom on ohjeista</w:t>
      </w:r>
      <w:r w:rsidR="009E4B8E">
        <w:t>nut</w:t>
      </w:r>
      <w:r>
        <w:t xml:space="preserve"> pykälän mukaista toimintaa</w:t>
      </w:r>
      <w:r w:rsidR="009E4B8E">
        <w:t xml:space="preserve"> vuonna 2022 (</w:t>
      </w:r>
      <w:hyperlink r:id="rId17" w:history="1">
        <w:r w:rsidR="009E4B8E" w:rsidRPr="009E4B8E">
          <w:rPr>
            <w:rStyle w:val="Hyperlink"/>
          </w:rPr>
          <w:t>Ohje raideliikenteen häiriöiden ilmoittamisesta</w:t>
        </w:r>
      </w:hyperlink>
      <w:r w:rsidR="009E4B8E">
        <w:t>)</w:t>
      </w:r>
      <w:r>
        <w:t>. Pykälän voidaan katsoa sisältävän myös kyberturvallisuusuhkista ja -häiriöistä ilmoittamisvelvollisuuden.</w:t>
      </w:r>
    </w:p>
    <w:p w14:paraId="4993D97A" w14:textId="0A99CA98" w:rsidR="001E49CF" w:rsidRDefault="0E054CB5" w:rsidP="00507BB8">
      <w:pPr>
        <w:jc w:val="both"/>
      </w:pPr>
      <w:r>
        <w:t>Raideliikennelain lisäksi kyberturvallisuus huomioidaan Traficomin määräyksessä valmiussuunnitelman järjestämisestä (</w:t>
      </w:r>
      <w:hyperlink r:id="rId18" w:history="1">
        <w:r w:rsidRPr="007C464A">
          <w:rPr>
            <w:rStyle w:val="Hyperlink"/>
          </w:rPr>
          <w:t>TRAFICOM/308489/03.04.04.00/2019</w:t>
        </w:r>
      </w:hyperlink>
      <w:r>
        <w:t xml:space="preserve">). Määräys </w:t>
      </w:r>
      <w:r w:rsidR="004A3813">
        <w:t xml:space="preserve">muun muassa </w:t>
      </w:r>
      <w:r>
        <w:t>edellyttää, että rataverkon haltija kuvaa valmiussuunnitelmassaan kybertoimintaympäristönsä</w:t>
      </w:r>
      <w:r w:rsidR="00D43B07">
        <w:t>. Määräys koskee</w:t>
      </w:r>
      <w:r>
        <w:t xml:space="preserve"> sekä valtion rataverkon haltijaa, että yksityisraiteen haltijoi</w:t>
      </w:r>
      <w:r w:rsidR="00D43B07">
        <w:t>ta</w:t>
      </w:r>
      <w:r>
        <w:t>. Lisäksi valtion rataverkon haltijan ja sen liikenteenohjauspalvelu</w:t>
      </w:r>
      <w:r w:rsidR="004F1F73">
        <w:t>n</w:t>
      </w:r>
      <w:r>
        <w:t xml:space="preserve"> tarjoa</w:t>
      </w:r>
      <w:r w:rsidR="004F1F73">
        <w:t>j</w:t>
      </w:r>
      <w:r>
        <w:t>an tulee huomioida kybertoimintaympäristöä uhkaavat tapahtumat ja uhkat kuvatessaan menettelyitä, joilla se varmistaa rautatieliikenteen hoidon varautumisen eri tavoitetasoilla. Määräys tul</w:t>
      </w:r>
      <w:r w:rsidR="00D43B07">
        <w:t>i</w:t>
      </w:r>
      <w:r>
        <w:t xml:space="preserve"> sovellettavaksi siirtymäajan jälkeen 1.6.2021.</w:t>
      </w:r>
      <w:r w:rsidR="00060604">
        <w:t xml:space="preserve"> Traficom on antanut myös määräystä koskevan ohjeen valmiussuunnitelman laatimisesta.</w:t>
      </w:r>
      <w:r w:rsidR="00060604">
        <w:rPr>
          <w:rStyle w:val="FootnoteReference"/>
        </w:rPr>
        <w:footnoteReference w:id="5"/>
      </w:r>
    </w:p>
    <w:p w14:paraId="0E95FD8C" w14:textId="6EA290E4" w:rsidR="002776FC" w:rsidRPr="00151460" w:rsidRDefault="009E34F2" w:rsidP="00507BB8">
      <w:pPr>
        <w:jc w:val="both"/>
      </w:pPr>
      <w:r>
        <w:t xml:space="preserve">Raideliikenteen kyberturvallisuuden sääntelyä, standardointia ja ohjeistusta kehitetään useilla eri tahoilla. Tulevasta EU-sääntelystä keskeisin on ns. NIS2 direktiiviuudistus, joka </w:t>
      </w:r>
      <w:r w:rsidR="004F1F73">
        <w:t xml:space="preserve">voimaan tullessa </w:t>
      </w:r>
      <w:r>
        <w:t xml:space="preserve">tarkentaisi yhteiskunnan kriittisten palveluiden kyberturvallisuuden riskien hallinnan vaatimuksia </w:t>
      </w:r>
      <w:commentRangeStart w:id="6"/>
      <w:r>
        <w:t>(</w:t>
      </w:r>
      <w:hyperlink r:id="rId19" w:history="1">
        <w:r w:rsidR="00D02789" w:rsidRPr="00D02789">
          <w:rPr>
            <w:rStyle w:val="Hyperlink"/>
          </w:rPr>
          <w:t>alustava yhteisymmärrysteksti 17.6.2022</w:t>
        </w:r>
      </w:hyperlink>
      <w:r w:rsidR="00D02789">
        <w:t>)</w:t>
      </w:r>
      <w:commentRangeEnd w:id="6"/>
      <w:r w:rsidR="004A3813">
        <w:rPr>
          <w:rStyle w:val="CommentReference"/>
        </w:rPr>
        <w:commentReference w:id="6"/>
      </w:r>
      <w:r>
        <w:t>.</w:t>
      </w:r>
      <w:r w:rsidR="00060604">
        <w:t xml:space="preserve"> NIS2 direktiiviuudistuksen odotetaan koskevan myös raideliikennelana valmistavaa sektoria.</w:t>
      </w:r>
      <w:r w:rsidR="00D02789">
        <w:t xml:space="preserve"> CENELEC organisaatio on julkaissut rautateiden kyberturvallisuuden teknisen eritelmän </w:t>
      </w:r>
      <w:hyperlink r:id="rId20" w:history="1">
        <w:r w:rsidR="00D02789" w:rsidRPr="00D02789">
          <w:rPr>
            <w:rStyle w:val="Hyperlink"/>
          </w:rPr>
          <w:t>TS50701</w:t>
        </w:r>
      </w:hyperlink>
      <w:r w:rsidR="00D02789">
        <w:t xml:space="preserve"> vuonna 2022 ja IEC standardointiorganisaatio kehittää </w:t>
      </w:r>
      <w:r w:rsidR="004E4F20">
        <w:t>teknisen eritelmän pohjalta</w:t>
      </w:r>
      <w:r w:rsidR="00D02789">
        <w:t xml:space="preserve"> kansainvälistä standardia (</w:t>
      </w:r>
      <w:hyperlink r:id="rId21" w:history="1">
        <w:r w:rsidR="00D02789" w:rsidRPr="00D02789">
          <w:rPr>
            <w:rStyle w:val="Hyperlink"/>
          </w:rPr>
          <w:t>IEC projektiryhmä</w:t>
        </w:r>
      </w:hyperlink>
      <w:r w:rsidR="00D02789">
        <w:t xml:space="preserve">). </w:t>
      </w:r>
      <w:proofErr w:type="spellStart"/>
      <w:r w:rsidR="004F1F73">
        <w:t>IEC:n</w:t>
      </w:r>
      <w:proofErr w:type="spellEnd"/>
      <w:r w:rsidR="004F1F73">
        <w:t xml:space="preserve"> on tarkoitus julkaista rautatiejärjestelmän kyberturvallisuusstandardi 31.7.2025. </w:t>
      </w:r>
      <w:r w:rsidR="005E46A0">
        <w:t xml:space="preserve">Traficomin Kyberturvallisuuskeskus </w:t>
      </w:r>
      <w:r w:rsidR="007206A9">
        <w:t>osallistuu</w:t>
      </w:r>
      <w:r w:rsidR="005E46A0">
        <w:t xml:space="preserve"> r</w:t>
      </w:r>
      <w:r w:rsidR="003D284A">
        <w:t xml:space="preserve">autateiden kyberturvallisuuden tiedonvaihtoryhmä </w:t>
      </w:r>
      <w:hyperlink r:id="rId22" w:history="1">
        <w:proofErr w:type="spellStart"/>
        <w:r w:rsidR="005E46A0" w:rsidRPr="005E46A0">
          <w:rPr>
            <w:rStyle w:val="Hyperlink"/>
          </w:rPr>
          <w:t>E</w:t>
        </w:r>
        <w:r w:rsidR="003D284A" w:rsidRPr="005E46A0">
          <w:rPr>
            <w:rStyle w:val="Hyperlink"/>
          </w:rPr>
          <w:t>R-ISAC</w:t>
        </w:r>
      </w:hyperlink>
      <w:r w:rsidR="004E4F20">
        <w:t>:in</w:t>
      </w:r>
      <w:proofErr w:type="spellEnd"/>
      <w:r w:rsidR="004E4F20">
        <w:t xml:space="preserve"> </w:t>
      </w:r>
      <w:r w:rsidR="007206A9">
        <w:t>toimintaan</w:t>
      </w:r>
      <w:r w:rsidR="004E4F20">
        <w:t>. ER-ISAC</w:t>
      </w:r>
      <w:r w:rsidR="005E46A0">
        <w:t xml:space="preserve"> on julkaissut yhdessä EU:n kyberturvallisuusvirasto ENISA:n kanssa ohjeen TS50701 soveltamisesta. </w:t>
      </w:r>
      <w:r w:rsidR="004A0734" w:rsidRPr="00F602EB">
        <w:rPr>
          <w:lang w:val="en-GB"/>
        </w:rPr>
        <w:t xml:space="preserve">Traficom on </w:t>
      </w:r>
      <w:proofErr w:type="spellStart"/>
      <w:r w:rsidR="004A0734" w:rsidRPr="00F602EB">
        <w:rPr>
          <w:lang w:val="en-GB"/>
        </w:rPr>
        <w:t>mukana</w:t>
      </w:r>
      <w:proofErr w:type="spellEnd"/>
      <w:r w:rsidR="004A0734" w:rsidRPr="00F602EB">
        <w:rPr>
          <w:lang w:val="en-GB"/>
        </w:rPr>
        <w:t xml:space="preserve"> </w:t>
      </w:r>
      <w:proofErr w:type="spellStart"/>
      <w:r w:rsidR="004A0734" w:rsidRPr="00F602EB">
        <w:rPr>
          <w:lang w:val="en-GB"/>
        </w:rPr>
        <w:t>ENISA</w:t>
      </w:r>
      <w:proofErr w:type="gramStart"/>
      <w:r w:rsidR="004A0734" w:rsidRPr="00F602EB">
        <w:rPr>
          <w:lang w:val="en-GB"/>
        </w:rPr>
        <w:t>:n</w:t>
      </w:r>
      <w:proofErr w:type="spellEnd"/>
      <w:proofErr w:type="gramEnd"/>
      <w:r w:rsidR="004A0734" w:rsidRPr="00F602EB">
        <w:rPr>
          <w:lang w:val="en-GB"/>
        </w:rPr>
        <w:t xml:space="preserve"> Transport Resilience and Security Expert Group (TRAN</w:t>
      </w:r>
      <w:r w:rsidR="007206A9">
        <w:rPr>
          <w:lang w:val="en-GB"/>
        </w:rPr>
        <w:t>S</w:t>
      </w:r>
      <w:r w:rsidR="004A0734" w:rsidRPr="00F602EB">
        <w:rPr>
          <w:lang w:val="en-GB"/>
        </w:rPr>
        <w:t xml:space="preserve">SEC) </w:t>
      </w:r>
      <w:proofErr w:type="spellStart"/>
      <w:r w:rsidR="004A0734" w:rsidRPr="00F602EB">
        <w:rPr>
          <w:lang w:val="en-GB"/>
        </w:rPr>
        <w:t>raideliikenneryhmässä</w:t>
      </w:r>
      <w:proofErr w:type="spellEnd"/>
      <w:r w:rsidR="004A0734" w:rsidRPr="00F602EB">
        <w:rPr>
          <w:lang w:val="en-GB"/>
        </w:rPr>
        <w:t xml:space="preserve">. </w:t>
      </w:r>
      <w:r w:rsidR="004F1F73" w:rsidRPr="00F602EB">
        <w:t>E</w:t>
      </w:r>
      <w:r w:rsidR="004F1F73">
        <w:t xml:space="preserve">NISA on vuosittain julkaissut raideliikennejärjestelmän kyberturvallisuutta koskevia tutkimuksia. </w:t>
      </w:r>
      <w:r w:rsidR="005E46A0">
        <w:t xml:space="preserve">Lisäksi Traficom ja Poliisihallitus ovat mukana EU-komission alaisissa </w:t>
      </w:r>
      <w:proofErr w:type="spellStart"/>
      <w:r w:rsidR="005E46A0">
        <w:t>Expert</w:t>
      </w:r>
      <w:proofErr w:type="spellEnd"/>
      <w:r w:rsidR="005E46A0">
        <w:t xml:space="preserve"> Group on </w:t>
      </w:r>
      <w:proofErr w:type="spellStart"/>
      <w:r w:rsidR="005E46A0">
        <w:t>Land</w:t>
      </w:r>
      <w:proofErr w:type="spellEnd"/>
      <w:r w:rsidR="005E46A0">
        <w:t xml:space="preserve"> Transport Security (Landsec) ja Rail </w:t>
      </w:r>
      <w:proofErr w:type="spellStart"/>
      <w:r w:rsidR="005E46A0">
        <w:t>Passanger</w:t>
      </w:r>
      <w:proofErr w:type="spellEnd"/>
      <w:r w:rsidR="005E46A0">
        <w:t xml:space="preserve"> Security </w:t>
      </w:r>
      <w:proofErr w:type="spellStart"/>
      <w:r w:rsidR="005E46A0">
        <w:t>Platformissa</w:t>
      </w:r>
      <w:proofErr w:type="spellEnd"/>
      <w:r w:rsidR="005E46A0">
        <w:t xml:space="preserve"> (Railsec)</w:t>
      </w:r>
      <w:r w:rsidR="004E4F20">
        <w:t>, joissa keskustellaan raideliikenteen kyberturvallisuudesta ja laaditaan suosituksia</w:t>
      </w:r>
      <w:r w:rsidR="005E46A0">
        <w:t>.</w:t>
      </w:r>
      <w:r w:rsidR="007206A9">
        <w:t xml:space="preserve"> Kaikilla raideliikenteen toimijoilla on mahdollisuus vaikuttaa toimialan kyberturvallisuuden kehitykseen.</w:t>
      </w:r>
      <w:r w:rsidR="007206A9" w:rsidRPr="007206A9">
        <w:t xml:space="preserve"> </w:t>
      </w:r>
      <w:r w:rsidR="007206A9">
        <w:t xml:space="preserve">Väylävirasto on kansainvälisen rautatieliitto </w:t>
      </w:r>
      <w:proofErr w:type="spellStart"/>
      <w:r w:rsidR="007206A9">
        <w:t>UIC:n</w:t>
      </w:r>
      <w:proofErr w:type="spellEnd"/>
      <w:r w:rsidR="007206A9">
        <w:t xml:space="preserve"> jäsen ja </w:t>
      </w:r>
      <w:proofErr w:type="spellStart"/>
      <w:r w:rsidR="007206A9">
        <w:t>UIC:n</w:t>
      </w:r>
      <w:proofErr w:type="spellEnd"/>
      <w:r w:rsidR="007206A9">
        <w:t xml:space="preserve"> kyberturvallisuusryhmän on tarkoitus aktivoitua vuoden 2022 loppupuolella. UIC oli mukana CYRAIL-projektissa, joka 2018 julkaisi kyberturvallisuus</w:t>
      </w:r>
      <w:hyperlink r:id="rId23" w:history="1">
        <w:r w:rsidR="007206A9" w:rsidRPr="003D284A">
          <w:rPr>
            <w:rStyle w:val="Hyperlink"/>
          </w:rPr>
          <w:t xml:space="preserve">suosituksen </w:t>
        </w:r>
      </w:hyperlink>
      <w:r w:rsidR="007206A9">
        <w:t xml:space="preserve">ohjauksesta ja merkinannosta. Väylävirasto on myös mukana European Rail </w:t>
      </w:r>
      <w:proofErr w:type="spellStart"/>
      <w:r w:rsidR="007206A9">
        <w:t>Infrastructure</w:t>
      </w:r>
      <w:proofErr w:type="spellEnd"/>
      <w:r w:rsidR="007206A9">
        <w:t xml:space="preserve"> </w:t>
      </w:r>
      <w:proofErr w:type="spellStart"/>
      <w:r w:rsidR="007206A9">
        <w:t>Managers</w:t>
      </w:r>
      <w:proofErr w:type="spellEnd"/>
      <w:r w:rsidR="007206A9">
        <w:t xml:space="preserve"> (EIM) kyberturvallisuusryhmässä ja eurooppalaisen raideliikenteen hallintajärjestelmän (ERMTS) käyttäjäryhmän (EUG) kyberturvallisuuden työryhmässä.</w:t>
      </w:r>
      <w:r w:rsidR="008836D5">
        <w:t xml:space="preserve"> EUG esimerkiksi selvittää sertifikaattien hallintaa ERTMS online avaintenhallintajärjestelmässä.</w:t>
      </w:r>
      <w:r w:rsidR="007206A9">
        <w:t xml:space="preserve"> Lisäksi tulee huomioida </w:t>
      </w:r>
      <w:r w:rsidR="007206A9" w:rsidRPr="007206A9">
        <w:t>Valtioneuvoston periaatepäätös tietoturvan ja tietosuojan parantamiseksi yhteiskunnan kriittisillä toimialoilla</w:t>
      </w:r>
      <w:r w:rsidR="007206A9">
        <w:t>, jonka toimenpiteet toteutuessaan velvoittaisi muun muassa määrittämään kriittiset tieto- ja tietoliikennetekniset toiminnot sekä käyttämään ISO 27001 -sertifiointia.</w:t>
      </w:r>
      <w:r w:rsidR="007206A9">
        <w:rPr>
          <w:rStyle w:val="FootnoteReference"/>
        </w:rPr>
        <w:footnoteReference w:id="6"/>
      </w:r>
      <w:r w:rsidR="0E054CB5" w:rsidRPr="0E054CB5">
        <w:t xml:space="preserve"> </w:t>
      </w:r>
    </w:p>
    <w:p w14:paraId="04173F96" w14:textId="7806148B" w:rsidR="005401AD" w:rsidRDefault="005401AD" w:rsidP="00507BB8">
      <w:pPr>
        <w:jc w:val="both"/>
      </w:pPr>
      <w:commentRangeStart w:id="7"/>
      <w:r>
        <w:t xml:space="preserve">Myös </w:t>
      </w:r>
      <w:r w:rsidRPr="005401AD">
        <w:t xml:space="preserve">Euroopan rautatievirasto on jo käynnistänyt toimia, joita tarvitaan kyberturvallisuuden sääntelemiseksi rautatiesektorilla. </w:t>
      </w:r>
      <w:r>
        <w:t>Työ</w:t>
      </w:r>
      <w:r w:rsidRPr="005401AD">
        <w:t xml:space="preserve"> kohdistuu ensimmäiseksi Euroopan rautatieliikenteen ohjausjärjestelmän ERTMS (European Rail </w:t>
      </w:r>
      <w:proofErr w:type="spellStart"/>
      <w:r w:rsidRPr="005401AD">
        <w:t>Traffic</w:t>
      </w:r>
      <w:proofErr w:type="spellEnd"/>
      <w:r w:rsidRPr="005401AD">
        <w:t xml:space="preserve"> Management System) kolmannen tason (L3) kehittämiseen. Työssä huomioidaan myös </w:t>
      </w:r>
      <w:proofErr w:type="spellStart"/>
      <w:r w:rsidRPr="005401AD">
        <w:t>Shif</w:t>
      </w:r>
      <w:proofErr w:type="spellEnd"/>
      <w:r w:rsidRPr="005401AD">
        <w:t xml:space="preserve"> 2 Rail -konsortion projekteissa saadut tulokset. Euroopan Rautatieviraston on tarkoitus sisällyttää kyberturvallisuus jatkossa kattavammin eurooppalaisen raideliikennesääntelyn kehykseen ja huomioida työssä </w:t>
      </w:r>
      <w:r w:rsidR="00705857">
        <w:t>muun muassa</w:t>
      </w:r>
      <w:r w:rsidRPr="005401AD">
        <w:t xml:space="preserve"> </w:t>
      </w:r>
      <w:proofErr w:type="spellStart"/>
      <w:r w:rsidRPr="005401AD">
        <w:t>CENELEC</w:t>
      </w:r>
      <w:r w:rsidR="00705857">
        <w:t>:in</w:t>
      </w:r>
      <w:proofErr w:type="spellEnd"/>
      <w:r w:rsidRPr="005401AD">
        <w:t xml:space="preserve"> TS 50701</w:t>
      </w:r>
      <w:r w:rsidR="00705857">
        <w:t xml:space="preserve"> </w:t>
      </w:r>
      <w:proofErr w:type="spellStart"/>
      <w:r w:rsidR="00705857">
        <w:t>railway</w:t>
      </w:r>
      <w:proofErr w:type="spellEnd"/>
      <w:r w:rsidR="00705857">
        <w:t xml:space="preserve"> </w:t>
      </w:r>
      <w:proofErr w:type="spellStart"/>
      <w:r w:rsidR="00705857">
        <w:t>applications</w:t>
      </w:r>
      <w:proofErr w:type="spellEnd"/>
      <w:r w:rsidR="00705857">
        <w:t xml:space="preserve"> - </w:t>
      </w:r>
      <w:proofErr w:type="spellStart"/>
      <w:r w:rsidR="00705857">
        <w:t>cybersecurity</w:t>
      </w:r>
      <w:proofErr w:type="spellEnd"/>
      <w:r w:rsidRPr="005401AD">
        <w:t>.</w:t>
      </w:r>
      <w:commentRangeEnd w:id="7"/>
      <w:r w:rsidR="00630F74" w:rsidRPr="007206A9">
        <w:commentReference w:id="7"/>
      </w:r>
    </w:p>
    <w:p w14:paraId="0524A86C" w14:textId="6F074F97" w:rsidR="001E49CF" w:rsidRPr="00BE0A93" w:rsidRDefault="005401AD" w:rsidP="00507BB8">
      <w:pPr>
        <w:jc w:val="both"/>
      </w:pPr>
      <w:r>
        <w:t>K</w:t>
      </w:r>
      <w:r w:rsidRPr="005401AD">
        <w:t>yberturvallisuuden merkity</w:t>
      </w:r>
      <w:r>
        <w:t xml:space="preserve">ksen korostuminen </w:t>
      </w:r>
      <w:r w:rsidRPr="005401AD">
        <w:t xml:space="preserve">raideliikenteen EU-sääntelyssä </w:t>
      </w:r>
      <w:r>
        <w:t>t</w:t>
      </w:r>
      <w:r w:rsidRPr="005401AD">
        <w:t>u</w:t>
      </w:r>
      <w:r>
        <w:t>l</w:t>
      </w:r>
      <w:r w:rsidRPr="005401AD">
        <w:t xml:space="preserve">lee </w:t>
      </w:r>
      <w:r>
        <w:t xml:space="preserve">lähivuosina </w:t>
      </w:r>
      <w:r w:rsidRPr="005401AD">
        <w:t>vaikuttamaan rautatiejärjestelmää koskevien kyberturvallisuuskysymyksien käsittelyyn. Kaupunkiraideliikenteen osalta vastaavia muutoksia ei sen sijaan ole odotettavissa, mistä johtuen kaupunkiraideliikennejärjestelmän kyberturvallisuuskysymysten käsittely säilynee jatkossakin kansallisen ohjauksen piirissä.</w:t>
      </w:r>
    </w:p>
    <w:p w14:paraId="7C26085E" w14:textId="36DE7372" w:rsidR="0046122F" w:rsidRPr="00310B58" w:rsidRDefault="001E49CF" w:rsidP="00507BB8">
      <w:pPr>
        <w:pStyle w:val="Heading2"/>
        <w:jc w:val="both"/>
      </w:pPr>
      <w:bookmarkStart w:id="8" w:name="_Toc116913295"/>
      <w:r>
        <w:t xml:space="preserve">3.2. </w:t>
      </w:r>
      <w:commentRangeStart w:id="9"/>
      <w:r w:rsidR="0046122F" w:rsidRPr="00310B58">
        <w:t>Raideliikenteen kyberturvallisuus</w:t>
      </w:r>
      <w:r w:rsidR="00AD1FA6" w:rsidRPr="00310B58">
        <w:t>uh</w:t>
      </w:r>
      <w:r w:rsidR="0057069D">
        <w:t>k</w:t>
      </w:r>
      <w:r w:rsidR="00AD1FA6" w:rsidRPr="00310B58">
        <w:t>at ja -</w:t>
      </w:r>
      <w:r w:rsidR="0046122F" w:rsidRPr="00310B58">
        <w:t>riskit</w:t>
      </w:r>
      <w:commentRangeEnd w:id="9"/>
      <w:r w:rsidR="0097355E">
        <w:rPr>
          <w:rStyle w:val="CommentReference"/>
          <w:rFonts w:asciiTheme="minorHAnsi" w:eastAsiaTheme="minorEastAsia" w:hAnsiTheme="minorHAnsi" w:cstheme="minorBidi"/>
          <w:color w:val="auto"/>
        </w:rPr>
        <w:commentReference w:id="9"/>
      </w:r>
      <w:bookmarkEnd w:id="8"/>
    </w:p>
    <w:p w14:paraId="35F015A9" w14:textId="0A698696" w:rsidR="00A86AAA" w:rsidRPr="00A86AAA" w:rsidRDefault="0E054CB5" w:rsidP="00507BB8">
      <w:pPr>
        <w:jc w:val="both"/>
      </w:pPr>
      <w:r>
        <w:t xml:space="preserve">Kyberturvallisuudessa tärkeintä on kyberturvallisuusriskien hallinta. </w:t>
      </w:r>
      <w:r w:rsidR="00A40F06">
        <w:t xml:space="preserve"> </w:t>
      </w:r>
      <w:r>
        <w:t xml:space="preserve">Haavoittuvuuksia ja niiden vaikutuksia voidaan hallita ja vähentää tunnistamalla ja korjaamalla. Haavoittuvuuden olemassaolo ei kuitenkaan automaattisesti johda vahinkoon vaan vahinkoa syntyy vasta, kun haavoittuvuutta hyväksikäyttävä uhka toteutuu. Jos haavoittuvuuteen ei liity uhkaa hyväksikäytöstä, se ei välttämättä edellytä hallintakeinon toteuttamista, mutta se olisi silti tunnistettava ja sen tilannetta seurattava mahdollisten muutosten varalta. </w:t>
      </w:r>
      <w:r w:rsidR="00E64467">
        <w:t>Uhka tarkoittaa mahdollisen ei-toivotun vahingollisen tapahtuman aiheuttajaa, ja uhkia</w:t>
      </w:r>
      <w:r>
        <w:t xml:space="preserve"> voidaan</w:t>
      </w:r>
      <w:r w:rsidR="00E64467">
        <w:t xml:space="preserve"> hallita</w:t>
      </w:r>
      <w:r>
        <w:t xml:space="preserve"> </w:t>
      </w:r>
      <w:r w:rsidR="00E64467">
        <w:t>arvioimalla niiden aiheuttamat riskit.</w:t>
      </w:r>
      <w:r>
        <w:t xml:space="preserve"> Riskejä sen sijaan voidaan käsitellä riskienhallinnan </w:t>
      </w:r>
      <w:r w:rsidR="004E4F20">
        <w:t>menetelmin</w:t>
      </w:r>
      <w:r>
        <w:t xml:space="preserve">. </w:t>
      </w:r>
    </w:p>
    <w:p w14:paraId="567BCCE2" w14:textId="3CBAE6C8" w:rsidR="00A86AAA" w:rsidRPr="00A86AAA" w:rsidRDefault="0E054CB5" w:rsidP="00507BB8">
      <w:pPr>
        <w:jc w:val="both"/>
      </w:pPr>
      <w:r>
        <w:t>Kyberriskien hallinnalla tarkoitetaankin riskien tunnistamista ja arviointia, sekä riskien käsittelyä varten tehtävää vaihtoehtojen valintaa, kehittämistä ja toteuttamista. Riskienhallinta koskee kaikkia organisaatiota koskevia mahdollisia riskejä ja niihin reagointia. Kyberturvallisuusriskit kuuluvat osana riskienhallinnan kokonaisuuteen. Riskienhallinta kokonaisuutena on systemaattinen ja jatkuva ajatteluprosessi, joka heijastaa organisaation arvoja ja koostuu tunnistamisen, käsittelyn ja arvioinnin lisäksi jatkuvasta koordinoinnista, riskien kehittymisen tutkimisesta, riskien uudelleen arvioinnista, korjaavista toimenpiteistä, viestinnästä sekä raportoinnista. Kyberriskeissä korostuu erityisesti riskienhallinnan näkökulmasta ajattomuus, tilattomuus ja vahingonkorvausten laskettavuuden vaikeus.</w:t>
      </w:r>
    </w:p>
    <w:p w14:paraId="56309D04" w14:textId="179C840B" w:rsidR="00F96417" w:rsidRDefault="00603C0A" w:rsidP="00507BB8">
      <w:pPr>
        <w:jc w:val="both"/>
        <w:rPr>
          <w:rFonts w:eastAsia="Times New Roman" w:cs="Times New Roman"/>
          <w:szCs w:val="24"/>
          <w:lang w:eastAsia="fi-FI"/>
        </w:rPr>
      </w:pPr>
      <w:r>
        <w:t>Kyberr</w:t>
      </w:r>
      <w:r w:rsidR="0046122F" w:rsidRPr="0046122F">
        <w:t>iskit voidaan jakaa neljään pääluokkaan</w:t>
      </w:r>
      <w:r w:rsidR="00081008" w:rsidRPr="0E091B0B">
        <w:t>,</w:t>
      </w:r>
      <w:r w:rsidR="0046122F" w:rsidRPr="0046122F">
        <w:t xml:space="preserve"> joita ovat ihmisten toiminta, järjestelmähäiriöt ja tekniset viat, epäonnistuneet sisäiset prosessit </w:t>
      </w:r>
      <w:r w:rsidR="006F5D27">
        <w:t>sekä</w:t>
      </w:r>
      <w:r w:rsidR="0046122F" w:rsidRPr="0046122F">
        <w:t xml:space="preserve"> ulkoiset tapahtumat. Pääluokat puolestaan voidaan jakaa alaluokkiin, jotka havainnollistavat riskejä aiheuttavia operationaalisista toimia. Kyberriskien kokonaisuuden kannalta on tärkeää huomioida, että kyberriskit korreloivat usein keskenään ja</w:t>
      </w:r>
      <w:r w:rsidR="006F5D27">
        <w:t xml:space="preserve"> yksi riski</w:t>
      </w:r>
      <w:r w:rsidR="0046122F" w:rsidRPr="0046122F">
        <w:t xml:space="preserve"> voit</w:t>
      </w:r>
      <w:r w:rsidR="006F5D27">
        <w:t xml:space="preserve"> toteutuessaan</w:t>
      </w:r>
      <w:r w:rsidR="0046122F" w:rsidRPr="0046122F">
        <w:t xml:space="preserve"> aiheuttaa tapahtumasarjan</w:t>
      </w:r>
      <w:r w:rsidR="006F5D27">
        <w:t>, joka laukaisee</w:t>
      </w:r>
      <w:r w:rsidR="0046122F" w:rsidRPr="0046122F">
        <w:t xml:space="preserve"> useampi</w:t>
      </w:r>
      <w:r w:rsidR="006F5D27">
        <w:t>a</w:t>
      </w:r>
      <w:r w:rsidR="0046122F" w:rsidRPr="0046122F">
        <w:t xml:space="preserve"> risk</w:t>
      </w:r>
      <w:r w:rsidR="006F5D27">
        <w:t>ejä.</w:t>
      </w:r>
      <w:r w:rsidR="0046122F" w:rsidRPr="0046122F">
        <w:rPr>
          <w:vertAlign w:val="superscript"/>
        </w:rPr>
        <w:footnoteReference w:id="7"/>
      </w:r>
    </w:p>
    <w:tbl>
      <w:tblPr>
        <w:tblStyle w:val="TableGrid"/>
        <w:tblW w:w="0" w:type="auto"/>
        <w:tblLook w:val="04A0" w:firstRow="1" w:lastRow="0" w:firstColumn="1" w:lastColumn="0" w:noHBand="0" w:noVBand="1"/>
      </w:tblPr>
      <w:tblGrid>
        <w:gridCol w:w="2266"/>
        <w:gridCol w:w="2409"/>
        <w:gridCol w:w="2551"/>
        <w:gridCol w:w="2402"/>
      </w:tblGrid>
      <w:tr w:rsidR="00903103" w14:paraId="28DFBD4C" w14:textId="77777777" w:rsidTr="00507BB8">
        <w:tc>
          <w:tcPr>
            <w:tcW w:w="2268" w:type="dxa"/>
            <w:shd w:val="clear" w:color="auto" w:fill="92D050"/>
          </w:tcPr>
          <w:p w14:paraId="6CC2171E" w14:textId="7DF33162" w:rsidR="008447E6" w:rsidRPr="00903103" w:rsidRDefault="0E054CB5" w:rsidP="00507BB8">
            <w:r w:rsidRPr="0E054CB5">
              <w:t>1. Ihmisten toiminta</w:t>
            </w:r>
          </w:p>
        </w:tc>
        <w:tc>
          <w:tcPr>
            <w:tcW w:w="2410" w:type="dxa"/>
            <w:shd w:val="clear" w:color="auto" w:fill="92D050"/>
          </w:tcPr>
          <w:p w14:paraId="6CFDC232" w14:textId="6788CDC0" w:rsidR="008447E6" w:rsidRPr="00903103" w:rsidRDefault="0E054CB5" w:rsidP="00507BB8">
            <w:r w:rsidRPr="0E054CB5">
              <w:t>2. Järjestelmähäiriöt ja viat</w:t>
            </w:r>
          </w:p>
        </w:tc>
        <w:tc>
          <w:tcPr>
            <w:tcW w:w="2552" w:type="dxa"/>
            <w:shd w:val="clear" w:color="auto" w:fill="92D050"/>
          </w:tcPr>
          <w:p w14:paraId="5E0FF25F" w14:textId="64E99405" w:rsidR="008447E6" w:rsidRPr="00903103" w:rsidRDefault="0E054CB5" w:rsidP="00507BB8">
            <w:r w:rsidRPr="0E054CB5">
              <w:t>3. Epäonnistuneet sisäiset toiminnot</w:t>
            </w:r>
          </w:p>
        </w:tc>
        <w:tc>
          <w:tcPr>
            <w:tcW w:w="2403" w:type="dxa"/>
            <w:shd w:val="clear" w:color="auto" w:fill="92D050"/>
          </w:tcPr>
          <w:p w14:paraId="24D20A3E" w14:textId="2E02EB76" w:rsidR="008447E6" w:rsidRPr="00903103" w:rsidRDefault="0E054CB5" w:rsidP="00507BB8">
            <w:r w:rsidRPr="0E054CB5">
              <w:t>4. Ulkoiset tapahtumat</w:t>
            </w:r>
          </w:p>
        </w:tc>
      </w:tr>
      <w:tr w:rsidR="00903103" w14:paraId="4213456C" w14:textId="77777777" w:rsidTr="00507BB8">
        <w:tc>
          <w:tcPr>
            <w:tcW w:w="2268" w:type="dxa"/>
          </w:tcPr>
          <w:p w14:paraId="15579EFE" w14:textId="63D4F3C2" w:rsidR="008447E6" w:rsidRPr="00A86AAA" w:rsidRDefault="0E054CB5" w:rsidP="00507BB8">
            <w:pPr>
              <w:rPr>
                <w:sz w:val="20"/>
                <w:szCs w:val="20"/>
              </w:rPr>
            </w:pPr>
            <w:r w:rsidRPr="0E054CB5">
              <w:rPr>
                <w:sz w:val="20"/>
                <w:szCs w:val="20"/>
              </w:rPr>
              <w:t>Tahattomuus</w:t>
            </w:r>
            <w:r w:rsidR="51BC3758">
              <w:br/>
            </w:r>
          </w:p>
          <w:p w14:paraId="2A6DDF1B" w14:textId="4E26BB2F" w:rsidR="008447E6" w:rsidRPr="00A86AAA" w:rsidRDefault="0E054CB5" w:rsidP="00507BB8">
            <w:pPr>
              <w:rPr>
                <w:sz w:val="20"/>
                <w:szCs w:val="20"/>
              </w:rPr>
            </w:pPr>
            <w:r w:rsidRPr="0E054CB5">
              <w:rPr>
                <w:sz w:val="20"/>
                <w:szCs w:val="20"/>
              </w:rPr>
              <w:t>Vahingot</w:t>
            </w:r>
            <w:r w:rsidR="51BC3758">
              <w:br/>
            </w:r>
            <w:r w:rsidRPr="0E054CB5">
              <w:rPr>
                <w:sz w:val="20"/>
                <w:szCs w:val="20"/>
              </w:rPr>
              <w:t>Virheet</w:t>
            </w:r>
            <w:r w:rsidR="51BC3758">
              <w:br/>
            </w:r>
            <w:r w:rsidRPr="0E054CB5">
              <w:rPr>
                <w:sz w:val="20"/>
                <w:szCs w:val="20"/>
              </w:rPr>
              <w:t>Laiminlyönnit</w:t>
            </w:r>
          </w:p>
        </w:tc>
        <w:tc>
          <w:tcPr>
            <w:tcW w:w="2410" w:type="dxa"/>
          </w:tcPr>
          <w:p w14:paraId="5414E81F" w14:textId="58425DF3" w:rsidR="008447E6" w:rsidRPr="00A86AAA" w:rsidRDefault="0E054CB5" w:rsidP="00507BB8">
            <w:pPr>
              <w:rPr>
                <w:sz w:val="20"/>
                <w:szCs w:val="20"/>
              </w:rPr>
            </w:pPr>
            <w:r w:rsidRPr="0E054CB5">
              <w:rPr>
                <w:sz w:val="20"/>
                <w:szCs w:val="20"/>
              </w:rPr>
              <w:t>2.1. Laitteistot</w:t>
            </w:r>
            <w:r w:rsidR="51BC3758">
              <w:br/>
            </w:r>
            <w:r w:rsidR="51BC3758">
              <w:br/>
            </w:r>
            <w:r w:rsidRPr="0E054CB5">
              <w:rPr>
                <w:sz w:val="20"/>
                <w:szCs w:val="20"/>
              </w:rPr>
              <w:t>Kapasiteetti</w:t>
            </w:r>
            <w:r w:rsidR="51BC3758">
              <w:br/>
            </w:r>
            <w:r w:rsidRPr="0E054CB5">
              <w:rPr>
                <w:sz w:val="20"/>
                <w:szCs w:val="20"/>
              </w:rPr>
              <w:t>Suorituskyky</w:t>
            </w:r>
            <w:r w:rsidR="51BC3758">
              <w:br/>
            </w:r>
            <w:r w:rsidRPr="0E054CB5">
              <w:rPr>
                <w:sz w:val="20"/>
                <w:szCs w:val="20"/>
              </w:rPr>
              <w:t>Huolto</w:t>
            </w:r>
            <w:r w:rsidR="51BC3758">
              <w:br/>
            </w:r>
            <w:r w:rsidRPr="0E054CB5">
              <w:rPr>
                <w:sz w:val="20"/>
                <w:szCs w:val="20"/>
              </w:rPr>
              <w:t>Vanhentuneisuus</w:t>
            </w:r>
          </w:p>
        </w:tc>
        <w:tc>
          <w:tcPr>
            <w:tcW w:w="2552" w:type="dxa"/>
          </w:tcPr>
          <w:p w14:paraId="4119DAE2" w14:textId="4BA293B5" w:rsidR="008447E6" w:rsidRPr="00A86AAA" w:rsidRDefault="0E054CB5" w:rsidP="00507BB8">
            <w:pPr>
              <w:rPr>
                <w:sz w:val="20"/>
                <w:szCs w:val="20"/>
              </w:rPr>
            </w:pPr>
            <w:r w:rsidRPr="0E054CB5">
              <w:rPr>
                <w:sz w:val="20"/>
                <w:szCs w:val="20"/>
              </w:rPr>
              <w:t>3.1. Toiminnon suunnittelu ja toteutus</w:t>
            </w:r>
            <w:r w:rsidR="51BC3758">
              <w:br/>
            </w:r>
            <w:r w:rsidR="51BC3758">
              <w:br/>
            </w:r>
            <w:r w:rsidRPr="0E054CB5">
              <w:rPr>
                <w:sz w:val="20"/>
                <w:szCs w:val="20"/>
              </w:rPr>
              <w:t>Toiminnon kulku</w:t>
            </w:r>
            <w:r w:rsidR="51BC3758">
              <w:br/>
            </w:r>
            <w:r w:rsidRPr="0E054CB5">
              <w:rPr>
                <w:sz w:val="20"/>
                <w:szCs w:val="20"/>
              </w:rPr>
              <w:t>Toiminnon dokumentointi</w:t>
            </w:r>
            <w:r w:rsidR="51BC3758">
              <w:br/>
            </w:r>
            <w:r w:rsidRPr="0E054CB5">
              <w:rPr>
                <w:sz w:val="20"/>
                <w:szCs w:val="20"/>
              </w:rPr>
              <w:t>Roolit ja vastuut</w:t>
            </w:r>
            <w:r w:rsidR="51BC3758">
              <w:br/>
            </w:r>
            <w:r w:rsidRPr="0E054CB5">
              <w:rPr>
                <w:sz w:val="20"/>
                <w:szCs w:val="20"/>
              </w:rPr>
              <w:t>Ilmoitukset ja hälytykset</w:t>
            </w:r>
            <w:r w:rsidR="51BC3758">
              <w:br/>
            </w:r>
            <w:r w:rsidRPr="0E054CB5">
              <w:rPr>
                <w:sz w:val="20"/>
                <w:szCs w:val="20"/>
              </w:rPr>
              <w:t>Tiedon kulku</w:t>
            </w:r>
            <w:r w:rsidR="51BC3758">
              <w:br/>
            </w:r>
            <w:r w:rsidRPr="0E054CB5">
              <w:rPr>
                <w:sz w:val="20"/>
                <w:szCs w:val="20"/>
              </w:rPr>
              <w:t>Ongelmien kasvaminen</w:t>
            </w:r>
            <w:r w:rsidR="51BC3758">
              <w:br/>
            </w:r>
            <w:r w:rsidRPr="0E054CB5">
              <w:rPr>
                <w:sz w:val="20"/>
                <w:szCs w:val="20"/>
              </w:rPr>
              <w:t>Palvelutasosopimukset</w:t>
            </w:r>
            <w:r w:rsidR="51BC3758">
              <w:br/>
            </w:r>
            <w:r w:rsidRPr="0E054CB5">
              <w:rPr>
                <w:sz w:val="20"/>
                <w:szCs w:val="20"/>
              </w:rPr>
              <w:t>Tehtäviensiirto</w:t>
            </w:r>
          </w:p>
        </w:tc>
        <w:tc>
          <w:tcPr>
            <w:tcW w:w="2403" w:type="dxa"/>
          </w:tcPr>
          <w:p w14:paraId="17EEDFFA" w14:textId="25EA77EB" w:rsidR="008447E6" w:rsidRPr="00A86AAA" w:rsidRDefault="0E054CB5" w:rsidP="00507BB8">
            <w:pPr>
              <w:rPr>
                <w:sz w:val="20"/>
                <w:szCs w:val="20"/>
              </w:rPr>
            </w:pPr>
            <w:r w:rsidRPr="0E054CB5">
              <w:rPr>
                <w:sz w:val="20"/>
                <w:szCs w:val="20"/>
              </w:rPr>
              <w:t>4.1. Katastrofit</w:t>
            </w:r>
            <w:r w:rsidR="51BC3758">
              <w:br/>
            </w:r>
            <w:r w:rsidR="51BC3758">
              <w:br/>
            </w:r>
            <w:r w:rsidRPr="0E054CB5">
              <w:rPr>
                <w:sz w:val="20"/>
                <w:szCs w:val="20"/>
              </w:rPr>
              <w:t>Sääilmiöt</w:t>
            </w:r>
            <w:r w:rsidR="51BC3758">
              <w:br/>
            </w:r>
            <w:r w:rsidRPr="0E054CB5">
              <w:rPr>
                <w:sz w:val="20"/>
                <w:szCs w:val="20"/>
              </w:rPr>
              <w:t>Tulipalot</w:t>
            </w:r>
            <w:r w:rsidR="51BC3758">
              <w:br/>
            </w:r>
            <w:r w:rsidRPr="0E054CB5">
              <w:rPr>
                <w:sz w:val="20"/>
                <w:szCs w:val="20"/>
              </w:rPr>
              <w:t>Tulvat</w:t>
            </w:r>
            <w:r w:rsidR="51BC3758">
              <w:br/>
            </w:r>
            <w:r w:rsidRPr="0E054CB5">
              <w:rPr>
                <w:sz w:val="20"/>
                <w:szCs w:val="20"/>
              </w:rPr>
              <w:t>Maanjäristykset</w:t>
            </w:r>
            <w:r w:rsidR="51BC3758">
              <w:br/>
            </w:r>
            <w:r w:rsidRPr="0E054CB5">
              <w:rPr>
                <w:sz w:val="20"/>
                <w:szCs w:val="20"/>
              </w:rPr>
              <w:t>Levottomuudet</w:t>
            </w:r>
            <w:r w:rsidR="51BC3758">
              <w:br/>
            </w:r>
            <w:r w:rsidRPr="0E054CB5">
              <w:rPr>
                <w:sz w:val="20"/>
                <w:szCs w:val="20"/>
              </w:rPr>
              <w:t>Onnettomuudet</w:t>
            </w:r>
            <w:r w:rsidR="51BC3758">
              <w:br/>
            </w:r>
            <w:r w:rsidRPr="0E054CB5">
              <w:rPr>
                <w:sz w:val="20"/>
                <w:szCs w:val="20"/>
              </w:rPr>
              <w:t>Pandemiat</w:t>
            </w:r>
          </w:p>
        </w:tc>
      </w:tr>
      <w:tr w:rsidR="00903103" w14:paraId="32EF4621" w14:textId="77777777" w:rsidTr="00507BB8">
        <w:tc>
          <w:tcPr>
            <w:tcW w:w="2268" w:type="dxa"/>
          </w:tcPr>
          <w:p w14:paraId="785B24A3" w14:textId="29EA90AE" w:rsidR="008447E6" w:rsidRPr="00A86AAA" w:rsidRDefault="0E054CB5" w:rsidP="00507BB8">
            <w:pPr>
              <w:rPr>
                <w:sz w:val="20"/>
                <w:szCs w:val="20"/>
              </w:rPr>
            </w:pPr>
            <w:r w:rsidRPr="0E054CB5">
              <w:rPr>
                <w:sz w:val="20"/>
                <w:szCs w:val="20"/>
              </w:rPr>
              <w:t>1.2. Tahallisuus</w:t>
            </w:r>
            <w:r w:rsidR="51BC3758">
              <w:br/>
            </w:r>
            <w:r w:rsidR="51BC3758">
              <w:br/>
            </w:r>
            <w:r w:rsidRPr="0E054CB5">
              <w:rPr>
                <w:sz w:val="20"/>
                <w:szCs w:val="20"/>
              </w:rPr>
              <w:t>Petokset</w:t>
            </w:r>
            <w:r w:rsidR="51BC3758">
              <w:br/>
            </w:r>
            <w:r w:rsidRPr="0E054CB5">
              <w:rPr>
                <w:sz w:val="20"/>
                <w:szCs w:val="20"/>
              </w:rPr>
              <w:t>Sabotoinnit</w:t>
            </w:r>
            <w:r w:rsidR="51BC3758">
              <w:br/>
            </w:r>
            <w:r w:rsidRPr="0E054CB5">
              <w:rPr>
                <w:sz w:val="20"/>
                <w:szCs w:val="20"/>
              </w:rPr>
              <w:t>Varkaudet</w:t>
            </w:r>
            <w:r w:rsidR="51BC3758">
              <w:br/>
            </w:r>
            <w:r w:rsidRPr="0E054CB5">
              <w:rPr>
                <w:sz w:val="20"/>
                <w:szCs w:val="20"/>
              </w:rPr>
              <w:t>Vandalismi</w:t>
            </w:r>
          </w:p>
        </w:tc>
        <w:tc>
          <w:tcPr>
            <w:tcW w:w="2410" w:type="dxa"/>
          </w:tcPr>
          <w:p w14:paraId="5B996A56" w14:textId="59C863A6" w:rsidR="008447E6" w:rsidRPr="00A86AAA" w:rsidRDefault="0E054CB5" w:rsidP="00507BB8">
            <w:pPr>
              <w:rPr>
                <w:sz w:val="20"/>
                <w:szCs w:val="20"/>
              </w:rPr>
            </w:pPr>
            <w:r w:rsidRPr="0E054CB5">
              <w:rPr>
                <w:sz w:val="20"/>
                <w:szCs w:val="20"/>
              </w:rPr>
              <w:t>2.2. Ohjelmisto</w:t>
            </w:r>
            <w:r w:rsidR="51BC3758">
              <w:br/>
            </w:r>
            <w:r w:rsidR="51BC3758">
              <w:br/>
            </w:r>
            <w:r w:rsidRPr="0E054CB5">
              <w:rPr>
                <w:sz w:val="20"/>
                <w:szCs w:val="20"/>
              </w:rPr>
              <w:t>Yhteensopivuus</w:t>
            </w:r>
            <w:r w:rsidR="51BC3758">
              <w:br/>
            </w:r>
            <w:r w:rsidRPr="0E054CB5">
              <w:rPr>
                <w:sz w:val="20"/>
                <w:szCs w:val="20"/>
              </w:rPr>
              <w:t>Konfiguroinnin hallinta</w:t>
            </w:r>
            <w:r w:rsidR="51BC3758">
              <w:br/>
            </w:r>
            <w:r w:rsidRPr="0E054CB5">
              <w:rPr>
                <w:sz w:val="20"/>
                <w:szCs w:val="20"/>
              </w:rPr>
              <w:t xml:space="preserve">Muutostenhallinta </w:t>
            </w:r>
            <w:r w:rsidR="51BC3758">
              <w:br/>
            </w:r>
            <w:r w:rsidRPr="0E054CB5">
              <w:rPr>
                <w:sz w:val="20"/>
                <w:szCs w:val="20"/>
              </w:rPr>
              <w:t>Turvallisuusasetukset</w:t>
            </w:r>
            <w:r w:rsidR="51BC3758">
              <w:br/>
            </w:r>
            <w:r w:rsidRPr="0E054CB5">
              <w:rPr>
                <w:sz w:val="20"/>
                <w:szCs w:val="20"/>
              </w:rPr>
              <w:t>Ohjelmointikäytännöt</w:t>
            </w:r>
            <w:r w:rsidR="51BC3758">
              <w:br/>
            </w:r>
            <w:r w:rsidRPr="0E054CB5">
              <w:rPr>
                <w:sz w:val="20"/>
                <w:szCs w:val="20"/>
              </w:rPr>
              <w:t>Testaus</w:t>
            </w:r>
          </w:p>
        </w:tc>
        <w:tc>
          <w:tcPr>
            <w:tcW w:w="2552" w:type="dxa"/>
          </w:tcPr>
          <w:p w14:paraId="27915F74" w14:textId="27284CC8" w:rsidR="008447E6" w:rsidRPr="00A86AAA" w:rsidRDefault="0E054CB5" w:rsidP="00507BB8">
            <w:pPr>
              <w:rPr>
                <w:sz w:val="20"/>
                <w:szCs w:val="20"/>
              </w:rPr>
            </w:pPr>
            <w:r w:rsidRPr="0E054CB5">
              <w:rPr>
                <w:sz w:val="20"/>
                <w:szCs w:val="20"/>
              </w:rPr>
              <w:t xml:space="preserve">3.2. Toiminnan </w:t>
            </w:r>
            <w:r w:rsidR="51BC3758">
              <w:br/>
            </w:r>
            <w:r w:rsidRPr="0E054CB5">
              <w:rPr>
                <w:sz w:val="20"/>
                <w:szCs w:val="20"/>
              </w:rPr>
              <w:t>valvonta</w:t>
            </w:r>
            <w:r w:rsidR="51BC3758">
              <w:br/>
            </w:r>
            <w:r w:rsidR="51BC3758">
              <w:br/>
            </w:r>
            <w:r w:rsidRPr="0E054CB5">
              <w:rPr>
                <w:sz w:val="20"/>
                <w:szCs w:val="20"/>
              </w:rPr>
              <w:t>Toimintaympäristön valvonta</w:t>
            </w:r>
            <w:r w:rsidR="51BC3758">
              <w:br/>
            </w:r>
            <w:r w:rsidRPr="0E054CB5">
              <w:rPr>
                <w:sz w:val="20"/>
                <w:szCs w:val="20"/>
              </w:rPr>
              <w:t>Mittarit</w:t>
            </w:r>
            <w:r w:rsidR="51BC3758">
              <w:br/>
            </w:r>
            <w:r w:rsidRPr="0E054CB5">
              <w:rPr>
                <w:sz w:val="20"/>
                <w:szCs w:val="20"/>
              </w:rPr>
              <w:t>Säännöllinen omavalvonta</w:t>
            </w:r>
            <w:r w:rsidR="51BC3758">
              <w:br/>
            </w:r>
            <w:r w:rsidRPr="0E054CB5">
              <w:rPr>
                <w:sz w:val="20"/>
                <w:szCs w:val="20"/>
              </w:rPr>
              <w:t>Toiminnan omistajuus</w:t>
            </w:r>
          </w:p>
        </w:tc>
        <w:tc>
          <w:tcPr>
            <w:tcW w:w="2403" w:type="dxa"/>
          </w:tcPr>
          <w:p w14:paraId="0F07A26F" w14:textId="5B635438" w:rsidR="008447E6" w:rsidRPr="00A86AAA" w:rsidRDefault="0E054CB5" w:rsidP="00507BB8">
            <w:pPr>
              <w:rPr>
                <w:sz w:val="20"/>
                <w:szCs w:val="20"/>
              </w:rPr>
            </w:pPr>
            <w:r w:rsidRPr="0E054CB5">
              <w:rPr>
                <w:sz w:val="20"/>
                <w:szCs w:val="20"/>
              </w:rPr>
              <w:t>4.2. Lainsäädännölliset ongelmat</w:t>
            </w:r>
            <w:r w:rsidR="51BC3758">
              <w:br/>
            </w:r>
            <w:r w:rsidR="51BC3758">
              <w:br/>
            </w:r>
            <w:r w:rsidRPr="0E054CB5">
              <w:rPr>
                <w:sz w:val="20"/>
                <w:szCs w:val="20"/>
              </w:rPr>
              <w:t>Sääntelyn noudattaminen</w:t>
            </w:r>
            <w:r w:rsidR="51BC3758">
              <w:br/>
            </w:r>
            <w:r w:rsidRPr="0E054CB5">
              <w:rPr>
                <w:sz w:val="20"/>
                <w:szCs w:val="20"/>
              </w:rPr>
              <w:t>Sääntelyn toimivuus</w:t>
            </w:r>
            <w:r w:rsidR="51BC3758">
              <w:br/>
            </w:r>
            <w:r w:rsidRPr="0E054CB5">
              <w:rPr>
                <w:sz w:val="20"/>
                <w:szCs w:val="20"/>
              </w:rPr>
              <w:t>Oikeudenkäynnit</w:t>
            </w:r>
          </w:p>
        </w:tc>
      </w:tr>
      <w:tr w:rsidR="00903103" w14:paraId="7D4B63A6" w14:textId="77777777" w:rsidTr="00507BB8">
        <w:tc>
          <w:tcPr>
            <w:tcW w:w="2268" w:type="dxa"/>
          </w:tcPr>
          <w:p w14:paraId="1C2B5E85" w14:textId="64DB28A6" w:rsidR="008447E6" w:rsidRPr="00A86AAA" w:rsidRDefault="0E054CB5" w:rsidP="00507BB8">
            <w:pPr>
              <w:rPr>
                <w:sz w:val="20"/>
                <w:szCs w:val="20"/>
              </w:rPr>
            </w:pPr>
            <w:r w:rsidRPr="0E054CB5">
              <w:rPr>
                <w:sz w:val="20"/>
                <w:szCs w:val="20"/>
              </w:rPr>
              <w:t>Toimettomuus</w:t>
            </w:r>
          </w:p>
          <w:p w14:paraId="2062369C" w14:textId="56BDC152" w:rsidR="008447E6" w:rsidRPr="00A86AAA" w:rsidRDefault="00A86AAA" w:rsidP="00507BB8">
            <w:pPr>
              <w:rPr>
                <w:sz w:val="20"/>
                <w:szCs w:val="20"/>
              </w:rPr>
            </w:pPr>
            <w:r>
              <w:br/>
            </w:r>
            <w:r w:rsidR="0E054CB5" w:rsidRPr="0E054CB5">
              <w:rPr>
                <w:sz w:val="20"/>
                <w:szCs w:val="20"/>
              </w:rPr>
              <w:t>Taidot</w:t>
            </w:r>
            <w:r>
              <w:br/>
            </w:r>
            <w:r w:rsidR="0E054CB5" w:rsidRPr="0E054CB5">
              <w:rPr>
                <w:sz w:val="20"/>
                <w:szCs w:val="20"/>
              </w:rPr>
              <w:t>Tiedot</w:t>
            </w:r>
            <w:r>
              <w:br/>
            </w:r>
            <w:r w:rsidR="0E054CB5" w:rsidRPr="0E054CB5">
              <w:rPr>
                <w:sz w:val="20"/>
                <w:szCs w:val="20"/>
              </w:rPr>
              <w:t>Ohjaus</w:t>
            </w:r>
            <w:r>
              <w:br/>
            </w:r>
            <w:r w:rsidR="0E054CB5" w:rsidRPr="0E054CB5">
              <w:rPr>
                <w:sz w:val="20"/>
                <w:szCs w:val="20"/>
              </w:rPr>
              <w:t>Saatavuus</w:t>
            </w:r>
          </w:p>
        </w:tc>
        <w:tc>
          <w:tcPr>
            <w:tcW w:w="2410" w:type="dxa"/>
          </w:tcPr>
          <w:p w14:paraId="72D5B13F" w14:textId="5DC03A9B" w:rsidR="008447E6" w:rsidRPr="00A86AAA" w:rsidRDefault="0E054CB5" w:rsidP="00507BB8">
            <w:pPr>
              <w:rPr>
                <w:sz w:val="20"/>
                <w:szCs w:val="20"/>
              </w:rPr>
            </w:pPr>
            <w:r w:rsidRPr="0E054CB5">
              <w:rPr>
                <w:sz w:val="20"/>
                <w:szCs w:val="20"/>
              </w:rPr>
              <w:t>2.3. Järjestelmät</w:t>
            </w:r>
            <w:r w:rsidR="51BC3758">
              <w:br/>
            </w:r>
            <w:r w:rsidR="51BC3758">
              <w:br/>
            </w:r>
            <w:r w:rsidRPr="0E054CB5">
              <w:rPr>
                <w:sz w:val="20"/>
                <w:szCs w:val="20"/>
              </w:rPr>
              <w:t>Suunnittelu</w:t>
            </w:r>
            <w:r w:rsidR="51BC3758">
              <w:br/>
            </w:r>
            <w:r w:rsidRPr="0E054CB5">
              <w:rPr>
                <w:sz w:val="20"/>
                <w:szCs w:val="20"/>
              </w:rPr>
              <w:t>Tekniset vaatimukset</w:t>
            </w:r>
            <w:r w:rsidR="51BC3758">
              <w:br/>
            </w:r>
            <w:r w:rsidRPr="0E054CB5">
              <w:rPr>
                <w:sz w:val="20"/>
                <w:szCs w:val="20"/>
              </w:rPr>
              <w:t>Integraatio</w:t>
            </w:r>
            <w:r w:rsidR="51BC3758">
              <w:br/>
            </w:r>
            <w:r w:rsidRPr="0E054CB5">
              <w:rPr>
                <w:sz w:val="20"/>
                <w:szCs w:val="20"/>
              </w:rPr>
              <w:t>Monimutkaisuus</w:t>
            </w:r>
          </w:p>
        </w:tc>
        <w:tc>
          <w:tcPr>
            <w:tcW w:w="2552" w:type="dxa"/>
          </w:tcPr>
          <w:p w14:paraId="0AFDAF08" w14:textId="065C1EA1" w:rsidR="008447E6" w:rsidRPr="00A86AAA" w:rsidRDefault="0E054CB5" w:rsidP="00507BB8">
            <w:pPr>
              <w:rPr>
                <w:sz w:val="20"/>
                <w:szCs w:val="20"/>
              </w:rPr>
            </w:pPr>
            <w:r w:rsidRPr="0E054CB5">
              <w:rPr>
                <w:sz w:val="20"/>
                <w:szCs w:val="20"/>
              </w:rPr>
              <w:t>3.3. Tukitoiminnot</w:t>
            </w:r>
            <w:r w:rsidR="51BC3758">
              <w:br/>
            </w:r>
            <w:r w:rsidR="51BC3758">
              <w:br/>
            </w:r>
            <w:r w:rsidRPr="0E054CB5">
              <w:rPr>
                <w:sz w:val="20"/>
                <w:szCs w:val="20"/>
              </w:rPr>
              <w:t>Henkilöstöhallinta</w:t>
            </w:r>
            <w:r w:rsidR="51BC3758">
              <w:br/>
            </w:r>
            <w:r w:rsidRPr="0E054CB5">
              <w:rPr>
                <w:sz w:val="20"/>
                <w:szCs w:val="20"/>
              </w:rPr>
              <w:t>Rahoitus</w:t>
            </w:r>
            <w:r w:rsidR="51BC3758">
              <w:br/>
            </w:r>
            <w:r w:rsidRPr="0E054CB5">
              <w:rPr>
                <w:sz w:val="20"/>
                <w:szCs w:val="20"/>
              </w:rPr>
              <w:t>Kehitys- ja koulutustoiminta</w:t>
            </w:r>
            <w:r w:rsidR="51BC3758">
              <w:br/>
            </w:r>
            <w:r w:rsidRPr="0E054CB5">
              <w:rPr>
                <w:sz w:val="20"/>
                <w:szCs w:val="20"/>
              </w:rPr>
              <w:t>Hankinta</w:t>
            </w:r>
          </w:p>
        </w:tc>
        <w:tc>
          <w:tcPr>
            <w:tcW w:w="2403" w:type="dxa"/>
          </w:tcPr>
          <w:p w14:paraId="4130842C" w14:textId="1A335DF1" w:rsidR="00903103" w:rsidRPr="00A86AAA" w:rsidRDefault="0E054CB5" w:rsidP="00507BB8">
            <w:pPr>
              <w:rPr>
                <w:sz w:val="20"/>
                <w:szCs w:val="20"/>
              </w:rPr>
            </w:pPr>
            <w:r w:rsidRPr="0E054CB5">
              <w:rPr>
                <w:sz w:val="20"/>
                <w:szCs w:val="20"/>
              </w:rPr>
              <w:t>4.3. Liiketoiminnan ongelmat</w:t>
            </w:r>
            <w:r w:rsidR="51BC3758">
              <w:br/>
            </w:r>
            <w:r w:rsidR="51BC3758">
              <w:br/>
            </w:r>
            <w:r w:rsidRPr="0E054CB5">
              <w:rPr>
                <w:sz w:val="20"/>
                <w:szCs w:val="20"/>
              </w:rPr>
              <w:t>Alihankkijan häiriöt</w:t>
            </w:r>
            <w:r w:rsidR="51BC3758">
              <w:br/>
            </w:r>
            <w:r w:rsidRPr="0E054CB5">
              <w:rPr>
                <w:sz w:val="20"/>
                <w:szCs w:val="20"/>
              </w:rPr>
              <w:t>Markkinaolosuhteet</w:t>
            </w:r>
            <w:r w:rsidR="51BC3758">
              <w:br/>
            </w:r>
            <w:r w:rsidRPr="0E054CB5">
              <w:rPr>
                <w:sz w:val="20"/>
                <w:szCs w:val="20"/>
              </w:rPr>
              <w:t>Taloudellinen tilanne</w:t>
            </w:r>
          </w:p>
        </w:tc>
      </w:tr>
      <w:tr w:rsidR="00903103" w14:paraId="04936835" w14:textId="77777777" w:rsidTr="00507BB8">
        <w:tc>
          <w:tcPr>
            <w:tcW w:w="2268" w:type="dxa"/>
            <w:shd w:val="clear" w:color="auto" w:fill="F2F2F2" w:themeFill="background1" w:themeFillShade="F2"/>
          </w:tcPr>
          <w:p w14:paraId="28489B2F" w14:textId="77777777" w:rsidR="00903103" w:rsidRPr="00A86AAA" w:rsidRDefault="00903103" w:rsidP="00507BB8">
            <w:pPr>
              <w:rPr>
                <w:sz w:val="20"/>
                <w:szCs w:val="20"/>
              </w:rPr>
            </w:pPr>
          </w:p>
        </w:tc>
        <w:tc>
          <w:tcPr>
            <w:tcW w:w="2410" w:type="dxa"/>
            <w:shd w:val="clear" w:color="auto" w:fill="F2F2F2" w:themeFill="background1" w:themeFillShade="F2"/>
          </w:tcPr>
          <w:p w14:paraId="047619B1" w14:textId="77777777" w:rsidR="00903103" w:rsidRPr="00A86AAA" w:rsidRDefault="00903103" w:rsidP="00507BB8">
            <w:pPr>
              <w:rPr>
                <w:sz w:val="20"/>
                <w:szCs w:val="20"/>
              </w:rPr>
            </w:pPr>
          </w:p>
        </w:tc>
        <w:tc>
          <w:tcPr>
            <w:tcW w:w="2552" w:type="dxa"/>
            <w:shd w:val="clear" w:color="auto" w:fill="F2F2F2" w:themeFill="background1" w:themeFillShade="F2"/>
          </w:tcPr>
          <w:p w14:paraId="41C456F2" w14:textId="77777777" w:rsidR="00903103" w:rsidRPr="00A86AAA" w:rsidRDefault="00903103" w:rsidP="00507BB8">
            <w:pPr>
              <w:rPr>
                <w:sz w:val="20"/>
                <w:szCs w:val="20"/>
              </w:rPr>
            </w:pPr>
          </w:p>
        </w:tc>
        <w:tc>
          <w:tcPr>
            <w:tcW w:w="2403" w:type="dxa"/>
          </w:tcPr>
          <w:p w14:paraId="24484BDF" w14:textId="48C378CD" w:rsidR="00903103" w:rsidRPr="00A86AAA" w:rsidRDefault="0E054CB5" w:rsidP="00507BB8">
            <w:pPr>
              <w:rPr>
                <w:sz w:val="20"/>
                <w:szCs w:val="20"/>
              </w:rPr>
            </w:pPr>
            <w:r w:rsidRPr="0E054CB5">
              <w:rPr>
                <w:sz w:val="20"/>
                <w:szCs w:val="20"/>
              </w:rPr>
              <w:t>4.4. Riippuvaisuussuhteet</w:t>
            </w:r>
            <w:r w:rsidR="51BC3758">
              <w:br/>
            </w:r>
            <w:r w:rsidR="51BC3758">
              <w:br/>
            </w:r>
            <w:r w:rsidRPr="0E054CB5">
              <w:rPr>
                <w:sz w:val="20"/>
                <w:szCs w:val="20"/>
              </w:rPr>
              <w:t>Sähkö-, vesi- ja tietoliikenneverkot</w:t>
            </w:r>
            <w:r w:rsidR="51BC3758">
              <w:br/>
            </w:r>
            <w:r w:rsidRPr="0E054CB5">
              <w:rPr>
                <w:sz w:val="20"/>
                <w:szCs w:val="20"/>
              </w:rPr>
              <w:t>Pelastustoimi</w:t>
            </w:r>
            <w:r w:rsidR="51BC3758">
              <w:br/>
            </w:r>
            <w:r w:rsidRPr="0E054CB5">
              <w:rPr>
                <w:sz w:val="20"/>
                <w:szCs w:val="20"/>
              </w:rPr>
              <w:t>Varavoima</w:t>
            </w:r>
            <w:r w:rsidR="51BC3758">
              <w:br/>
            </w:r>
            <w:r w:rsidRPr="0E054CB5">
              <w:rPr>
                <w:sz w:val="20"/>
                <w:szCs w:val="20"/>
              </w:rPr>
              <w:t>Kuljetus</w:t>
            </w:r>
          </w:p>
        </w:tc>
      </w:tr>
    </w:tbl>
    <w:p w14:paraId="7C441A0B" w14:textId="1FD4FF29" w:rsidR="008447E6" w:rsidRPr="002A4061" w:rsidRDefault="0E054CB5" w:rsidP="00507BB8">
      <w:pPr>
        <w:rPr>
          <w:i/>
          <w:iCs/>
        </w:rPr>
      </w:pPr>
      <w:r w:rsidRPr="0E054CB5">
        <w:rPr>
          <w:i/>
          <w:iCs/>
        </w:rPr>
        <w:t xml:space="preserve">Taulukko 2. Raideliikenteen kyberriskien jakautuminen pääluokkiin. Perustuu </w:t>
      </w:r>
      <w:proofErr w:type="spellStart"/>
      <w:r w:rsidRPr="0E054CB5">
        <w:rPr>
          <w:i/>
          <w:iCs/>
        </w:rPr>
        <w:t>Cebula</w:t>
      </w:r>
      <w:proofErr w:type="spellEnd"/>
      <w:r w:rsidRPr="0E054CB5">
        <w:rPr>
          <w:i/>
          <w:iCs/>
        </w:rPr>
        <w:t xml:space="preserve"> &amp; Youngin 2010 teokseen.</w:t>
      </w:r>
    </w:p>
    <w:p w14:paraId="6815A3A8" w14:textId="77777777" w:rsidR="00603C0A" w:rsidRPr="00603C0A" w:rsidRDefault="0E054CB5" w:rsidP="00507BB8">
      <w:pPr>
        <w:jc w:val="both"/>
      </w:pPr>
      <w:r>
        <w:t>Kyberriskit voidaan nähdä laajemmin informaatiota ja teknologiaa koskevina operationaalisina riskeinä, jotka vaikuttavat tiedon tai järjestelmän luottamuksellisuuteen, saatavuuteen tai eheyteen. Kyberriskin katsotaankin kattavan kaikki ne riskit, jotka johtavat taloudelliseen menetykseen, toiminnan keskeytymiseen tai organisaation maineen vahingoittumiseen tai organisaation konkreettiseen toimintaan. Kyberriskin toteutuessa voivat vahingot olla pahimmassa tapauksessa taloudellisesti ja inhimillisesti mittavat.</w:t>
      </w:r>
    </w:p>
    <w:p w14:paraId="6FE2DC88" w14:textId="76BEFCB1" w:rsidR="00EF2E21" w:rsidRDefault="0E054CB5" w:rsidP="00507BB8">
      <w:pPr>
        <w:jc w:val="both"/>
      </w:pPr>
      <w:r>
        <w:t xml:space="preserve">Raideliikenteen kybertoimintaympäristö koostuu sekä rautatiejärjestelmän että kaupunkiraideliikennejärjestelmän osalta kahdesta erillisestä kokonaisuudesta: informaatiojärjestelmistä ja operatiivisista järjestelmistä. Informaatiojärjestelmiä ja operatiivisia järjestelmiä liitetään yhä enenevissä määrin toisiinsa ja tämä aiheuttaa uusia vaatimuksia kyberriskien hallintaan. Perinteisesti kyberturvallisuus on otettu kattavammin huomioon informaatiojärjestelmissä ja kyberturvallisuuskysymyksiin on herätty enenevässä määrin operatiivisissa järjestelmissä vasta viime vuosina. </w:t>
      </w:r>
    </w:p>
    <w:p w14:paraId="2C1096D9" w14:textId="5B76A7A0" w:rsidR="00664820" w:rsidRPr="00081008" w:rsidRDefault="0E054CB5" w:rsidP="00507BB8">
      <w:pPr>
        <w:jc w:val="both"/>
        <w:rPr>
          <w:color w:val="FF0000"/>
        </w:rPr>
      </w:pPr>
      <w:r>
        <w:t>Raideliikenteelle ominaista on käytettävien järjestelmien pitkä ikä ja osin myös järjestelmien ikääntyminen. Osia järjestelmistä on käytetty vuosikymmeniä ja osia paranneltu matkan varrella, mikä tekee järjestelmistä kyberturvallisuuden kannalta sekä haastavia että haavoittuvia. Kyberturvallisuuden huomioinnin hidas lisääntyminen operatiivisella puolella ja maantieteellinen hajaantuneisuus lisäävät raideliikenteen alttiutta kyberuhkille. Kyberriskien hallinnassa keskeistä on kehittää informaatiojärjestelmien ja operatiivisten järjestelmien toimijoiden yhteistyötä. Lisäksi tärkeää on kiinnittää huomioita järjestelmien suojaamiseen, järjestelmiin kuuluvan tiedon ja datan suojaamiseen sekä järjestelmien sisäisen ja niiden välisen tietoliikenteen turvallisuudesta huolehtimiseen.</w:t>
      </w:r>
    </w:p>
    <w:tbl>
      <w:tblPr>
        <w:tblStyle w:val="TableGrid"/>
        <w:tblW w:w="0" w:type="auto"/>
        <w:tblInd w:w="-5" w:type="dxa"/>
        <w:tblLook w:val="04A0" w:firstRow="1" w:lastRow="0" w:firstColumn="1" w:lastColumn="0" w:noHBand="0" w:noVBand="1"/>
      </w:tblPr>
      <w:tblGrid>
        <w:gridCol w:w="3119"/>
        <w:gridCol w:w="3402"/>
        <w:gridCol w:w="3112"/>
      </w:tblGrid>
      <w:tr w:rsidR="0093624B" w14:paraId="333D64BE" w14:textId="77777777" w:rsidTr="0E054CB5">
        <w:tc>
          <w:tcPr>
            <w:tcW w:w="3119" w:type="dxa"/>
            <w:shd w:val="clear" w:color="auto" w:fill="92D050"/>
          </w:tcPr>
          <w:p w14:paraId="768D5B2E" w14:textId="4711C330" w:rsidR="009A23E6" w:rsidRPr="0093624B" w:rsidRDefault="0E054CB5" w:rsidP="00507BB8">
            <w:r w:rsidRPr="0E054CB5">
              <w:t>Toimintaympäristö</w:t>
            </w:r>
          </w:p>
        </w:tc>
        <w:tc>
          <w:tcPr>
            <w:tcW w:w="3402" w:type="dxa"/>
            <w:shd w:val="clear" w:color="auto" w:fill="92D050"/>
          </w:tcPr>
          <w:p w14:paraId="27EFDE7C" w14:textId="710C2820" w:rsidR="009A23E6" w:rsidRPr="0093624B" w:rsidRDefault="0E054CB5" w:rsidP="00507BB8">
            <w:r w:rsidRPr="0E054CB5">
              <w:t>Ominaispiirteet</w:t>
            </w:r>
          </w:p>
        </w:tc>
        <w:tc>
          <w:tcPr>
            <w:tcW w:w="3112" w:type="dxa"/>
            <w:shd w:val="clear" w:color="auto" w:fill="92D050"/>
          </w:tcPr>
          <w:p w14:paraId="38370EBE" w14:textId="225F4BA7" w:rsidR="009A23E6" w:rsidRPr="0093624B" w:rsidRDefault="0E054CB5" w:rsidP="00507BB8">
            <w:r w:rsidRPr="0E054CB5">
              <w:t>Esimerkit</w:t>
            </w:r>
          </w:p>
        </w:tc>
      </w:tr>
      <w:tr w:rsidR="0093624B" w14:paraId="003990D5" w14:textId="77777777" w:rsidTr="0E054CB5">
        <w:tc>
          <w:tcPr>
            <w:tcW w:w="3119" w:type="dxa"/>
          </w:tcPr>
          <w:p w14:paraId="554E9F12" w14:textId="61BE23CC" w:rsidR="009A23E6" w:rsidRPr="0093624B" w:rsidRDefault="0E054CB5" w:rsidP="00507BB8">
            <w:pPr>
              <w:rPr>
                <w:sz w:val="20"/>
                <w:szCs w:val="20"/>
              </w:rPr>
            </w:pPr>
            <w:r w:rsidRPr="0E054CB5">
              <w:rPr>
                <w:sz w:val="20"/>
                <w:szCs w:val="20"/>
              </w:rPr>
              <w:t xml:space="preserve">Operatiiviset järjestelmät </w:t>
            </w:r>
            <w:r w:rsidR="51BC3758">
              <w:br/>
            </w:r>
            <w:r w:rsidRPr="0E054CB5">
              <w:rPr>
                <w:sz w:val="20"/>
                <w:szCs w:val="20"/>
              </w:rPr>
              <w:t xml:space="preserve">(OT, </w:t>
            </w:r>
            <w:proofErr w:type="spellStart"/>
            <w:r w:rsidRPr="0E054CB5">
              <w:rPr>
                <w:i/>
                <w:iCs/>
                <w:sz w:val="20"/>
                <w:szCs w:val="20"/>
              </w:rPr>
              <w:t>operational</w:t>
            </w:r>
            <w:proofErr w:type="spellEnd"/>
            <w:r w:rsidRPr="0E054CB5">
              <w:rPr>
                <w:i/>
                <w:iCs/>
                <w:sz w:val="20"/>
                <w:szCs w:val="20"/>
              </w:rPr>
              <w:t xml:space="preserve"> </w:t>
            </w:r>
            <w:proofErr w:type="spellStart"/>
            <w:r w:rsidRPr="0E054CB5">
              <w:rPr>
                <w:i/>
                <w:iCs/>
                <w:sz w:val="20"/>
                <w:szCs w:val="20"/>
              </w:rPr>
              <w:t>technology</w:t>
            </w:r>
            <w:proofErr w:type="spellEnd"/>
            <w:r w:rsidRPr="0E054CB5">
              <w:rPr>
                <w:sz w:val="20"/>
                <w:szCs w:val="20"/>
              </w:rPr>
              <w:t>)</w:t>
            </w:r>
          </w:p>
        </w:tc>
        <w:tc>
          <w:tcPr>
            <w:tcW w:w="3402" w:type="dxa"/>
          </w:tcPr>
          <w:p w14:paraId="44394B68" w14:textId="56CF6106" w:rsidR="009A23E6" w:rsidRPr="00584C69" w:rsidRDefault="0E054CB5" w:rsidP="00507BB8">
            <w:pPr>
              <w:rPr>
                <w:sz w:val="20"/>
                <w:szCs w:val="20"/>
              </w:rPr>
            </w:pPr>
            <w:r w:rsidRPr="0E054CB5">
              <w:rPr>
                <w:sz w:val="20"/>
                <w:szCs w:val="20"/>
              </w:rPr>
              <w:t>Operatiiviset järjestelmät, joilla hallitaan liikenneverkkoinfrastruktuuria ja liikkuvaa kalustoa, kuten liikennöintiä, merkinantoa, voimanlähteitä, viestintää ja asemien hallintaa.</w:t>
            </w:r>
          </w:p>
        </w:tc>
        <w:tc>
          <w:tcPr>
            <w:tcW w:w="3112" w:type="dxa"/>
          </w:tcPr>
          <w:p w14:paraId="650EB4C3" w14:textId="1E27F6BA" w:rsidR="009A23E6" w:rsidRPr="0093624B" w:rsidRDefault="0E054CB5" w:rsidP="00507BB8">
            <w:pPr>
              <w:rPr>
                <w:sz w:val="20"/>
                <w:szCs w:val="20"/>
              </w:rPr>
            </w:pPr>
            <w:r w:rsidRPr="0E054CB5">
              <w:rPr>
                <w:sz w:val="20"/>
                <w:szCs w:val="20"/>
              </w:rPr>
              <w:t>ERTMS, JKV, kauko-ohjaus, asetinlaitteet, sähkörata ja sen ohjausjärjestelmät, operatiivisten järjestelmien virransyöttö, kuumakäynti- ja lovipyöräilmaisinjärjestelmät</w:t>
            </w:r>
          </w:p>
        </w:tc>
      </w:tr>
      <w:tr w:rsidR="0093624B" w14:paraId="762BB7B3" w14:textId="77777777" w:rsidTr="0E054CB5">
        <w:tc>
          <w:tcPr>
            <w:tcW w:w="3119" w:type="dxa"/>
          </w:tcPr>
          <w:p w14:paraId="3B75F5C0" w14:textId="0308DC41" w:rsidR="009A23E6" w:rsidRPr="0093624B" w:rsidRDefault="0E054CB5" w:rsidP="00507BB8">
            <w:pPr>
              <w:rPr>
                <w:sz w:val="20"/>
                <w:szCs w:val="20"/>
              </w:rPr>
            </w:pPr>
            <w:r w:rsidRPr="0E054CB5">
              <w:rPr>
                <w:sz w:val="20"/>
                <w:szCs w:val="20"/>
              </w:rPr>
              <w:t xml:space="preserve">Informaatiojärjestelmät </w:t>
            </w:r>
            <w:r w:rsidR="51BC3758">
              <w:br/>
            </w:r>
            <w:r w:rsidRPr="0E054CB5">
              <w:rPr>
                <w:sz w:val="20"/>
                <w:szCs w:val="20"/>
              </w:rPr>
              <w:t xml:space="preserve">(IT, </w:t>
            </w:r>
            <w:proofErr w:type="spellStart"/>
            <w:r w:rsidRPr="0E054CB5">
              <w:rPr>
                <w:i/>
                <w:iCs/>
                <w:sz w:val="20"/>
                <w:szCs w:val="20"/>
              </w:rPr>
              <w:t>information</w:t>
            </w:r>
            <w:proofErr w:type="spellEnd"/>
            <w:r w:rsidRPr="0E054CB5">
              <w:rPr>
                <w:i/>
                <w:iCs/>
                <w:sz w:val="20"/>
                <w:szCs w:val="20"/>
              </w:rPr>
              <w:t xml:space="preserve"> </w:t>
            </w:r>
            <w:proofErr w:type="spellStart"/>
            <w:r w:rsidRPr="0E054CB5">
              <w:rPr>
                <w:i/>
                <w:iCs/>
                <w:sz w:val="20"/>
                <w:szCs w:val="20"/>
              </w:rPr>
              <w:t>technology</w:t>
            </w:r>
            <w:proofErr w:type="spellEnd"/>
            <w:r w:rsidRPr="0E054CB5">
              <w:rPr>
                <w:sz w:val="20"/>
                <w:szCs w:val="20"/>
              </w:rPr>
              <w:t>)</w:t>
            </w:r>
          </w:p>
        </w:tc>
        <w:tc>
          <w:tcPr>
            <w:tcW w:w="3402" w:type="dxa"/>
          </w:tcPr>
          <w:p w14:paraId="37618D56" w14:textId="76A3EF22" w:rsidR="009A23E6" w:rsidRPr="00584C69" w:rsidRDefault="0E054CB5" w:rsidP="00507BB8">
            <w:pPr>
              <w:rPr>
                <w:sz w:val="20"/>
                <w:szCs w:val="20"/>
              </w:rPr>
            </w:pPr>
            <w:r w:rsidRPr="0E054CB5">
              <w:rPr>
                <w:sz w:val="20"/>
                <w:szCs w:val="20"/>
              </w:rPr>
              <w:t>Liiketoimintaa tukevat IT-järjestelmät sekä IT-järjestelmät, jotka tukevat operatiivisia järjestelmiä ja tarjoavat liittymän operatiivisiin järjestelmiin.</w:t>
            </w:r>
          </w:p>
        </w:tc>
        <w:tc>
          <w:tcPr>
            <w:tcW w:w="3112" w:type="dxa"/>
          </w:tcPr>
          <w:p w14:paraId="3477E227" w14:textId="3690F200" w:rsidR="009A23E6" w:rsidRPr="0093624B" w:rsidRDefault="0E054CB5" w:rsidP="00507BB8">
            <w:pPr>
              <w:rPr>
                <w:sz w:val="20"/>
                <w:szCs w:val="20"/>
              </w:rPr>
            </w:pPr>
            <w:r w:rsidRPr="0E054CB5">
              <w:rPr>
                <w:sz w:val="20"/>
                <w:szCs w:val="20"/>
              </w:rPr>
              <w:t>Matkustajainformaatio, kuljettajan päätelaitesovellukset, kuljetusten seurantajärjestelmät, liikenteenohjauksen hallintajärjestelmät, yleisesti käytössä olevat tiedonsiirtotavat (esim. WLAN-verkko) sekä tieto- ja viestintäjärjestelmät</w:t>
            </w:r>
          </w:p>
        </w:tc>
      </w:tr>
    </w:tbl>
    <w:p w14:paraId="3040E9F8" w14:textId="6F067D05" w:rsidR="00AB7A83" w:rsidRPr="002A4061" w:rsidRDefault="0E054CB5" w:rsidP="00507BB8">
      <w:pPr>
        <w:rPr>
          <w:i/>
          <w:iCs/>
        </w:rPr>
      </w:pPr>
      <w:r w:rsidRPr="0E054CB5">
        <w:rPr>
          <w:i/>
          <w:iCs/>
        </w:rPr>
        <w:t xml:space="preserve">Taulukko 3. Raideliikenteen toimintaympäristön </w:t>
      </w:r>
      <w:proofErr w:type="spellStart"/>
      <w:r w:rsidRPr="0E054CB5">
        <w:rPr>
          <w:i/>
          <w:iCs/>
        </w:rPr>
        <w:t>OT:t</w:t>
      </w:r>
      <w:proofErr w:type="spellEnd"/>
      <w:r w:rsidRPr="0E054CB5">
        <w:rPr>
          <w:i/>
          <w:iCs/>
        </w:rPr>
        <w:t xml:space="preserve"> ja </w:t>
      </w:r>
      <w:proofErr w:type="spellStart"/>
      <w:r w:rsidRPr="0E054CB5">
        <w:rPr>
          <w:i/>
          <w:iCs/>
        </w:rPr>
        <w:t>IT:t</w:t>
      </w:r>
      <w:proofErr w:type="spellEnd"/>
    </w:p>
    <w:p w14:paraId="05A00106" w14:textId="73C9A477" w:rsidR="0046122F" w:rsidRDefault="0E054CB5" w:rsidP="00507BB8">
      <w:pPr>
        <w:jc w:val="both"/>
      </w:pPr>
      <w:r>
        <w:t xml:space="preserve">Kyberturvallisuusriskien hallinnan tekee haastavaksi se, että raideliikenteen toimintojen ja järjestelmien kehittyessä ja digitalisoituessa kyberturvallisuusriskien määrä kasvaa ja riskit monipuolistuvat. Digitaalisen maailman täydellinen turvaaminen sen sijaan on mahdotonta, mistä johtuen myös esimerkiksi organisaation kypsyyteen havaita kyberturvallisuusuhkia tulee kiinnittää huomiota. </w:t>
      </w:r>
    </w:p>
    <w:p w14:paraId="19B76C22" w14:textId="7438C88D" w:rsidR="00866441" w:rsidRDefault="0E054CB5" w:rsidP="00507BB8">
      <w:pPr>
        <w:jc w:val="both"/>
      </w:pPr>
      <w:r>
        <w:t xml:space="preserve">Kyberuhkien tunnistamiseen ja torjumiseen tulee kiinnittää huomiota sekä olemassa olevia järjestelmiä päivitettäessä, että uusissa hankkeissa aina suunnitteluvaiheesta alkaen. Tilaaja- ja toimijaorganisaatioilla on suuri vastuu kyberturvallisuuden toteuttamisessa ja erityisesti ennen muutettujen tai uusien järjestelmien käyttöönottoa on tärkeää todeta, että järjestelmät ovat myös kyberturvallisia ja niiden käyttäjillä on olemassa menettelyt kyberturvallisuudesta huolehtimiseen järjestelmien koko elinkaaren ajan. Koska raideliikenteessä monet hankintasopimukset ovat pitkiä ja niistä monet on laadittu aikana, jolloin kyberturvallisuuskysymykset eivät olleet keskiössä, kyberturvallisuusvaatimukset </w:t>
      </w:r>
      <w:proofErr w:type="gramStart"/>
      <w:r>
        <w:t>on</w:t>
      </w:r>
      <w:proofErr w:type="gramEnd"/>
      <w:r>
        <w:t xml:space="preserve"> tärkeää huomioida myös vanhoja sopimuksia päivitettäessä tai uusittaessa.</w:t>
      </w:r>
    </w:p>
    <w:p w14:paraId="68334395" w14:textId="167A527E" w:rsidR="00664820" w:rsidRDefault="00310B58" w:rsidP="00507BB8">
      <w:pPr>
        <w:pStyle w:val="Heading2"/>
        <w:jc w:val="both"/>
      </w:pPr>
      <w:bookmarkStart w:id="10" w:name="_Toc116913296"/>
      <w:r>
        <w:t>3.</w:t>
      </w:r>
      <w:r w:rsidR="00474885">
        <w:t>3</w:t>
      </w:r>
      <w:r w:rsidR="00664820" w:rsidRPr="79D67FD8">
        <w:t>. Esimerkkejä kyberturvallisuusuhkista ja niiden hallinnan keinoista</w:t>
      </w:r>
      <w:bookmarkEnd w:id="10"/>
      <w:r w:rsidR="00C40806">
        <w:br/>
      </w:r>
    </w:p>
    <w:p w14:paraId="394A6677" w14:textId="444FDC8B" w:rsidR="00F96417" w:rsidRDefault="0E054CB5" w:rsidP="00507BB8">
      <w:pPr>
        <w:jc w:val="both"/>
      </w:pPr>
      <w:r>
        <w:t xml:space="preserve">Seuraavassa taulukossa on kuvattu erilaisia </w:t>
      </w:r>
      <w:r w:rsidR="00686CA9">
        <w:t>kyberriskejä</w:t>
      </w:r>
      <w:r>
        <w:t>, jotka voivat kohdistua raideliikenteeseen ja jotka tulisi huomioida raideliikenteen toimijoiden riskienhallinnassa. Taulukossa mainitut kyber</w:t>
      </w:r>
      <w:r w:rsidR="00686CA9">
        <w:t>riskit</w:t>
      </w:r>
      <w:r>
        <w:t xml:space="preserve"> ovat kuitenkin vain esimerkkejä ja kunkin raideliikenteen toimijan tulee arvioida itsenäisesti nimenomaan omaan toimintaansa liittyvät kyber</w:t>
      </w:r>
      <w:r w:rsidR="00686CA9">
        <w:t>riskit</w:t>
      </w:r>
      <w:r>
        <w:t xml:space="preserve"> ja ne kriittiset järjestelmät, jotka tulee kyberturvallisuuden kehittämisessä huomioida.</w:t>
      </w:r>
    </w:p>
    <w:p w14:paraId="536E9E9C" w14:textId="77777777" w:rsidR="00F96417" w:rsidRDefault="00F96417" w:rsidP="00507BB8">
      <w:r>
        <w:br w:type="page"/>
      </w:r>
    </w:p>
    <w:tbl>
      <w:tblPr>
        <w:tblStyle w:val="TableGrid"/>
        <w:tblW w:w="0" w:type="auto"/>
        <w:tblInd w:w="-5" w:type="dxa"/>
        <w:tblLook w:val="04A0" w:firstRow="1" w:lastRow="0" w:firstColumn="1" w:lastColumn="0" w:noHBand="0" w:noVBand="1"/>
      </w:tblPr>
      <w:tblGrid>
        <w:gridCol w:w="3043"/>
        <w:gridCol w:w="3209"/>
        <w:gridCol w:w="3210"/>
      </w:tblGrid>
      <w:tr w:rsidR="00EF439F" w:rsidRPr="00664820" w14:paraId="16232B47" w14:textId="77777777" w:rsidTr="0E054CB5">
        <w:tc>
          <w:tcPr>
            <w:tcW w:w="3043" w:type="dxa"/>
            <w:shd w:val="clear" w:color="auto" w:fill="70AD47" w:themeFill="accent6"/>
          </w:tcPr>
          <w:p w14:paraId="10CE5FF3" w14:textId="05C0E1B5" w:rsidR="00EF439F" w:rsidRPr="00664820" w:rsidRDefault="0E054CB5" w:rsidP="00507BB8">
            <w:pPr>
              <w:rPr>
                <w:b/>
                <w:bCs/>
                <w:sz w:val="20"/>
                <w:szCs w:val="20"/>
              </w:rPr>
            </w:pPr>
            <w:r w:rsidRPr="0E054CB5">
              <w:rPr>
                <w:b/>
                <w:bCs/>
                <w:sz w:val="20"/>
                <w:szCs w:val="20"/>
              </w:rPr>
              <w:t>Kyber</w:t>
            </w:r>
            <w:r w:rsidR="00686CA9">
              <w:rPr>
                <w:b/>
                <w:bCs/>
                <w:sz w:val="20"/>
                <w:szCs w:val="20"/>
              </w:rPr>
              <w:t>riski</w:t>
            </w:r>
          </w:p>
        </w:tc>
        <w:tc>
          <w:tcPr>
            <w:tcW w:w="3209" w:type="dxa"/>
            <w:shd w:val="clear" w:color="auto" w:fill="70AD47" w:themeFill="accent6"/>
          </w:tcPr>
          <w:p w14:paraId="5843A912" w14:textId="42D2C0E1" w:rsidR="00EF439F" w:rsidRPr="00EF439F" w:rsidRDefault="0E054CB5" w:rsidP="00507BB8">
            <w:pPr>
              <w:rPr>
                <w:b/>
                <w:bCs/>
                <w:sz w:val="20"/>
                <w:szCs w:val="20"/>
              </w:rPr>
            </w:pPr>
            <w:r w:rsidRPr="0E054CB5">
              <w:rPr>
                <w:b/>
                <w:bCs/>
                <w:sz w:val="20"/>
                <w:szCs w:val="20"/>
              </w:rPr>
              <w:t>Esimerkkejä</w:t>
            </w:r>
            <w:r w:rsidR="00686CA9">
              <w:rPr>
                <w:b/>
                <w:bCs/>
                <w:sz w:val="20"/>
                <w:szCs w:val="20"/>
              </w:rPr>
              <w:t xml:space="preserve"> (uhka)</w:t>
            </w:r>
          </w:p>
        </w:tc>
        <w:tc>
          <w:tcPr>
            <w:tcW w:w="3210" w:type="dxa"/>
            <w:shd w:val="clear" w:color="auto" w:fill="70AD47" w:themeFill="accent6"/>
          </w:tcPr>
          <w:p w14:paraId="36B9EF6E" w14:textId="75C8DC69" w:rsidR="00EF439F" w:rsidRPr="00EF439F" w:rsidRDefault="0E054CB5" w:rsidP="00507BB8">
            <w:pPr>
              <w:rPr>
                <w:b/>
                <w:bCs/>
                <w:sz w:val="20"/>
                <w:szCs w:val="20"/>
              </w:rPr>
            </w:pPr>
            <w:r w:rsidRPr="0E054CB5">
              <w:rPr>
                <w:b/>
                <w:bCs/>
                <w:sz w:val="20"/>
                <w:szCs w:val="20"/>
              </w:rPr>
              <w:t>Toimijat, joihin kohdistuu</w:t>
            </w:r>
          </w:p>
        </w:tc>
      </w:tr>
      <w:tr w:rsidR="00664820" w:rsidRPr="00664820" w14:paraId="680908B1" w14:textId="77777777" w:rsidTr="0E054CB5">
        <w:tc>
          <w:tcPr>
            <w:tcW w:w="3043" w:type="dxa"/>
          </w:tcPr>
          <w:p w14:paraId="3824F205" w14:textId="77777777" w:rsidR="00664820" w:rsidRPr="00664820" w:rsidRDefault="0E054CB5" w:rsidP="00507BB8">
            <w:pPr>
              <w:rPr>
                <w:b/>
                <w:bCs/>
                <w:sz w:val="20"/>
                <w:szCs w:val="20"/>
              </w:rPr>
            </w:pPr>
            <w:r w:rsidRPr="0E054CB5">
              <w:rPr>
                <w:b/>
                <w:bCs/>
                <w:sz w:val="20"/>
                <w:szCs w:val="20"/>
              </w:rPr>
              <w:t>Tietokoneasetinlaitteisiin liittyvät riskit</w:t>
            </w:r>
          </w:p>
        </w:tc>
        <w:tc>
          <w:tcPr>
            <w:tcW w:w="3209" w:type="dxa"/>
          </w:tcPr>
          <w:p w14:paraId="7C658DFE" w14:textId="1E83C556" w:rsidR="00664820" w:rsidRPr="00664820" w:rsidRDefault="0E054CB5" w:rsidP="00507BB8">
            <w:pPr>
              <w:rPr>
                <w:sz w:val="20"/>
                <w:szCs w:val="20"/>
              </w:rPr>
            </w:pPr>
            <w:r w:rsidRPr="0E054CB5">
              <w:rPr>
                <w:sz w:val="20"/>
                <w:szCs w:val="20"/>
              </w:rPr>
              <w:t>Tiedonsiirto liikenteenohjauksesta katkeaa eivätkä komennot välity tietokoneasetinlaitteille toivotulla tavalla esimerkiksi ratatöiden aiheuttamasta kaapelin katkeamisesta johtuen.</w:t>
            </w:r>
          </w:p>
        </w:tc>
        <w:tc>
          <w:tcPr>
            <w:tcW w:w="3210" w:type="dxa"/>
          </w:tcPr>
          <w:p w14:paraId="5F0543DB" w14:textId="77777777" w:rsidR="00664820" w:rsidRPr="00664820" w:rsidRDefault="0E054CB5" w:rsidP="00507BB8">
            <w:pPr>
              <w:rPr>
                <w:sz w:val="20"/>
                <w:szCs w:val="20"/>
              </w:rPr>
            </w:pPr>
            <w:r w:rsidRPr="0E054CB5">
              <w:rPr>
                <w:sz w:val="20"/>
                <w:szCs w:val="20"/>
              </w:rPr>
              <w:t xml:space="preserve">Liikenteenohjaus, rataverkon haltija, rautatieliikenteen harjoittajat </w:t>
            </w:r>
          </w:p>
        </w:tc>
      </w:tr>
      <w:tr w:rsidR="00664820" w:rsidRPr="00664820" w14:paraId="6C2CF8F7" w14:textId="77777777" w:rsidTr="0E054CB5">
        <w:tc>
          <w:tcPr>
            <w:tcW w:w="3043" w:type="dxa"/>
            <w:shd w:val="clear" w:color="auto" w:fill="E2EFD9" w:themeFill="accent6" w:themeFillTint="33"/>
          </w:tcPr>
          <w:p w14:paraId="3D9F49DD" w14:textId="3BD21EDD" w:rsidR="00664820" w:rsidRPr="00664820" w:rsidRDefault="0E054CB5" w:rsidP="00507BB8">
            <w:pPr>
              <w:rPr>
                <w:b/>
                <w:bCs/>
                <w:sz w:val="20"/>
                <w:szCs w:val="20"/>
              </w:rPr>
            </w:pPr>
            <w:r w:rsidRPr="0E054CB5">
              <w:rPr>
                <w:b/>
                <w:bCs/>
                <w:sz w:val="20"/>
                <w:szCs w:val="20"/>
              </w:rPr>
              <w:t>Liikenteenohjausjärjestelmien ja asetinlaitteiden väliset rajapintariskit</w:t>
            </w:r>
          </w:p>
        </w:tc>
        <w:tc>
          <w:tcPr>
            <w:tcW w:w="3209" w:type="dxa"/>
            <w:shd w:val="clear" w:color="auto" w:fill="E2EFD9" w:themeFill="accent6" w:themeFillTint="33"/>
          </w:tcPr>
          <w:p w14:paraId="22E17BC7" w14:textId="26F6C82E" w:rsidR="00664820" w:rsidRPr="00664820" w:rsidRDefault="0E054CB5" w:rsidP="00507BB8">
            <w:pPr>
              <w:rPr>
                <w:sz w:val="20"/>
                <w:szCs w:val="20"/>
              </w:rPr>
            </w:pPr>
            <w:r w:rsidRPr="0E054CB5">
              <w:rPr>
                <w:sz w:val="20"/>
                <w:szCs w:val="20"/>
              </w:rPr>
              <w:t>Tiedonsiirtokatkos tai -häiriö tietokoneiden ja niillä ohjattavien releasetinlaitteiden välillä.</w:t>
            </w:r>
          </w:p>
        </w:tc>
        <w:tc>
          <w:tcPr>
            <w:tcW w:w="3210" w:type="dxa"/>
            <w:shd w:val="clear" w:color="auto" w:fill="E2EFD9" w:themeFill="accent6" w:themeFillTint="33"/>
          </w:tcPr>
          <w:p w14:paraId="3F5648A0" w14:textId="77777777" w:rsidR="00664820" w:rsidRPr="00664820" w:rsidRDefault="0E054CB5" w:rsidP="00507BB8">
            <w:pPr>
              <w:rPr>
                <w:sz w:val="20"/>
                <w:szCs w:val="20"/>
              </w:rPr>
            </w:pPr>
            <w:r w:rsidRPr="0E054CB5">
              <w:rPr>
                <w:sz w:val="20"/>
                <w:szCs w:val="20"/>
              </w:rPr>
              <w:t>Liikenteenohjaus, rataverkon haltija, rautatieliikenteen harjoittajat</w:t>
            </w:r>
          </w:p>
        </w:tc>
      </w:tr>
      <w:tr w:rsidR="00664820" w:rsidRPr="00664820" w14:paraId="00399160" w14:textId="77777777" w:rsidTr="0E054CB5">
        <w:tc>
          <w:tcPr>
            <w:tcW w:w="3043" w:type="dxa"/>
          </w:tcPr>
          <w:p w14:paraId="14580994" w14:textId="77777777" w:rsidR="00664820" w:rsidRPr="00664820" w:rsidRDefault="0E054CB5" w:rsidP="00507BB8">
            <w:pPr>
              <w:rPr>
                <w:b/>
                <w:bCs/>
                <w:sz w:val="20"/>
                <w:szCs w:val="20"/>
              </w:rPr>
            </w:pPr>
            <w:r w:rsidRPr="0E054CB5">
              <w:rPr>
                <w:b/>
                <w:bCs/>
                <w:sz w:val="20"/>
                <w:szCs w:val="20"/>
              </w:rPr>
              <w:t>Liikenteenohjausjärjestelmien ja tietokoneasetinlaitteiden väliset rajapintariskit</w:t>
            </w:r>
          </w:p>
        </w:tc>
        <w:tc>
          <w:tcPr>
            <w:tcW w:w="3209" w:type="dxa"/>
          </w:tcPr>
          <w:p w14:paraId="10743155" w14:textId="44C4511A" w:rsidR="00664820" w:rsidRPr="00664820" w:rsidRDefault="0E054CB5" w:rsidP="00507BB8">
            <w:pPr>
              <w:rPr>
                <w:sz w:val="20"/>
                <w:szCs w:val="20"/>
              </w:rPr>
            </w:pPr>
            <w:r w:rsidRPr="0E054CB5">
              <w:rPr>
                <w:sz w:val="20"/>
                <w:szCs w:val="20"/>
              </w:rPr>
              <w:t>Liikenteenohjaajan käyttämän kauko-ohjausjärjestelmän komennot eivät välity oikein tietokoneasetinlaitteeseen.</w:t>
            </w:r>
          </w:p>
        </w:tc>
        <w:tc>
          <w:tcPr>
            <w:tcW w:w="3210" w:type="dxa"/>
          </w:tcPr>
          <w:p w14:paraId="5495570E" w14:textId="77777777" w:rsidR="00664820" w:rsidRPr="00664820" w:rsidRDefault="0E054CB5" w:rsidP="00507BB8">
            <w:pPr>
              <w:rPr>
                <w:sz w:val="20"/>
                <w:szCs w:val="20"/>
              </w:rPr>
            </w:pPr>
            <w:r w:rsidRPr="0E054CB5">
              <w:rPr>
                <w:sz w:val="20"/>
                <w:szCs w:val="20"/>
              </w:rPr>
              <w:t>Liikenteenohjaus, rataverkon haltija, rautatieliikenteen harjoittajat</w:t>
            </w:r>
          </w:p>
        </w:tc>
      </w:tr>
      <w:tr w:rsidR="00664820" w:rsidRPr="00664820" w14:paraId="169A2255" w14:textId="77777777" w:rsidTr="0E054CB5">
        <w:trPr>
          <w:trHeight w:val="508"/>
        </w:trPr>
        <w:tc>
          <w:tcPr>
            <w:tcW w:w="3043" w:type="dxa"/>
            <w:shd w:val="clear" w:color="auto" w:fill="E2EFD9" w:themeFill="accent6" w:themeFillTint="33"/>
          </w:tcPr>
          <w:p w14:paraId="3B8AC8D2" w14:textId="77777777" w:rsidR="00664820" w:rsidRPr="00664820" w:rsidRDefault="0E054CB5" w:rsidP="00507BB8">
            <w:pPr>
              <w:rPr>
                <w:b/>
                <w:bCs/>
                <w:sz w:val="20"/>
                <w:szCs w:val="20"/>
              </w:rPr>
            </w:pPr>
            <w:r w:rsidRPr="0E054CB5">
              <w:rPr>
                <w:b/>
                <w:bCs/>
                <w:sz w:val="20"/>
                <w:szCs w:val="20"/>
              </w:rPr>
              <w:t>Liikenteenohjausjärjestelmien tiedon eheyteen ja luotettavuuteen liittyvät riskit</w:t>
            </w:r>
          </w:p>
        </w:tc>
        <w:tc>
          <w:tcPr>
            <w:tcW w:w="3209" w:type="dxa"/>
            <w:shd w:val="clear" w:color="auto" w:fill="E2EFD9" w:themeFill="accent6" w:themeFillTint="33"/>
          </w:tcPr>
          <w:p w14:paraId="5646FBED" w14:textId="138CD0C0" w:rsidR="00664820" w:rsidRPr="00664820" w:rsidRDefault="0E054CB5" w:rsidP="00507BB8">
            <w:pPr>
              <w:rPr>
                <w:sz w:val="20"/>
                <w:szCs w:val="20"/>
              </w:rPr>
            </w:pPr>
            <w:r w:rsidRPr="0E054CB5">
              <w:rPr>
                <w:sz w:val="20"/>
                <w:szCs w:val="20"/>
              </w:rPr>
              <w:t>Käytettävä tietosisältö murenee esimerkiksi hakkerin toimista johtuen siten, että järjestelmien tietoon ei voida luottaa tai sitä ei voida hyödyntää.</w:t>
            </w:r>
          </w:p>
        </w:tc>
        <w:tc>
          <w:tcPr>
            <w:tcW w:w="3210" w:type="dxa"/>
            <w:shd w:val="clear" w:color="auto" w:fill="E2EFD9" w:themeFill="accent6" w:themeFillTint="33"/>
          </w:tcPr>
          <w:p w14:paraId="7C3BA0F0" w14:textId="77777777" w:rsidR="00664820" w:rsidRPr="00664820" w:rsidRDefault="0E054CB5" w:rsidP="00507BB8">
            <w:pPr>
              <w:rPr>
                <w:sz w:val="20"/>
                <w:szCs w:val="20"/>
              </w:rPr>
            </w:pPr>
            <w:r w:rsidRPr="0E054CB5">
              <w:rPr>
                <w:sz w:val="20"/>
                <w:szCs w:val="20"/>
              </w:rPr>
              <w:t>Liikenteenohjaus, rataverkon haltija, rautatieliikenteen harjoittajat</w:t>
            </w:r>
          </w:p>
        </w:tc>
      </w:tr>
      <w:tr w:rsidR="00664820" w:rsidRPr="00664820" w14:paraId="5D11C76A" w14:textId="77777777" w:rsidTr="00034E29">
        <w:trPr>
          <w:trHeight w:val="508"/>
        </w:trPr>
        <w:tc>
          <w:tcPr>
            <w:tcW w:w="3043" w:type="dxa"/>
            <w:tcBorders>
              <w:bottom w:val="single" w:sz="4" w:space="0" w:color="auto"/>
            </w:tcBorders>
          </w:tcPr>
          <w:p w14:paraId="3223D632" w14:textId="417609A4" w:rsidR="00664820" w:rsidRPr="00664820" w:rsidRDefault="0E054CB5" w:rsidP="00507BB8">
            <w:pPr>
              <w:rPr>
                <w:b/>
                <w:bCs/>
                <w:sz w:val="20"/>
                <w:szCs w:val="20"/>
              </w:rPr>
            </w:pPr>
            <w:r w:rsidRPr="0E054CB5">
              <w:rPr>
                <w:b/>
                <w:bCs/>
                <w:sz w:val="20"/>
                <w:szCs w:val="20"/>
              </w:rPr>
              <w:t>Lähdekoodiin perustuvien liikenteenhallintajärjestelmien riskit</w:t>
            </w:r>
          </w:p>
        </w:tc>
        <w:tc>
          <w:tcPr>
            <w:tcW w:w="3209" w:type="dxa"/>
            <w:tcBorders>
              <w:bottom w:val="single" w:sz="4" w:space="0" w:color="auto"/>
            </w:tcBorders>
          </w:tcPr>
          <w:p w14:paraId="23DD024D" w14:textId="50769877" w:rsidR="00664820" w:rsidRPr="00664820" w:rsidRDefault="0E054CB5" w:rsidP="00507BB8">
            <w:pPr>
              <w:rPr>
                <w:sz w:val="20"/>
                <w:szCs w:val="20"/>
              </w:rPr>
            </w:pPr>
            <w:r w:rsidRPr="0E054CB5">
              <w:rPr>
                <w:sz w:val="20"/>
                <w:szCs w:val="20"/>
              </w:rPr>
              <w:t>Lähdekoodiin laitetaan haitallinen koodi, joka tulee sisään liikenteenhallintajärjestelmään ja aktivoituu järjestelmässä esimerkiksi sen päivityksen yhteydessä.</w:t>
            </w:r>
          </w:p>
        </w:tc>
        <w:tc>
          <w:tcPr>
            <w:tcW w:w="3210" w:type="dxa"/>
            <w:tcBorders>
              <w:bottom w:val="single" w:sz="4" w:space="0" w:color="auto"/>
            </w:tcBorders>
          </w:tcPr>
          <w:p w14:paraId="70ADF80C" w14:textId="77777777" w:rsidR="00664820" w:rsidRPr="00664820" w:rsidRDefault="0E054CB5" w:rsidP="00507BB8">
            <w:pPr>
              <w:rPr>
                <w:sz w:val="20"/>
                <w:szCs w:val="20"/>
              </w:rPr>
            </w:pPr>
            <w:r w:rsidRPr="0E054CB5">
              <w:rPr>
                <w:sz w:val="20"/>
                <w:szCs w:val="20"/>
              </w:rPr>
              <w:t>Liikenteenohjaus, rataverkon haltija, rautatieliikenteen harjoittajat</w:t>
            </w:r>
          </w:p>
        </w:tc>
      </w:tr>
      <w:tr w:rsidR="00664820" w:rsidRPr="00664820" w14:paraId="1E845274" w14:textId="77777777" w:rsidTr="00034E29">
        <w:tc>
          <w:tcPr>
            <w:tcW w:w="3043" w:type="dxa"/>
            <w:tcBorders>
              <w:bottom w:val="nil"/>
            </w:tcBorders>
            <w:shd w:val="clear" w:color="auto" w:fill="E2EFD9" w:themeFill="accent6" w:themeFillTint="33"/>
          </w:tcPr>
          <w:p w14:paraId="0E1C0C72" w14:textId="77777777" w:rsidR="00664820" w:rsidRPr="00034E29" w:rsidRDefault="0E054CB5" w:rsidP="00507BB8">
            <w:pPr>
              <w:rPr>
                <w:b/>
                <w:bCs/>
                <w:sz w:val="20"/>
                <w:szCs w:val="20"/>
              </w:rPr>
            </w:pPr>
            <w:r w:rsidRPr="00034E29">
              <w:rPr>
                <w:b/>
                <w:bCs/>
                <w:sz w:val="20"/>
                <w:szCs w:val="20"/>
              </w:rPr>
              <w:t>Liikenteen ohjausjärjestelmien yleiseen verkkoon liittymisen riskit</w:t>
            </w:r>
          </w:p>
        </w:tc>
        <w:tc>
          <w:tcPr>
            <w:tcW w:w="3209" w:type="dxa"/>
            <w:tcBorders>
              <w:bottom w:val="nil"/>
            </w:tcBorders>
            <w:shd w:val="clear" w:color="auto" w:fill="E2EFD9" w:themeFill="accent6" w:themeFillTint="33"/>
          </w:tcPr>
          <w:p w14:paraId="1E5E2752" w14:textId="289387FC" w:rsidR="00664820" w:rsidRPr="00034E29" w:rsidRDefault="0E054CB5" w:rsidP="00507BB8">
            <w:pPr>
              <w:rPr>
                <w:sz w:val="20"/>
                <w:szCs w:val="20"/>
              </w:rPr>
            </w:pPr>
            <w:r w:rsidRPr="00034E29">
              <w:rPr>
                <w:sz w:val="20"/>
                <w:szCs w:val="20"/>
              </w:rPr>
              <w:t>Yleisen verkon kautta tehdään tahallisesti  ei-toivottuja päivityksiä tai konfiguraatiomuutoksia järjestelmiin tai yhteys yleiseen verkkoon katkeaa.</w:t>
            </w:r>
          </w:p>
        </w:tc>
        <w:tc>
          <w:tcPr>
            <w:tcW w:w="3210" w:type="dxa"/>
            <w:tcBorders>
              <w:bottom w:val="nil"/>
            </w:tcBorders>
            <w:shd w:val="clear" w:color="auto" w:fill="E2EFD9" w:themeFill="accent6" w:themeFillTint="33"/>
          </w:tcPr>
          <w:p w14:paraId="1D173621" w14:textId="77777777" w:rsidR="00664820" w:rsidRPr="00034E29" w:rsidRDefault="0E054CB5" w:rsidP="00507BB8">
            <w:pPr>
              <w:rPr>
                <w:sz w:val="20"/>
                <w:szCs w:val="20"/>
              </w:rPr>
            </w:pPr>
            <w:r w:rsidRPr="00034E29">
              <w:rPr>
                <w:sz w:val="20"/>
                <w:szCs w:val="20"/>
              </w:rPr>
              <w:t>Liikenteenohjaus, rataverkon haltija, rautatieliikenteen harjoittajat</w:t>
            </w:r>
          </w:p>
        </w:tc>
      </w:tr>
      <w:tr w:rsidR="00B6290B" w:rsidRPr="00664820" w14:paraId="592D38EA" w14:textId="77777777" w:rsidTr="00034E29">
        <w:tc>
          <w:tcPr>
            <w:tcW w:w="3043" w:type="dxa"/>
            <w:tcBorders>
              <w:top w:val="nil"/>
            </w:tcBorders>
            <w:shd w:val="clear" w:color="auto" w:fill="auto"/>
          </w:tcPr>
          <w:p w14:paraId="37D2EA6D" w14:textId="2ACB8DD8" w:rsidR="00B6290B" w:rsidRPr="00034E29" w:rsidRDefault="0E054CB5" w:rsidP="00507BB8">
            <w:pPr>
              <w:rPr>
                <w:b/>
                <w:bCs/>
                <w:sz w:val="20"/>
                <w:szCs w:val="20"/>
              </w:rPr>
            </w:pPr>
            <w:r w:rsidRPr="00034E29">
              <w:rPr>
                <w:b/>
                <w:bCs/>
                <w:sz w:val="20"/>
                <w:szCs w:val="20"/>
              </w:rPr>
              <w:t xml:space="preserve">IT- ja OT -järjestelmien </w:t>
            </w:r>
            <w:proofErr w:type="spellStart"/>
            <w:r w:rsidRPr="00034E29">
              <w:rPr>
                <w:b/>
                <w:bCs/>
                <w:sz w:val="20"/>
                <w:szCs w:val="20"/>
              </w:rPr>
              <w:t>yhteenliittämisen</w:t>
            </w:r>
            <w:proofErr w:type="spellEnd"/>
            <w:r w:rsidRPr="00034E29">
              <w:rPr>
                <w:b/>
                <w:bCs/>
                <w:sz w:val="20"/>
                <w:szCs w:val="20"/>
              </w:rPr>
              <w:t xml:space="preserve"> rajapintariskit</w:t>
            </w:r>
          </w:p>
        </w:tc>
        <w:tc>
          <w:tcPr>
            <w:tcW w:w="3209" w:type="dxa"/>
            <w:tcBorders>
              <w:top w:val="nil"/>
            </w:tcBorders>
            <w:shd w:val="clear" w:color="auto" w:fill="auto"/>
          </w:tcPr>
          <w:p w14:paraId="317822FA" w14:textId="0C369EF4" w:rsidR="00B6290B" w:rsidRPr="00034E29" w:rsidRDefault="0E054CB5" w:rsidP="00507BB8">
            <w:pPr>
              <w:rPr>
                <w:sz w:val="20"/>
                <w:szCs w:val="20"/>
              </w:rPr>
            </w:pPr>
            <w:r w:rsidRPr="00034E29">
              <w:rPr>
                <w:sz w:val="20"/>
                <w:szCs w:val="20"/>
              </w:rPr>
              <w:t>IT- ja OT-järjestelmiä liitetään yhteen, jolloin OT-järjestelmien eheys voi vaarantua.</w:t>
            </w:r>
          </w:p>
        </w:tc>
        <w:tc>
          <w:tcPr>
            <w:tcW w:w="3210" w:type="dxa"/>
            <w:tcBorders>
              <w:top w:val="nil"/>
            </w:tcBorders>
            <w:shd w:val="clear" w:color="auto" w:fill="auto"/>
          </w:tcPr>
          <w:p w14:paraId="68E2A051" w14:textId="608DF281" w:rsidR="00B6290B" w:rsidRPr="00034E29" w:rsidRDefault="0E054CB5" w:rsidP="00507BB8">
            <w:pPr>
              <w:rPr>
                <w:sz w:val="20"/>
                <w:szCs w:val="20"/>
              </w:rPr>
            </w:pPr>
            <w:r w:rsidRPr="00034E29">
              <w:rPr>
                <w:sz w:val="20"/>
                <w:szCs w:val="20"/>
              </w:rPr>
              <w:t>Liikenteenohjaus, rataverkon haltija ja rautatieliikenteen harjoittajat</w:t>
            </w:r>
          </w:p>
        </w:tc>
      </w:tr>
      <w:tr w:rsidR="00664820" w:rsidRPr="00664820" w14:paraId="417C85A6" w14:textId="77777777" w:rsidTr="00034E29">
        <w:tc>
          <w:tcPr>
            <w:tcW w:w="3043" w:type="dxa"/>
            <w:shd w:val="clear" w:color="auto" w:fill="E2EFD9" w:themeFill="accent6" w:themeFillTint="33"/>
          </w:tcPr>
          <w:p w14:paraId="555BE409" w14:textId="77777777" w:rsidR="00664820" w:rsidRPr="00034E29" w:rsidRDefault="0E054CB5" w:rsidP="00507BB8">
            <w:pPr>
              <w:rPr>
                <w:b/>
                <w:bCs/>
                <w:sz w:val="20"/>
                <w:szCs w:val="20"/>
              </w:rPr>
            </w:pPr>
            <w:r w:rsidRPr="00034E29">
              <w:rPr>
                <w:b/>
                <w:bCs/>
                <w:sz w:val="20"/>
                <w:szCs w:val="20"/>
              </w:rPr>
              <w:t>Sähkönsaannin turvaamiseen liittyvät riskit</w:t>
            </w:r>
          </w:p>
        </w:tc>
        <w:tc>
          <w:tcPr>
            <w:tcW w:w="3209" w:type="dxa"/>
            <w:shd w:val="clear" w:color="auto" w:fill="E2EFD9" w:themeFill="accent6" w:themeFillTint="33"/>
          </w:tcPr>
          <w:p w14:paraId="41481A71" w14:textId="77777777" w:rsidR="00664820" w:rsidRPr="00034E29" w:rsidRDefault="0E054CB5" w:rsidP="00507BB8">
            <w:pPr>
              <w:rPr>
                <w:sz w:val="20"/>
                <w:szCs w:val="20"/>
              </w:rPr>
            </w:pPr>
            <w:r w:rsidRPr="00034E29">
              <w:rPr>
                <w:sz w:val="20"/>
                <w:szCs w:val="20"/>
              </w:rPr>
              <w:t>Kantaverkkoon tulee häiriö, joka estää sähkön siirtymisen syöttöasettamille tai -asemalta rataverkkoon tai joku pääsee oikeudetta sähköratojen valvontajärjestelmiin.</w:t>
            </w:r>
          </w:p>
        </w:tc>
        <w:tc>
          <w:tcPr>
            <w:tcW w:w="3210" w:type="dxa"/>
            <w:shd w:val="clear" w:color="auto" w:fill="E2EFD9" w:themeFill="accent6" w:themeFillTint="33"/>
          </w:tcPr>
          <w:p w14:paraId="062B2D7B" w14:textId="77777777" w:rsidR="00664820" w:rsidRPr="00034E29" w:rsidRDefault="0E054CB5" w:rsidP="00507BB8">
            <w:pPr>
              <w:rPr>
                <w:sz w:val="20"/>
                <w:szCs w:val="20"/>
              </w:rPr>
            </w:pPr>
            <w:r w:rsidRPr="00034E29">
              <w:rPr>
                <w:sz w:val="20"/>
                <w:szCs w:val="20"/>
              </w:rPr>
              <w:t>Rataverkon haltijat, liikenteenohjaus.</w:t>
            </w:r>
          </w:p>
        </w:tc>
      </w:tr>
      <w:tr w:rsidR="00664820" w:rsidRPr="00664820" w14:paraId="1E1821D5" w14:textId="77777777" w:rsidTr="00034E29">
        <w:tc>
          <w:tcPr>
            <w:tcW w:w="3043" w:type="dxa"/>
            <w:shd w:val="clear" w:color="auto" w:fill="auto"/>
          </w:tcPr>
          <w:p w14:paraId="61201376" w14:textId="2C0FEAA9" w:rsidR="00664820" w:rsidRPr="00034E29" w:rsidRDefault="0E054CB5" w:rsidP="00507BB8">
            <w:pPr>
              <w:rPr>
                <w:b/>
                <w:bCs/>
                <w:sz w:val="20"/>
                <w:szCs w:val="20"/>
              </w:rPr>
            </w:pPr>
            <w:r w:rsidRPr="00034E29">
              <w:rPr>
                <w:b/>
                <w:bCs/>
                <w:sz w:val="20"/>
                <w:szCs w:val="20"/>
              </w:rPr>
              <w:t xml:space="preserve">Telemaattisten järjestelmin </w:t>
            </w:r>
            <w:r w:rsidR="51BC3758" w:rsidRPr="00034E29">
              <w:br/>
            </w:r>
            <w:r w:rsidRPr="00034E29">
              <w:rPr>
                <w:b/>
                <w:bCs/>
                <w:sz w:val="20"/>
                <w:szCs w:val="20"/>
              </w:rPr>
              <w:t>riskit</w:t>
            </w:r>
          </w:p>
        </w:tc>
        <w:tc>
          <w:tcPr>
            <w:tcW w:w="3209" w:type="dxa"/>
            <w:shd w:val="clear" w:color="auto" w:fill="auto"/>
          </w:tcPr>
          <w:p w14:paraId="26976DC3" w14:textId="0A00BCAE" w:rsidR="00664820" w:rsidRPr="00034E29" w:rsidRDefault="0E054CB5" w:rsidP="00507BB8">
            <w:pPr>
              <w:rPr>
                <w:sz w:val="20"/>
                <w:szCs w:val="20"/>
              </w:rPr>
            </w:pPr>
            <w:r w:rsidRPr="00034E29">
              <w:rPr>
                <w:sz w:val="20"/>
                <w:szCs w:val="20"/>
              </w:rPr>
              <w:t>Joku pääsee tahallisesti häiritsemään matkustajakuulutuksia tai informaationäyttöjä.</w:t>
            </w:r>
          </w:p>
        </w:tc>
        <w:tc>
          <w:tcPr>
            <w:tcW w:w="3210" w:type="dxa"/>
            <w:shd w:val="clear" w:color="auto" w:fill="auto"/>
          </w:tcPr>
          <w:p w14:paraId="1A5A87CA" w14:textId="77777777" w:rsidR="00664820" w:rsidRPr="00034E29" w:rsidRDefault="0E054CB5" w:rsidP="00507BB8">
            <w:pPr>
              <w:rPr>
                <w:sz w:val="20"/>
                <w:szCs w:val="20"/>
              </w:rPr>
            </w:pPr>
            <w:r w:rsidRPr="00034E29">
              <w:rPr>
                <w:sz w:val="20"/>
                <w:szCs w:val="20"/>
              </w:rPr>
              <w:t>Rataverkon haltijat, rautatieliikenteen harjoittajat</w:t>
            </w:r>
          </w:p>
        </w:tc>
      </w:tr>
      <w:tr w:rsidR="00664820" w:rsidRPr="00664820" w14:paraId="404D7CE8" w14:textId="77777777" w:rsidTr="00034E29">
        <w:tc>
          <w:tcPr>
            <w:tcW w:w="3043" w:type="dxa"/>
            <w:shd w:val="clear" w:color="auto" w:fill="E2EFD9" w:themeFill="accent6" w:themeFillTint="33"/>
          </w:tcPr>
          <w:p w14:paraId="1ED6ACDE" w14:textId="02699355" w:rsidR="00664820" w:rsidRPr="00034E29" w:rsidRDefault="0E054CB5" w:rsidP="00507BB8">
            <w:pPr>
              <w:rPr>
                <w:b/>
                <w:bCs/>
                <w:sz w:val="20"/>
                <w:szCs w:val="20"/>
              </w:rPr>
            </w:pPr>
            <w:r w:rsidRPr="00034E29">
              <w:rPr>
                <w:b/>
                <w:bCs/>
                <w:sz w:val="20"/>
                <w:szCs w:val="20"/>
              </w:rPr>
              <w:t>Komponentteihin liittyvät riskit</w:t>
            </w:r>
          </w:p>
        </w:tc>
        <w:tc>
          <w:tcPr>
            <w:tcW w:w="3209" w:type="dxa"/>
            <w:shd w:val="clear" w:color="auto" w:fill="E2EFD9" w:themeFill="accent6" w:themeFillTint="33"/>
          </w:tcPr>
          <w:p w14:paraId="2CB274E0" w14:textId="77777777" w:rsidR="00664820" w:rsidRPr="00034E29" w:rsidRDefault="0E054CB5" w:rsidP="00507BB8">
            <w:pPr>
              <w:rPr>
                <w:sz w:val="20"/>
                <w:szCs w:val="20"/>
              </w:rPr>
            </w:pPr>
            <w:r w:rsidRPr="00034E29">
              <w:rPr>
                <w:sz w:val="20"/>
                <w:szCs w:val="20"/>
              </w:rPr>
              <w:t>Komponenttiin (esim. mikrosirut ja puhelimet) sisällytetään tahallisesti tekijä, joka aiheuttaa häiriöitä myös komponentin ulkopuolelle.</w:t>
            </w:r>
          </w:p>
        </w:tc>
        <w:tc>
          <w:tcPr>
            <w:tcW w:w="3210" w:type="dxa"/>
            <w:shd w:val="clear" w:color="auto" w:fill="E2EFD9" w:themeFill="accent6" w:themeFillTint="33"/>
          </w:tcPr>
          <w:p w14:paraId="553A8001" w14:textId="77777777" w:rsidR="00664820" w:rsidRPr="00034E29" w:rsidRDefault="0E054CB5" w:rsidP="00507BB8">
            <w:pPr>
              <w:rPr>
                <w:sz w:val="20"/>
                <w:szCs w:val="20"/>
              </w:rPr>
            </w:pPr>
            <w:r w:rsidRPr="00034E29">
              <w:rPr>
                <w:sz w:val="20"/>
                <w:szCs w:val="20"/>
              </w:rPr>
              <w:t>Liikenteenohjaus, rautatieliikenteen harjoittajat (kalusto)</w:t>
            </w:r>
          </w:p>
        </w:tc>
      </w:tr>
      <w:tr w:rsidR="00664820" w:rsidRPr="00664820" w14:paraId="2B0CC0CA" w14:textId="77777777" w:rsidTr="00034E29">
        <w:tc>
          <w:tcPr>
            <w:tcW w:w="3043" w:type="dxa"/>
            <w:shd w:val="clear" w:color="auto" w:fill="auto"/>
          </w:tcPr>
          <w:p w14:paraId="77BDA240" w14:textId="77777777" w:rsidR="00664820" w:rsidRPr="00034E29" w:rsidRDefault="0E054CB5" w:rsidP="00507BB8">
            <w:pPr>
              <w:rPr>
                <w:b/>
                <w:bCs/>
                <w:sz w:val="20"/>
                <w:szCs w:val="20"/>
              </w:rPr>
            </w:pPr>
            <w:r w:rsidRPr="00034E29">
              <w:rPr>
                <w:b/>
                <w:bCs/>
                <w:sz w:val="20"/>
                <w:szCs w:val="20"/>
              </w:rPr>
              <w:t xml:space="preserve">Laitteiden </w:t>
            </w:r>
            <w:proofErr w:type="spellStart"/>
            <w:r w:rsidRPr="00034E29">
              <w:rPr>
                <w:b/>
                <w:bCs/>
                <w:sz w:val="20"/>
                <w:szCs w:val="20"/>
              </w:rPr>
              <w:t>yhteentoimivuusriskit</w:t>
            </w:r>
            <w:proofErr w:type="spellEnd"/>
          </w:p>
        </w:tc>
        <w:tc>
          <w:tcPr>
            <w:tcW w:w="3209" w:type="dxa"/>
            <w:shd w:val="clear" w:color="auto" w:fill="auto"/>
          </w:tcPr>
          <w:p w14:paraId="41066683" w14:textId="76FA2840" w:rsidR="00664820" w:rsidRPr="00034E29" w:rsidRDefault="0E054CB5" w:rsidP="00507BB8">
            <w:pPr>
              <w:rPr>
                <w:sz w:val="20"/>
                <w:szCs w:val="20"/>
              </w:rPr>
            </w:pPr>
            <w:r w:rsidRPr="00034E29">
              <w:rPr>
                <w:sz w:val="20"/>
                <w:szCs w:val="20"/>
              </w:rPr>
              <w:t>Kulunvalvontalaitteiden yhteensopivuus häiriintyy esimerkiksi ohjelmistojen päivityksistä tai huonosti suunnitelluista kehityshankkeista johtuen.</w:t>
            </w:r>
          </w:p>
        </w:tc>
        <w:tc>
          <w:tcPr>
            <w:tcW w:w="3210" w:type="dxa"/>
            <w:shd w:val="clear" w:color="auto" w:fill="auto"/>
          </w:tcPr>
          <w:p w14:paraId="2D9793C5" w14:textId="77777777" w:rsidR="00664820" w:rsidRPr="00034E29" w:rsidRDefault="0E054CB5" w:rsidP="00507BB8">
            <w:pPr>
              <w:rPr>
                <w:sz w:val="20"/>
                <w:szCs w:val="20"/>
              </w:rPr>
            </w:pPr>
            <w:r w:rsidRPr="00034E29">
              <w:rPr>
                <w:sz w:val="20"/>
                <w:szCs w:val="20"/>
              </w:rPr>
              <w:t>Liikenteenohjaus, rataverkon haltija, rautatieliikenteen harjoittajat</w:t>
            </w:r>
          </w:p>
        </w:tc>
      </w:tr>
      <w:tr w:rsidR="00664820" w:rsidRPr="00664820" w14:paraId="397708EE" w14:textId="77777777" w:rsidTr="00034E29">
        <w:tc>
          <w:tcPr>
            <w:tcW w:w="3043" w:type="dxa"/>
            <w:shd w:val="clear" w:color="auto" w:fill="E2EFD9" w:themeFill="accent6" w:themeFillTint="33"/>
          </w:tcPr>
          <w:p w14:paraId="234CBF28" w14:textId="77777777" w:rsidR="00664820" w:rsidRPr="00034E29" w:rsidRDefault="0E054CB5" w:rsidP="00507BB8">
            <w:pPr>
              <w:rPr>
                <w:b/>
                <w:bCs/>
                <w:sz w:val="20"/>
                <w:szCs w:val="20"/>
              </w:rPr>
            </w:pPr>
            <w:r w:rsidRPr="00034E29">
              <w:rPr>
                <w:b/>
                <w:bCs/>
                <w:sz w:val="20"/>
                <w:szCs w:val="20"/>
              </w:rPr>
              <w:t xml:space="preserve">Liikkuvan kaluston kyberriskit </w:t>
            </w:r>
          </w:p>
        </w:tc>
        <w:tc>
          <w:tcPr>
            <w:tcW w:w="3209" w:type="dxa"/>
            <w:shd w:val="clear" w:color="auto" w:fill="E2EFD9" w:themeFill="accent6" w:themeFillTint="33"/>
          </w:tcPr>
          <w:p w14:paraId="524E16BB" w14:textId="77777777" w:rsidR="00664820" w:rsidRPr="00034E29" w:rsidRDefault="0E054CB5" w:rsidP="00507BB8">
            <w:pPr>
              <w:rPr>
                <w:sz w:val="20"/>
                <w:szCs w:val="20"/>
              </w:rPr>
            </w:pPr>
            <w:r w:rsidRPr="00034E29">
              <w:rPr>
                <w:sz w:val="20"/>
                <w:szCs w:val="20"/>
              </w:rPr>
              <w:t>Liikkuvan kaluston kulunvalvontaa tai muita toimintoja häiritään siten, että kaluston käyttäminen ei ole turvallista.</w:t>
            </w:r>
          </w:p>
        </w:tc>
        <w:tc>
          <w:tcPr>
            <w:tcW w:w="3210" w:type="dxa"/>
            <w:shd w:val="clear" w:color="auto" w:fill="E2EFD9" w:themeFill="accent6" w:themeFillTint="33"/>
          </w:tcPr>
          <w:p w14:paraId="18CADC6D" w14:textId="77777777" w:rsidR="00664820" w:rsidRPr="00034E29" w:rsidRDefault="0E054CB5" w:rsidP="00507BB8">
            <w:pPr>
              <w:rPr>
                <w:sz w:val="20"/>
                <w:szCs w:val="20"/>
              </w:rPr>
            </w:pPr>
            <w:r w:rsidRPr="00034E29">
              <w:rPr>
                <w:sz w:val="20"/>
                <w:szCs w:val="20"/>
              </w:rPr>
              <w:t>Rautatieliikenteen harjoittajat, kaluston kunnossapitäjät</w:t>
            </w:r>
          </w:p>
        </w:tc>
      </w:tr>
      <w:tr w:rsidR="00664820" w:rsidRPr="00664820" w14:paraId="376BF8FF" w14:textId="77777777" w:rsidTr="00034E29">
        <w:tc>
          <w:tcPr>
            <w:tcW w:w="3043" w:type="dxa"/>
            <w:shd w:val="clear" w:color="auto" w:fill="auto"/>
          </w:tcPr>
          <w:p w14:paraId="269E694E" w14:textId="77777777" w:rsidR="00664820" w:rsidRPr="00034E29" w:rsidRDefault="0E054CB5" w:rsidP="00507BB8">
            <w:pPr>
              <w:rPr>
                <w:b/>
                <w:bCs/>
                <w:sz w:val="20"/>
                <w:szCs w:val="20"/>
              </w:rPr>
            </w:pPr>
            <w:r w:rsidRPr="00034E29">
              <w:rPr>
                <w:b/>
                <w:bCs/>
                <w:sz w:val="20"/>
                <w:szCs w:val="20"/>
              </w:rPr>
              <w:t>Järjestelmien kaappaus</w:t>
            </w:r>
          </w:p>
        </w:tc>
        <w:tc>
          <w:tcPr>
            <w:tcW w:w="3209" w:type="dxa"/>
            <w:shd w:val="clear" w:color="auto" w:fill="auto"/>
          </w:tcPr>
          <w:p w14:paraId="263A9CD2" w14:textId="00146DD9" w:rsidR="00664820" w:rsidRPr="00034E29" w:rsidRDefault="0E054CB5" w:rsidP="00507BB8">
            <w:pPr>
              <w:rPr>
                <w:sz w:val="20"/>
                <w:szCs w:val="20"/>
              </w:rPr>
            </w:pPr>
            <w:r w:rsidRPr="00034E29">
              <w:rPr>
                <w:sz w:val="20"/>
                <w:szCs w:val="20"/>
              </w:rPr>
              <w:t>Järjestelmien toiminta häiriintyy tai on pakko keskeyttää turvallisuuden varmistamiseksi</w:t>
            </w:r>
          </w:p>
        </w:tc>
        <w:tc>
          <w:tcPr>
            <w:tcW w:w="3210" w:type="dxa"/>
            <w:shd w:val="clear" w:color="auto" w:fill="auto"/>
          </w:tcPr>
          <w:p w14:paraId="319EE2B5" w14:textId="77777777" w:rsidR="00664820" w:rsidRPr="00034E29" w:rsidRDefault="0E054CB5" w:rsidP="00507BB8">
            <w:pPr>
              <w:rPr>
                <w:sz w:val="20"/>
                <w:szCs w:val="20"/>
              </w:rPr>
            </w:pPr>
            <w:r w:rsidRPr="00034E29">
              <w:rPr>
                <w:sz w:val="20"/>
                <w:szCs w:val="20"/>
              </w:rPr>
              <w:t>Kaikki raideliikenteen toimijat</w:t>
            </w:r>
          </w:p>
        </w:tc>
      </w:tr>
      <w:tr w:rsidR="00664820" w:rsidRPr="00664820" w14:paraId="2967CDCD" w14:textId="77777777" w:rsidTr="00034E29">
        <w:tc>
          <w:tcPr>
            <w:tcW w:w="3043" w:type="dxa"/>
            <w:shd w:val="clear" w:color="auto" w:fill="E2EFD9" w:themeFill="accent6" w:themeFillTint="33"/>
          </w:tcPr>
          <w:p w14:paraId="443C0DCD" w14:textId="77777777" w:rsidR="00664820" w:rsidRPr="00034E29" w:rsidRDefault="0E054CB5" w:rsidP="00507BB8">
            <w:pPr>
              <w:rPr>
                <w:b/>
                <w:bCs/>
                <w:sz w:val="20"/>
                <w:szCs w:val="20"/>
              </w:rPr>
            </w:pPr>
            <w:r w:rsidRPr="00034E29">
              <w:rPr>
                <w:b/>
                <w:bCs/>
                <w:sz w:val="20"/>
                <w:szCs w:val="20"/>
              </w:rPr>
              <w:t>Henkilökunnasta johtuvat riskit</w:t>
            </w:r>
          </w:p>
        </w:tc>
        <w:tc>
          <w:tcPr>
            <w:tcW w:w="3209" w:type="dxa"/>
            <w:shd w:val="clear" w:color="auto" w:fill="E2EFD9" w:themeFill="accent6" w:themeFillTint="33"/>
          </w:tcPr>
          <w:p w14:paraId="4EEA5008" w14:textId="76BD98F6" w:rsidR="00664820" w:rsidRPr="00034E29" w:rsidRDefault="0E054CB5" w:rsidP="00507BB8">
            <w:pPr>
              <w:rPr>
                <w:sz w:val="20"/>
                <w:szCs w:val="20"/>
              </w:rPr>
            </w:pPr>
            <w:r w:rsidRPr="00034E29">
              <w:rPr>
                <w:sz w:val="20"/>
                <w:szCs w:val="20"/>
              </w:rPr>
              <w:t>Henkilökunta, tai aiemmin henkilökuntaan kuulunut, aiheuttaa joko tahallisesti tai osaamattomuuttaan häiriöitä järjestelmille.</w:t>
            </w:r>
          </w:p>
        </w:tc>
        <w:tc>
          <w:tcPr>
            <w:tcW w:w="3210" w:type="dxa"/>
            <w:shd w:val="clear" w:color="auto" w:fill="E2EFD9" w:themeFill="accent6" w:themeFillTint="33"/>
          </w:tcPr>
          <w:p w14:paraId="0E0D2597" w14:textId="77777777" w:rsidR="00664820" w:rsidRPr="00034E29" w:rsidRDefault="0E054CB5" w:rsidP="00507BB8">
            <w:pPr>
              <w:rPr>
                <w:sz w:val="20"/>
                <w:szCs w:val="20"/>
              </w:rPr>
            </w:pPr>
            <w:r w:rsidRPr="00034E29">
              <w:rPr>
                <w:sz w:val="20"/>
                <w:szCs w:val="20"/>
              </w:rPr>
              <w:t>Kaikki raideliikenteen toimijat</w:t>
            </w:r>
          </w:p>
        </w:tc>
      </w:tr>
      <w:tr w:rsidR="00664820" w:rsidRPr="00664820" w14:paraId="6890ACC9" w14:textId="77777777" w:rsidTr="00034E29">
        <w:tc>
          <w:tcPr>
            <w:tcW w:w="3043" w:type="dxa"/>
            <w:shd w:val="clear" w:color="auto" w:fill="auto"/>
          </w:tcPr>
          <w:p w14:paraId="0E4EF0F1" w14:textId="77777777" w:rsidR="00664820" w:rsidRPr="00034E29" w:rsidRDefault="0E054CB5" w:rsidP="00507BB8">
            <w:pPr>
              <w:rPr>
                <w:b/>
                <w:bCs/>
                <w:sz w:val="20"/>
                <w:szCs w:val="20"/>
              </w:rPr>
            </w:pPr>
            <w:r w:rsidRPr="00034E29">
              <w:rPr>
                <w:b/>
                <w:bCs/>
                <w:sz w:val="20"/>
                <w:szCs w:val="20"/>
              </w:rPr>
              <w:t>Alihankkijoista johtuvat riskit</w:t>
            </w:r>
          </w:p>
        </w:tc>
        <w:tc>
          <w:tcPr>
            <w:tcW w:w="3209" w:type="dxa"/>
            <w:shd w:val="clear" w:color="auto" w:fill="auto"/>
          </w:tcPr>
          <w:p w14:paraId="057DFB43" w14:textId="77777777" w:rsidR="00664820" w:rsidRPr="00034E29" w:rsidRDefault="0E054CB5" w:rsidP="00507BB8">
            <w:pPr>
              <w:rPr>
                <w:sz w:val="20"/>
                <w:szCs w:val="20"/>
              </w:rPr>
            </w:pPr>
            <w:r w:rsidRPr="00034E29">
              <w:rPr>
                <w:sz w:val="20"/>
                <w:szCs w:val="20"/>
              </w:rPr>
              <w:t>Kuten edellä, mutta toimijana alihankkija.</w:t>
            </w:r>
          </w:p>
        </w:tc>
        <w:tc>
          <w:tcPr>
            <w:tcW w:w="3210" w:type="dxa"/>
            <w:shd w:val="clear" w:color="auto" w:fill="auto"/>
          </w:tcPr>
          <w:p w14:paraId="4D1CE52C" w14:textId="77777777" w:rsidR="00664820" w:rsidRPr="00034E29" w:rsidRDefault="0E054CB5" w:rsidP="00507BB8">
            <w:pPr>
              <w:rPr>
                <w:sz w:val="20"/>
                <w:szCs w:val="20"/>
              </w:rPr>
            </w:pPr>
            <w:r w:rsidRPr="00034E29">
              <w:rPr>
                <w:sz w:val="20"/>
                <w:szCs w:val="20"/>
              </w:rPr>
              <w:t>Kaikki alihankintaa hyödyntävät raideliikenteen toimijat</w:t>
            </w:r>
          </w:p>
        </w:tc>
      </w:tr>
      <w:tr w:rsidR="00664820" w:rsidRPr="00664820" w14:paraId="2D5C060A" w14:textId="77777777" w:rsidTr="00034E29">
        <w:trPr>
          <w:trHeight w:val="483"/>
        </w:trPr>
        <w:tc>
          <w:tcPr>
            <w:tcW w:w="3043" w:type="dxa"/>
            <w:shd w:val="clear" w:color="auto" w:fill="E2EFD9" w:themeFill="accent6" w:themeFillTint="33"/>
          </w:tcPr>
          <w:p w14:paraId="11419921" w14:textId="5F7B8526" w:rsidR="00664820" w:rsidRPr="00034E29" w:rsidRDefault="0E054CB5" w:rsidP="00507BB8">
            <w:pPr>
              <w:rPr>
                <w:b/>
                <w:bCs/>
                <w:sz w:val="20"/>
                <w:szCs w:val="20"/>
              </w:rPr>
            </w:pPr>
            <w:r w:rsidRPr="00034E29">
              <w:rPr>
                <w:b/>
                <w:bCs/>
                <w:sz w:val="20"/>
                <w:szCs w:val="20"/>
              </w:rPr>
              <w:t xml:space="preserve">Palveluiden käyttäjistä johtuvat </w:t>
            </w:r>
            <w:r w:rsidR="51BC3758" w:rsidRPr="00034E29">
              <w:br/>
            </w:r>
            <w:r w:rsidRPr="00034E29">
              <w:rPr>
                <w:b/>
                <w:bCs/>
                <w:sz w:val="20"/>
                <w:szCs w:val="20"/>
              </w:rPr>
              <w:t>riskit</w:t>
            </w:r>
          </w:p>
        </w:tc>
        <w:tc>
          <w:tcPr>
            <w:tcW w:w="3209" w:type="dxa"/>
            <w:shd w:val="clear" w:color="auto" w:fill="E2EFD9" w:themeFill="accent6" w:themeFillTint="33"/>
          </w:tcPr>
          <w:p w14:paraId="1C9C2F01" w14:textId="77777777" w:rsidR="00664820" w:rsidRPr="00034E29" w:rsidRDefault="0E054CB5" w:rsidP="00507BB8">
            <w:pPr>
              <w:rPr>
                <w:sz w:val="20"/>
                <w:szCs w:val="20"/>
              </w:rPr>
            </w:pPr>
            <w:r w:rsidRPr="00034E29">
              <w:rPr>
                <w:sz w:val="20"/>
                <w:szCs w:val="20"/>
              </w:rPr>
              <w:t>Kuten edellä, mutta toimijana palvelun käyttäjä.</w:t>
            </w:r>
          </w:p>
        </w:tc>
        <w:tc>
          <w:tcPr>
            <w:tcW w:w="3210" w:type="dxa"/>
            <w:shd w:val="clear" w:color="auto" w:fill="E2EFD9" w:themeFill="accent6" w:themeFillTint="33"/>
          </w:tcPr>
          <w:p w14:paraId="2EC3ECB1" w14:textId="77777777" w:rsidR="00664820" w:rsidRPr="00034E29" w:rsidRDefault="0E054CB5" w:rsidP="00507BB8">
            <w:pPr>
              <w:rPr>
                <w:sz w:val="20"/>
                <w:szCs w:val="20"/>
              </w:rPr>
            </w:pPr>
            <w:r w:rsidRPr="00034E29">
              <w:rPr>
                <w:sz w:val="20"/>
                <w:szCs w:val="20"/>
              </w:rPr>
              <w:t>Kaikki palveluja tarjoavat raideliikenteen toimijat</w:t>
            </w:r>
          </w:p>
        </w:tc>
      </w:tr>
    </w:tbl>
    <w:p w14:paraId="3E6068E7" w14:textId="77E46082" w:rsidR="00664820" w:rsidRPr="002A4061" w:rsidRDefault="00664820" w:rsidP="00507BB8">
      <w:pPr>
        <w:rPr>
          <w:i/>
          <w:iCs/>
        </w:rPr>
      </w:pPr>
      <w:r w:rsidRPr="0E054CB5">
        <w:rPr>
          <w:i/>
          <w:iCs/>
        </w:rPr>
        <w:t>Taulukko 4. Esimerkkejä raideliikenteen kyberuhista</w:t>
      </w:r>
      <w:r>
        <w:rPr>
          <w:i/>
        </w:rPr>
        <w:tab/>
      </w:r>
    </w:p>
    <w:p w14:paraId="7B2F5DE1" w14:textId="366F8930" w:rsidR="00B6290B" w:rsidRDefault="0E054CB5" w:rsidP="00507BB8">
      <w:pPr>
        <w:jc w:val="both"/>
      </w:pPr>
      <w:r w:rsidRPr="00034E29">
        <w:t xml:space="preserve">Kyberturvallisuusskenaarioiden yksityiskohtaisessa tarkastelussa ja analysoinnissa voidaan käyttää esimerkiksi ns. </w:t>
      </w:r>
      <w:proofErr w:type="spellStart"/>
      <w:r w:rsidRPr="00034E29">
        <w:t>Bowtie</w:t>
      </w:r>
      <w:proofErr w:type="spellEnd"/>
      <w:r w:rsidRPr="00034E29">
        <w:t xml:space="preserve">-mallia. Seuraavassa taulukossa esitetään esimerkkejä </w:t>
      </w:r>
      <w:proofErr w:type="spellStart"/>
      <w:r w:rsidRPr="00034E29">
        <w:t>Bowtie</w:t>
      </w:r>
      <w:proofErr w:type="spellEnd"/>
      <w:r w:rsidRPr="00034E29">
        <w:t>-mallin avulla työstetyistä yksittäisistä kyberturvallisuustapahtumista.</w:t>
      </w:r>
      <w:r>
        <w:t xml:space="preserve"> Samalla taulukot toimivat esimerkkeinä toiminnoista, jotka voivat aikaansaada kyberturvallisuustapahtuman, miten tapahtumilta voidaan jo etukäteen suojautua ja jos tapahtuma suojauksesta huolimatta tapahtuu, mitkä ovat sen palauttavat suojaukset ja seuraukset.</w:t>
      </w:r>
      <w:r w:rsidRPr="0E054CB5">
        <w:rPr>
          <w:color w:val="FF0000"/>
        </w:rPr>
        <w:t xml:space="preserve"> </w:t>
      </w:r>
    </w:p>
    <w:p w14:paraId="16580B33" w14:textId="43782E0C" w:rsidR="00EF2E21" w:rsidRDefault="0E054CB5" w:rsidP="00507BB8">
      <w:pPr>
        <w:jc w:val="both"/>
      </w:pPr>
      <w:r>
        <w:t xml:space="preserve">Esimerkit on laadittu Traficomin 11.3.2020 järjestämässä raideliikenteen kyberturvallisuustyöpajassa sen testaamiseksi, voisiko </w:t>
      </w:r>
      <w:proofErr w:type="spellStart"/>
      <w:r>
        <w:t>Bowtie</w:t>
      </w:r>
      <w:proofErr w:type="spellEnd"/>
      <w:r>
        <w:t xml:space="preserve">-mallista olla hyötyä kyberturvallisuustapahtumien tarkemmassa tarkastelussa ja sen hahmottamisessa, mitä kaikkia riippuvuuksia yksittäiseen tapahtumaan voi liittyä. </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64820" w14:paraId="2E392B48" w14:textId="77777777" w:rsidTr="0E054CB5">
        <w:tc>
          <w:tcPr>
            <w:tcW w:w="9628" w:type="dxa"/>
            <w:gridSpan w:val="6"/>
            <w:shd w:val="clear" w:color="auto" w:fill="C5E0B3" w:themeFill="accent6" w:themeFillTint="66"/>
          </w:tcPr>
          <w:p w14:paraId="55BF7D5D" w14:textId="43B916D9" w:rsidR="00664820" w:rsidRPr="009E0847" w:rsidRDefault="0E054CB5" w:rsidP="00507BB8">
            <w:pPr>
              <w:rPr>
                <w:b/>
                <w:bCs/>
              </w:rPr>
            </w:pPr>
            <w:r w:rsidRPr="0E054CB5">
              <w:rPr>
                <w:b/>
                <w:bCs/>
              </w:rPr>
              <w:t>JUNAN KULKU</w:t>
            </w:r>
          </w:p>
        </w:tc>
      </w:tr>
      <w:tr w:rsidR="00664820" w14:paraId="0DD0EBCF" w14:textId="77777777" w:rsidTr="0E054CB5">
        <w:tc>
          <w:tcPr>
            <w:tcW w:w="1604" w:type="dxa"/>
            <w:shd w:val="clear" w:color="auto" w:fill="E2EFD9" w:themeFill="accent6" w:themeFillTint="33"/>
          </w:tcPr>
          <w:p w14:paraId="623E4278" w14:textId="58E1A7AA" w:rsidR="00664820" w:rsidRPr="009E0847" w:rsidRDefault="0E054CB5" w:rsidP="00507BB8">
            <w:pPr>
              <w:rPr>
                <w:b/>
                <w:bCs/>
                <w:sz w:val="18"/>
                <w:szCs w:val="18"/>
              </w:rPr>
            </w:pPr>
            <w:r w:rsidRPr="0E054CB5">
              <w:rPr>
                <w:b/>
                <w:bCs/>
                <w:sz w:val="18"/>
                <w:szCs w:val="18"/>
              </w:rPr>
              <w:t>Toiminto</w:t>
            </w:r>
          </w:p>
        </w:tc>
        <w:tc>
          <w:tcPr>
            <w:tcW w:w="1604" w:type="dxa"/>
            <w:shd w:val="clear" w:color="auto" w:fill="E2EFD9" w:themeFill="accent6" w:themeFillTint="33"/>
          </w:tcPr>
          <w:p w14:paraId="638184DA" w14:textId="4817070F" w:rsidR="00664820" w:rsidRPr="009E0847" w:rsidRDefault="0E054CB5" w:rsidP="00507BB8">
            <w:pPr>
              <w:rPr>
                <w:b/>
                <w:bCs/>
                <w:sz w:val="18"/>
                <w:szCs w:val="18"/>
              </w:rPr>
            </w:pPr>
            <w:r w:rsidRPr="0E054CB5">
              <w:rPr>
                <w:b/>
                <w:bCs/>
                <w:sz w:val="18"/>
                <w:szCs w:val="18"/>
              </w:rPr>
              <w:t>Käynnistävä tekijä</w:t>
            </w:r>
          </w:p>
        </w:tc>
        <w:tc>
          <w:tcPr>
            <w:tcW w:w="1605" w:type="dxa"/>
            <w:shd w:val="clear" w:color="auto" w:fill="E2EFD9" w:themeFill="accent6" w:themeFillTint="33"/>
          </w:tcPr>
          <w:p w14:paraId="7AD29128" w14:textId="0EB84E75" w:rsidR="00664820" w:rsidRPr="009E0847" w:rsidRDefault="0E054CB5" w:rsidP="00507BB8">
            <w:pPr>
              <w:rPr>
                <w:b/>
                <w:bCs/>
                <w:sz w:val="18"/>
                <w:szCs w:val="18"/>
              </w:rPr>
            </w:pPr>
            <w:r w:rsidRPr="0E054CB5">
              <w:rPr>
                <w:b/>
                <w:bCs/>
                <w:sz w:val="18"/>
                <w:szCs w:val="18"/>
              </w:rPr>
              <w:t>Tapahtuma/vaaratilanne</w:t>
            </w:r>
          </w:p>
        </w:tc>
        <w:tc>
          <w:tcPr>
            <w:tcW w:w="1605" w:type="dxa"/>
            <w:shd w:val="clear" w:color="auto" w:fill="E2EFD9" w:themeFill="accent6" w:themeFillTint="33"/>
          </w:tcPr>
          <w:p w14:paraId="7B17B64C" w14:textId="77777777" w:rsidR="00664820" w:rsidRPr="009E0847" w:rsidRDefault="0E054CB5" w:rsidP="00507BB8">
            <w:pPr>
              <w:rPr>
                <w:b/>
                <w:bCs/>
                <w:sz w:val="18"/>
                <w:szCs w:val="18"/>
              </w:rPr>
            </w:pPr>
            <w:r w:rsidRPr="0E054CB5">
              <w:rPr>
                <w:b/>
                <w:bCs/>
                <w:sz w:val="18"/>
                <w:szCs w:val="18"/>
              </w:rPr>
              <w:t>Estävä tai ennaltaehkäisevä suojaus</w:t>
            </w:r>
          </w:p>
        </w:tc>
        <w:tc>
          <w:tcPr>
            <w:tcW w:w="1605" w:type="dxa"/>
            <w:shd w:val="clear" w:color="auto" w:fill="E2EFD9" w:themeFill="accent6" w:themeFillTint="33"/>
          </w:tcPr>
          <w:p w14:paraId="57B96ABC" w14:textId="77777777" w:rsidR="00664820" w:rsidRDefault="0E054CB5" w:rsidP="00507BB8">
            <w:pPr>
              <w:rPr>
                <w:b/>
                <w:bCs/>
                <w:sz w:val="18"/>
                <w:szCs w:val="18"/>
              </w:rPr>
            </w:pPr>
            <w:r w:rsidRPr="0E054CB5">
              <w:rPr>
                <w:b/>
                <w:bCs/>
                <w:sz w:val="18"/>
                <w:szCs w:val="18"/>
              </w:rPr>
              <w:t xml:space="preserve">Palauttava </w:t>
            </w:r>
          </w:p>
          <w:p w14:paraId="7F408223" w14:textId="77777777" w:rsidR="00664820" w:rsidRPr="009E0847" w:rsidRDefault="0E054CB5" w:rsidP="00507BB8">
            <w:pPr>
              <w:rPr>
                <w:b/>
                <w:bCs/>
                <w:sz w:val="18"/>
                <w:szCs w:val="18"/>
              </w:rPr>
            </w:pPr>
            <w:r w:rsidRPr="0E054CB5">
              <w:rPr>
                <w:b/>
                <w:bCs/>
                <w:sz w:val="18"/>
                <w:szCs w:val="18"/>
              </w:rPr>
              <w:t>suojaus</w:t>
            </w:r>
          </w:p>
        </w:tc>
        <w:tc>
          <w:tcPr>
            <w:tcW w:w="1605" w:type="dxa"/>
            <w:shd w:val="clear" w:color="auto" w:fill="E2EFD9" w:themeFill="accent6" w:themeFillTint="33"/>
          </w:tcPr>
          <w:p w14:paraId="68CD82BB" w14:textId="77777777" w:rsidR="00664820" w:rsidRDefault="0E054CB5" w:rsidP="00507BB8">
            <w:pPr>
              <w:rPr>
                <w:b/>
                <w:bCs/>
                <w:sz w:val="18"/>
                <w:szCs w:val="18"/>
              </w:rPr>
            </w:pPr>
            <w:r w:rsidRPr="0E054CB5">
              <w:rPr>
                <w:b/>
                <w:bCs/>
                <w:sz w:val="18"/>
                <w:szCs w:val="18"/>
              </w:rPr>
              <w:t xml:space="preserve">Tapahtuman </w:t>
            </w:r>
          </w:p>
          <w:p w14:paraId="2F1D3041" w14:textId="77777777" w:rsidR="00664820" w:rsidRPr="009E0847" w:rsidRDefault="0E054CB5" w:rsidP="00507BB8">
            <w:pPr>
              <w:rPr>
                <w:b/>
                <w:bCs/>
                <w:sz w:val="18"/>
                <w:szCs w:val="18"/>
              </w:rPr>
            </w:pPr>
            <w:r w:rsidRPr="0E054CB5">
              <w:rPr>
                <w:b/>
                <w:bCs/>
                <w:sz w:val="18"/>
                <w:szCs w:val="18"/>
              </w:rPr>
              <w:t>seuraus</w:t>
            </w:r>
          </w:p>
        </w:tc>
      </w:tr>
      <w:tr w:rsidR="00664820" w14:paraId="19CD352B" w14:textId="77777777" w:rsidTr="0E054CB5">
        <w:tc>
          <w:tcPr>
            <w:tcW w:w="1604" w:type="dxa"/>
          </w:tcPr>
          <w:p w14:paraId="22F30E89" w14:textId="784D3E78" w:rsidR="00664820" w:rsidRPr="005D406C" w:rsidRDefault="0E054CB5" w:rsidP="00507BB8">
            <w:pPr>
              <w:rPr>
                <w:sz w:val="18"/>
                <w:szCs w:val="18"/>
              </w:rPr>
            </w:pPr>
            <w:r w:rsidRPr="0E054CB5">
              <w:rPr>
                <w:sz w:val="18"/>
                <w:szCs w:val="18"/>
              </w:rPr>
              <w:t>Fyysinen suojaus</w:t>
            </w:r>
          </w:p>
        </w:tc>
        <w:tc>
          <w:tcPr>
            <w:tcW w:w="1604" w:type="dxa"/>
          </w:tcPr>
          <w:p w14:paraId="6181694C" w14:textId="1ECB5BB9" w:rsidR="00664820" w:rsidRPr="005D406C" w:rsidRDefault="0E054CB5" w:rsidP="00507BB8">
            <w:pPr>
              <w:rPr>
                <w:sz w:val="18"/>
                <w:szCs w:val="18"/>
              </w:rPr>
            </w:pPr>
            <w:r w:rsidRPr="0E054CB5">
              <w:rPr>
                <w:sz w:val="18"/>
                <w:szCs w:val="18"/>
              </w:rPr>
              <w:t>Turvalaitetilaan murtautuminen</w:t>
            </w:r>
          </w:p>
        </w:tc>
        <w:tc>
          <w:tcPr>
            <w:tcW w:w="1605" w:type="dxa"/>
            <w:vMerge w:val="restart"/>
          </w:tcPr>
          <w:p w14:paraId="3CB1660C" w14:textId="50946DCF" w:rsidR="00664820" w:rsidRPr="005D406C" w:rsidRDefault="0E054CB5" w:rsidP="00507BB8">
            <w:pPr>
              <w:rPr>
                <w:sz w:val="18"/>
                <w:szCs w:val="18"/>
              </w:rPr>
            </w:pPr>
            <w:r w:rsidRPr="0E054CB5">
              <w:rPr>
                <w:sz w:val="18"/>
                <w:szCs w:val="18"/>
              </w:rPr>
              <w:t>Kauko-ohjauksen lamaantuminen</w:t>
            </w:r>
          </w:p>
        </w:tc>
        <w:tc>
          <w:tcPr>
            <w:tcW w:w="1605" w:type="dxa"/>
            <w:vMerge w:val="restart"/>
          </w:tcPr>
          <w:p w14:paraId="7CA4A13D" w14:textId="77777777" w:rsidR="00664820" w:rsidRPr="005D406C" w:rsidRDefault="0E054CB5" w:rsidP="00507BB8">
            <w:pPr>
              <w:rPr>
                <w:sz w:val="18"/>
                <w:szCs w:val="18"/>
              </w:rPr>
            </w:pPr>
            <w:r w:rsidRPr="0E054CB5">
              <w:rPr>
                <w:sz w:val="18"/>
                <w:szCs w:val="18"/>
              </w:rPr>
              <w:t>Harjoitukset, koulutukset, auditoinnit</w:t>
            </w:r>
          </w:p>
        </w:tc>
        <w:tc>
          <w:tcPr>
            <w:tcW w:w="1605" w:type="dxa"/>
            <w:vMerge w:val="restart"/>
          </w:tcPr>
          <w:p w14:paraId="52CA9AEB" w14:textId="77777777" w:rsidR="00664820" w:rsidRPr="005D406C" w:rsidRDefault="0E054CB5" w:rsidP="00507BB8">
            <w:pPr>
              <w:rPr>
                <w:sz w:val="18"/>
                <w:szCs w:val="18"/>
              </w:rPr>
            </w:pPr>
            <w:r w:rsidRPr="0E054CB5">
              <w:rPr>
                <w:sz w:val="18"/>
                <w:szCs w:val="18"/>
              </w:rPr>
              <w:t xml:space="preserve">Varajärjestelmään turvautuminen, </w:t>
            </w:r>
            <w:r w:rsidR="51BC3758">
              <w:br/>
            </w:r>
            <w:r w:rsidRPr="0E054CB5">
              <w:rPr>
                <w:sz w:val="18"/>
                <w:szCs w:val="18"/>
              </w:rPr>
              <w:t xml:space="preserve">liikenteen </w:t>
            </w:r>
            <w:r w:rsidR="51BC3758">
              <w:br/>
            </w:r>
            <w:r w:rsidRPr="0E054CB5">
              <w:rPr>
                <w:sz w:val="18"/>
                <w:szCs w:val="18"/>
              </w:rPr>
              <w:t>pysäyttäminen tai rajoittaminen</w:t>
            </w:r>
          </w:p>
        </w:tc>
        <w:tc>
          <w:tcPr>
            <w:tcW w:w="1605" w:type="dxa"/>
            <w:vMerge w:val="restart"/>
          </w:tcPr>
          <w:p w14:paraId="41A609A7" w14:textId="77777777" w:rsidR="00664820" w:rsidRPr="005D406C" w:rsidRDefault="0E054CB5" w:rsidP="00507BB8">
            <w:pPr>
              <w:rPr>
                <w:sz w:val="18"/>
                <w:szCs w:val="18"/>
              </w:rPr>
            </w:pPr>
            <w:r w:rsidRPr="0E054CB5">
              <w:rPr>
                <w:sz w:val="18"/>
                <w:szCs w:val="18"/>
              </w:rPr>
              <w:t xml:space="preserve">Junien kulun </w:t>
            </w:r>
            <w:r w:rsidR="51BC3758">
              <w:br/>
            </w:r>
            <w:r w:rsidRPr="0E054CB5">
              <w:rPr>
                <w:sz w:val="18"/>
                <w:szCs w:val="18"/>
              </w:rPr>
              <w:t>estyminen</w:t>
            </w:r>
          </w:p>
        </w:tc>
      </w:tr>
      <w:tr w:rsidR="00664820" w14:paraId="2E653ABD" w14:textId="77777777" w:rsidTr="0E054CB5">
        <w:tc>
          <w:tcPr>
            <w:tcW w:w="1604" w:type="dxa"/>
          </w:tcPr>
          <w:p w14:paraId="707D82DE" w14:textId="362222F4" w:rsidR="00664820" w:rsidRPr="005D406C" w:rsidRDefault="0E054CB5" w:rsidP="00507BB8">
            <w:pPr>
              <w:rPr>
                <w:sz w:val="18"/>
                <w:szCs w:val="18"/>
              </w:rPr>
            </w:pPr>
            <w:r w:rsidRPr="0E054CB5">
              <w:rPr>
                <w:sz w:val="18"/>
                <w:szCs w:val="18"/>
              </w:rPr>
              <w:t>Suojaus</w:t>
            </w:r>
          </w:p>
        </w:tc>
        <w:tc>
          <w:tcPr>
            <w:tcW w:w="1604" w:type="dxa"/>
          </w:tcPr>
          <w:p w14:paraId="1A126D18" w14:textId="53A60C02" w:rsidR="00664820" w:rsidRPr="005D406C" w:rsidRDefault="0E054CB5" w:rsidP="00507BB8">
            <w:pPr>
              <w:rPr>
                <w:sz w:val="18"/>
                <w:szCs w:val="18"/>
              </w:rPr>
            </w:pPr>
            <w:r w:rsidRPr="0E054CB5">
              <w:rPr>
                <w:sz w:val="18"/>
                <w:szCs w:val="18"/>
              </w:rPr>
              <w:t xml:space="preserve">Verkon kautta </w:t>
            </w:r>
            <w:proofErr w:type="spellStart"/>
            <w:r w:rsidRPr="0E054CB5">
              <w:rPr>
                <w:sz w:val="18"/>
                <w:szCs w:val="18"/>
              </w:rPr>
              <w:t>hakkerointi</w:t>
            </w:r>
            <w:proofErr w:type="spellEnd"/>
          </w:p>
        </w:tc>
        <w:tc>
          <w:tcPr>
            <w:tcW w:w="1605" w:type="dxa"/>
            <w:vMerge/>
          </w:tcPr>
          <w:p w14:paraId="4FF001AB" w14:textId="77777777" w:rsidR="00664820" w:rsidRPr="005D406C" w:rsidRDefault="00664820" w:rsidP="00507BB8">
            <w:pPr>
              <w:rPr>
                <w:sz w:val="18"/>
                <w:szCs w:val="18"/>
              </w:rPr>
            </w:pPr>
          </w:p>
        </w:tc>
        <w:tc>
          <w:tcPr>
            <w:tcW w:w="1605" w:type="dxa"/>
            <w:vMerge/>
          </w:tcPr>
          <w:p w14:paraId="457CCFB1" w14:textId="77777777" w:rsidR="00664820" w:rsidRPr="005D406C" w:rsidRDefault="00664820" w:rsidP="00507BB8">
            <w:pPr>
              <w:rPr>
                <w:sz w:val="18"/>
                <w:szCs w:val="18"/>
              </w:rPr>
            </w:pPr>
          </w:p>
        </w:tc>
        <w:tc>
          <w:tcPr>
            <w:tcW w:w="1605" w:type="dxa"/>
            <w:vMerge/>
          </w:tcPr>
          <w:p w14:paraId="60389995" w14:textId="77777777" w:rsidR="00664820" w:rsidRPr="005D406C" w:rsidRDefault="00664820" w:rsidP="00507BB8">
            <w:pPr>
              <w:rPr>
                <w:sz w:val="18"/>
                <w:szCs w:val="18"/>
              </w:rPr>
            </w:pPr>
          </w:p>
        </w:tc>
        <w:tc>
          <w:tcPr>
            <w:tcW w:w="1605" w:type="dxa"/>
            <w:vMerge/>
          </w:tcPr>
          <w:p w14:paraId="7668D2A0" w14:textId="77777777" w:rsidR="00664820" w:rsidRPr="005D406C" w:rsidRDefault="00664820" w:rsidP="00507BB8">
            <w:pPr>
              <w:rPr>
                <w:sz w:val="18"/>
                <w:szCs w:val="18"/>
              </w:rPr>
            </w:pPr>
          </w:p>
        </w:tc>
      </w:tr>
      <w:tr w:rsidR="00664820" w14:paraId="4545A977" w14:textId="77777777" w:rsidTr="0E054CB5">
        <w:tc>
          <w:tcPr>
            <w:tcW w:w="1604" w:type="dxa"/>
          </w:tcPr>
          <w:p w14:paraId="7C8B2CD0" w14:textId="66415E9A" w:rsidR="00664820" w:rsidRPr="005D406C" w:rsidRDefault="0E054CB5" w:rsidP="00507BB8">
            <w:pPr>
              <w:rPr>
                <w:sz w:val="18"/>
                <w:szCs w:val="18"/>
              </w:rPr>
            </w:pPr>
            <w:r w:rsidRPr="0E054CB5">
              <w:rPr>
                <w:sz w:val="18"/>
                <w:szCs w:val="18"/>
              </w:rPr>
              <w:t>Suojaus</w:t>
            </w:r>
          </w:p>
        </w:tc>
        <w:tc>
          <w:tcPr>
            <w:tcW w:w="1604" w:type="dxa"/>
          </w:tcPr>
          <w:p w14:paraId="024324B2" w14:textId="196D5DDF" w:rsidR="00664820" w:rsidRPr="005D406C" w:rsidRDefault="0E054CB5" w:rsidP="00507BB8">
            <w:pPr>
              <w:rPr>
                <w:sz w:val="18"/>
                <w:szCs w:val="18"/>
              </w:rPr>
            </w:pPr>
            <w:r w:rsidRPr="0E054CB5">
              <w:rPr>
                <w:sz w:val="18"/>
                <w:szCs w:val="18"/>
              </w:rPr>
              <w:t>Haittaohjelma</w:t>
            </w:r>
          </w:p>
        </w:tc>
        <w:tc>
          <w:tcPr>
            <w:tcW w:w="1605" w:type="dxa"/>
            <w:vMerge/>
          </w:tcPr>
          <w:p w14:paraId="64E38153" w14:textId="77777777" w:rsidR="00664820" w:rsidRPr="005D406C" w:rsidRDefault="00664820" w:rsidP="00507BB8">
            <w:pPr>
              <w:rPr>
                <w:sz w:val="18"/>
                <w:szCs w:val="18"/>
              </w:rPr>
            </w:pPr>
          </w:p>
        </w:tc>
        <w:tc>
          <w:tcPr>
            <w:tcW w:w="1605" w:type="dxa"/>
            <w:vMerge/>
          </w:tcPr>
          <w:p w14:paraId="06E543FF" w14:textId="77777777" w:rsidR="00664820" w:rsidRPr="005D406C" w:rsidRDefault="00664820" w:rsidP="00507BB8">
            <w:pPr>
              <w:rPr>
                <w:sz w:val="18"/>
                <w:szCs w:val="18"/>
              </w:rPr>
            </w:pPr>
          </w:p>
        </w:tc>
        <w:tc>
          <w:tcPr>
            <w:tcW w:w="1605" w:type="dxa"/>
            <w:vMerge/>
          </w:tcPr>
          <w:p w14:paraId="246E34E7" w14:textId="77777777" w:rsidR="00664820" w:rsidRPr="005D406C" w:rsidRDefault="00664820" w:rsidP="00507BB8">
            <w:pPr>
              <w:rPr>
                <w:sz w:val="18"/>
                <w:szCs w:val="18"/>
              </w:rPr>
            </w:pPr>
          </w:p>
        </w:tc>
        <w:tc>
          <w:tcPr>
            <w:tcW w:w="1605" w:type="dxa"/>
            <w:vMerge w:val="restart"/>
          </w:tcPr>
          <w:p w14:paraId="32F03C4A" w14:textId="77777777" w:rsidR="00664820" w:rsidRPr="005D406C" w:rsidRDefault="0E054CB5" w:rsidP="00507BB8">
            <w:pPr>
              <w:rPr>
                <w:sz w:val="18"/>
                <w:szCs w:val="18"/>
              </w:rPr>
            </w:pPr>
            <w:r w:rsidRPr="0E054CB5">
              <w:rPr>
                <w:sz w:val="18"/>
                <w:szCs w:val="18"/>
              </w:rPr>
              <w:t>Onnettomuus</w:t>
            </w:r>
          </w:p>
        </w:tc>
      </w:tr>
      <w:tr w:rsidR="00664820" w14:paraId="33F5768C" w14:textId="77777777" w:rsidTr="0E054CB5">
        <w:tc>
          <w:tcPr>
            <w:tcW w:w="1604" w:type="dxa"/>
          </w:tcPr>
          <w:p w14:paraId="1C83181E" w14:textId="35909BAA" w:rsidR="00664820" w:rsidRPr="005D406C" w:rsidRDefault="0E054CB5" w:rsidP="00507BB8">
            <w:pPr>
              <w:rPr>
                <w:sz w:val="18"/>
                <w:szCs w:val="18"/>
              </w:rPr>
            </w:pPr>
            <w:r w:rsidRPr="0E054CB5">
              <w:rPr>
                <w:sz w:val="18"/>
                <w:szCs w:val="18"/>
              </w:rPr>
              <w:t>Varajärjestelmä</w:t>
            </w:r>
          </w:p>
        </w:tc>
        <w:tc>
          <w:tcPr>
            <w:tcW w:w="1604" w:type="dxa"/>
          </w:tcPr>
          <w:p w14:paraId="6C41013A" w14:textId="415299DE" w:rsidR="00664820" w:rsidRPr="005D406C" w:rsidRDefault="0E054CB5" w:rsidP="00507BB8">
            <w:pPr>
              <w:rPr>
                <w:sz w:val="18"/>
                <w:szCs w:val="18"/>
              </w:rPr>
            </w:pPr>
            <w:r w:rsidRPr="0E054CB5">
              <w:rPr>
                <w:sz w:val="18"/>
                <w:szCs w:val="18"/>
              </w:rPr>
              <w:t>Varajärjestelmän kaatuminen</w:t>
            </w:r>
          </w:p>
        </w:tc>
        <w:tc>
          <w:tcPr>
            <w:tcW w:w="1605" w:type="dxa"/>
            <w:vMerge/>
          </w:tcPr>
          <w:p w14:paraId="14D8EF1B" w14:textId="77777777" w:rsidR="00664820" w:rsidRPr="005D406C" w:rsidRDefault="00664820" w:rsidP="00507BB8">
            <w:pPr>
              <w:rPr>
                <w:sz w:val="18"/>
                <w:szCs w:val="18"/>
              </w:rPr>
            </w:pPr>
          </w:p>
        </w:tc>
        <w:tc>
          <w:tcPr>
            <w:tcW w:w="1605" w:type="dxa"/>
            <w:vMerge/>
          </w:tcPr>
          <w:p w14:paraId="61599AF9" w14:textId="77777777" w:rsidR="00664820" w:rsidRPr="005D406C" w:rsidRDefault="00664820" w:rsidP="00507BB8">
            <w:pPr>
              <w:rPr>
                <w:sz w:val="18"/>
                <w:szCs w:val="18"/>
              </w:rPr>
            </w:pPr>
          </w:p>
        </w:tc>
        <w:tc>
          <w:tcPr>
            <w:tcW w:w="1605" w:type="dxa"/>
            <w:vMerge/>
          </w:tcPr>
          <w:p w14:paraId="459B3D31" w14:textId="77777777" w:rsidR="00664820" w:rsidRPr="005D406C" w:rsidRDefault="00664820" w:rsidP="00507BB8">
            <w:pPr>
              <w:rPr>
                <w:sz w:val="18"/>
                <w:szCs w:val="18"/>
              </w:rPr>
            </w:pPr>
          </w:p>
        </w:tc>
        <w:tc>
          <w:tcPr>
            <w:tcW w:w="1605" w:type="dxa"/>
            <w:vMerge/>
          </w:tcPr>
          <w:p w14:paraId="6F874881" w14:textId="77777777" w:rsidR="00664820" w:rsidRPr="005D406C" w:rsidRDefault="00664820" w:rsidP="00507BB8">
            <w:pPr>
              <w:rPr>
                <w:sz w:val="18"/>
                <w:szCs w:val="18"/>
              </w:rPr>
            </w:pPr>
          </w:p>
        </w:tc>
      </w:tr>
    </w:tbl>
    <w:p w14:paraId="01AE4459" w14:textId="526A2E66" w:rsidR="000109F5" w:rsidRPr="00507BB8" w:rsidRDefault="00507BB8" w:rsidP="00507BB8">
      <w:pPr>
        <w:rPr>
          <w:i/>
        </w:rPr>
      </w:pPr>
      <w:r w:rsidRPr="00507BB8">
        <w:rPr>
          <w:i/>
        </w:rPr>
        <w:t>Taulukko 5. Esimerkkejä junan kulkuun liittyvien kyberturvallisuustapahtumien tarkastelusta</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64820" w14:paraId="65C1B370" w14:textId="77777777" w:rsidTr="0E054CB5">
        <w:tc>
          <w:tcPr>
            <w:tcW w:w="9628" w:type="dxa"/>
            <w:gridSpan w:val="6"/>
            <w:shd w:val="clear" w:color="auto" w:fill="C5E0B3" w:themeFill="accent6" w:themeFillTint="66"/>
          </w:tcPr>
          <w:p w14:paraId="09AA4FBD" w14:textId="2239C3B0" w:rsidR="00664820" w:rsidRDefault="0E054CB5" w:rsidP="00507BB8">
            <w:r w:rsidRPr="0E054CB5">
              <w:rPr>
                <w:b/>
                <w:bCs/>
              </w:rPr>
              <w:t>KUNNOSSAPITO</w:t>
            </w:r>
          </w:p>
        </w:tc>
      </w:tr>
      <w:tr w:rsidR="00664820" w14:paraId="12C449A2" w14:textId="77777777" w:rsidTr="0E054CB5">
        <w:tc>
          <w:tcPr>
            <w:tcW w:w="1604" w:type="dxa"/>
            <w:shd w:val="clear" w:color="auto" w:fill="E2EFD9" w:themeFill="accent6" w:themeFillTint="33"/>
          </w:tcPr>
          <w:p w14:paraId="530DCF37" w14:textId="77777777" w:rsidR="00664820" w:rsidRDefault="0E054CB5" w:rsidP="00507BB8">
            <w:r w:rsidRPr="0E054CB5">
              <w:rPr>
                <w:b/>
                <w:bCs/>
                <w:sz w:val="18"/>
                <w:szCs w:val="18"/>
              </w:rPr>
              <w:t>Toiminto</w:t>
            </w:r>
          </w:p>
        </w:tc>
        <w:tc>
          <w:tcPr>
            <w:tcW w:w="1604" w:type="dxa"/>
            <w:shd w:val="clear" w:color="auto" w:fill="E2EFD9" w:themeFill="accent6" w:themeFillTint="33"/>
          </w:tcPr>
          <w:p w14:paraId="6CCA61DF" w14:textId="16BD9EEA" w:rsidR="00664820" w:rsidRDefault="0E054CB5" w:rsidP="00507BB8">
            <w:r w:rsidRPr="0E054CB5">
              <w:rPr>
                <w:b/>
                <w:bCs/>
                <w:sz w:val="18"/>
                <w:szCs w:val="18"/>
              </w:rPr>
              <w:t>Käynnistävä tekijä</w:t>
            </w:r>
          </w:p>
        </w:tc>
        <w:tc>
          <w:tcPr>
            <w:tcW w:w="1605" w:type="dxa"/>
            <w:shd w:val="clear" w:color="auto" w:fill="E2EFD9" w:themeFill="accent6" w:themeFillTint="33"/>
          </w:tcPr>
          <w:p w14:paraId="2B19993B" w14:textId="35736494" w:rsidR="00664820" w:rsidRDefault="0E054CB5" w:rsidP="00507BB8">
            <w:r w:rsidRPr="0E054CB5">
              <w:rPr>
                <w:b/>
                <w:bCs/>
                <w:sz w:val="18"/>
                <w:szCs w:val="18"/>
              </w:rPr>
              <w:t>Tapahtuma/vaaratilanne</w:t>
            </w:r>
          </w:p>
        </w:tc>
        <w:tc>
          <w:tcPr>
            <w:tcW w:w="1605" w:type="dxa"/>
            <w:shd w:val="clear" w:color="auto" w:fill="E2EFD9" w:themeFill="accent6" w:themeFillTint="33"/>
          </w:tcPr>
          <w:p w14:paraId="10183198" w14:textId="77777777" w:rsidR="00664820" w:rsidRDefault="0E054CB5" w:rsidP="00507BB8">
            <w:r w:rsidRPr="0E054CB5">
              <w:rPr>
                <w:b/>
                <w:bCs/>
                <w:sz w:val="18"/>
                <w:szCs w:val="18"/>
              </w:rPr>
              <w:t>Estävä tai ennaltaehkäisevä suojaus</w:t>
            </w:r>
          </w:p>
        </w:tc>
        <w:tc>
          <w:tcPr>
            <w:tcW w:w="1605" w:type="dxa"/>
            <w:shd w:val="clear" w:color="auto" w:fill="E2EFD9" w:themeFill="accent6" w:themeFillTint="33"/>
          </w:tcPr>
          <w:p w14:paraId="0B3360CD" w14:textId="77777777" w:rsidR="00664820" w:rsidRDefault="0E054CB5" w:rsidP="00507BB8">
            <w:pPr>
              <w:rPr>
                <w:b/>
                <w:bCs/>
                <w:sz w:val="18"/>
                <w:szCs w:val="18"/>
              </w:rPr>
            </w:pPr>
            <w:r w:rsidRPr="0E054CB5">
              <w:rPr>
                <w:b/>
                <w:bCs/>
                <w:sz w:val="18"/>
                <w:szCs w:val="18"/>
              </w:rPr>
              <w:t>Palauttava</w:t>
            </w:r>
          </w:p>
          <w:p w14:paraId="4D153E03" w14:textId="77777777" w:rsidR="00664820" w:rsidRDefault="0E054CB5" w:rsidP="00507BB8">
            <w:r w:rsidRPr="0E054CB5">
              <w:rPr>
                <w:b/>
                <w:bCs/>
                <w:sz w:val="18"/>
                <w:szCs w:val="18"/>
              </w:rPr>
              <w:t>suojaus</w:t>
            </w:r>
          </w:p>
        </w:tc>
        <w:tc>
          <w:tcPr>
            <w:tcW w:w="1605" w:type="dxa"/>
            <w:shd w:val="clear" w:color="auto" w:fill="E2EFD9" w:themeFill="accent6" w:themeFillTint="33"/>
          </w:tcPr>
          <w:p w14:paraId="42F8D301" w14:textId="77777777" w:rsidR="00664820" w:rsidRDefault="0E054CB5" w:rsidP="00507BB8">
            <w:pPr>
              <w:rPr>
                <w:b/>
                <w:bCs/>
                <w:sz w:val="18"/>
                <w:szCs w:val="18"/>
              </w:rPr>
            </w:pPr>
            <w:r w:rsidRPr="0E054CB5">
              <w:rPr>
                <w:b/>
                <w:bCs/>
                <w:sz w:val="18"/>
                <w:szCs w:val="18"/>
              </w:rPr>
              <w:t>Tapahtuman</w:t>
            </w:r>
          </w:p>
          <w:p w14:paraId="5EC3A600" w14:textId="77777777" w:rsidR="00664820" w:rsidRDefault="0E054CB5" w:rsidP="00507BB8">
            <w:r w:rsidRPr="0E054CB5">
              <w:rPr>
                <w:b/>
                <w:bCs/>
                <w:sz w:val="18"/>
                <w:szCs w:val="18"/>
              </w:rPr>
              <w:t>seuraus</w:t>
            </w:r>
          </w:p>
        </w:tc>
      </w:tr>
      <w:tr w:rsidR="00664820" w14:paraId="0B6D1CED" w14:textId="77777777" w:rsidTr="0E054CB5">
        <w:tc>
          <w:tcPr>
            <w:tcW w:w="1604" w:type="dxa"/>
          </w:tcPr>
          <w:p w14:paraId="0F499A74" w14:textId="77777777" w:rsidR="00664820" w:rsidRPr="009E0847" w:rsidRDefault="0E054CB5" w:rsidP="00507BB8">
            <w:pPr>
              <w:rPr>
                <w:sz w:val="18"/>
                <w:szCs w:val="18"/>
              </w:rPr>
            </w:pPr>
            <w:r w:rsidRPr="0E054CB5">
              <w:rPr>
                <w:sz w:val="18"/>
                <w:szCs w:val="18"/>
              </w:rPr>
              <w:t>Sopimusongelma</w:t>
            </w:r>
          </w:p>
        </w:tc>
        <w:tc>
          <w:tcPr>
            <w:tcW w:w="1604" w:type="dxa"/>
          </w:tcPr>
          <w:p w14:paraId="15B71C60" w14:textId="77777777" w:rsidR="00664820" w:rsidRPr="003B5626" w:rsidRDefault="0E054CB5" w:rsidP="00507BB8">
            <w:pPr>
              <w:rPr>
                <w:sz w:val="18"/>
                <w:szCs w:val="18"/>
              </w:rPr>
            </w:pPr>
            <w:r w:rsidRPr="0E054CB5">
              <w:rPr>
                <w:sz w:val="18"/>
                <w:szCs w:val="18"/>
              </w:rPr>
              <w:t>Alihankintasopimus puutteellinen</w:t>
            </w:r>
          </w:p>
        </w:tc>
        <w:tc>
          <w:tcPr>
            <w:tcW w:w="1605" w:type="dxa"/>
            <w:vMerge w:val="restart"/>
          </w:tcPr>
          <w:p w14:paraId="2CC84640" w14:textId="77777777" w:rsidR="00664820" w:rsidRPr="009E0847" w:rsidRDefault="0E054CB5" w:rsidP="00507BB8">
            <w:pPr>
              <w:rPr>
                <w:sz w:val="18"/>
                <w:szCs w:val="18"/>
              </w:rPr>
            </w:pPr>
            <w:r w:rsidRPr="0E054CB5">
              <w:rPr>
                <w:sz w:val="18"/>
                <w:szCs w:val="18"/>
              </w:rPr>
              <w:t>Alihankkija vaikuttaa järjestelmään kunnossapidon yhteydessä</w:t>
            </w:r>
          </w:p>
        </w:tc>
        <w:tc>
          <w:tcPr>
            <w:tcW w:w="1605" w:type="dxa"/>
          </w:tcPr>
          <w:p w14:paraId="1A3BC1A5" w14:textId="77777777" w:rsidR="00664820" w:rsidRPr="009E0847" w:rsidRDefault="0E054CB5" w:rsidP="00507BB8">
            <w:pPr>
              <w:rPr>
                <w:sz w:val="18"/>
                <w:szCs w:val="18"/>
              </w:rPr>
            </w:pPr>
            <w:r w:rsidRPr="0E054CB5">
              <w:rPr>
                <w:sz w:val="18"/>
                <w:szCs w:val="18"/>
              </w:rPr>
              <w:t>Sopimuksen hyvä valmistelu ja päivittäminen tarvittaessa, osaavat sopimusneuvottelijat</w:t>
            </w:r>
          </w:p>
        </w:tc>
        <w:tc>
          <w:tcPr>
            <w:tcW w:w="1605" w:type="dxa"/>
            <w:vMerge w:val="restart"/>
          </w:tcPr>
          <w:p w14:paraId="018099DB" w14:textId="0711DB0E" w:rsidR="00664820" w:rsidRPr="009E0847" w:rsidRDefault="0E054CB5" w:rsidP="00507BB8">
            <w:pPr>
              <w:rPr>
                <w:sz w:val="18"/>
                <w:szCs w:val="18"/>
              </w:rPr>
            </w:pPr>
            <w:r w:rsidRPr="0E054CB5">
              <w:rPr>
                <w:sz w:val="18"/>
                <w:szCs w:val="18"/>
              </w:rPr>
              <w:t>Vahingon aiheuttajan ja syyn poistaminen ja eristäminen, varajärjestelmät kunnossa, vastuut ja työohjeet kunnossa, nopea reagointi virheeseen, viestintätaidot kunnossa</w:t>
            </w:r>
          </w:p>
        </w:tc>
        <w:tc>
          <w:tcPr>
            <w:tcW w:w="1605" w:type="dxa"/>
            <w:vMerge w:val="restart"/>
          </w:tcPr>
          <w:p w14:paraId="3D9B21E7" w14:textId="77777777" w:rsidR="00664820" w:rsidRDefault="0E054CB5" w:rsidP="00507BB8">
            <w:pPr>
              <w:rPr>
                <w:sz w:val="18"/>
                <w:szCs w:val="18"/>
              </w:rPr>
            </w:pPr>
            <w:r w:rsidRPr="0E054CB5">
              <w:rPr>
                <w:sz w:val="18"/>
                <w:szCs w:val="18"/>
              </w:rPr>
              <w:t xml:space="preserve">Järjestelmän </w:t>
            </w:r>
          </w:p>
          <w:p w14:paraId="03706F5E" w14:textId="77777777" w:rsidR="00664820" w:rsidRPr="009E0847" w:rsidRDefault="0E054CB5" w:rsidP="00507BB8">
            <w:pPr>
              <w:rPr>
                <w:sz w:val="18"/>
                <w:szCs w:val="18"/>
              </w:rPr>
            </w:pPr>
            <w:r w:rsidRPr="0E054CB5">
              <w:rPr>
                <w:sz w:val="18"/>
                <w:szCs w:val="18"/>
              </w:rPr>
              <w:t>lamaantuminen</w:t>
            </w:r>
          </w:p>
        </w:tc>
      </w:tr>
      <w:tr w:rsidR="00664820" w14:paraId="18987198" w14:textId="77777777" w:rsidTr="0E054CB5">
        <w:tc>
          <w:tcPr>
            <w:tcW w:w="1604" w:type="dxa"/>
          </w:tcPr>
          <w:p w14:paraId="73FB7747" w14:textId="77777777" w:rsidR="00664820" w:rsidRPr="009E0847" w:rsidRDefault="0E054CB5" w:rsidP="00507BB8">
            <w:pPr>
              <w:rPr>
                <w:sz w:val="18"/>
                <w:szCs w:val="18"/>
              </w:rPr>
            </w:pPr>
            <w:r w:rsidRPr="0E054CB5">
              <w:rPr>
                <w:sz w:val="18"/>
                <w:szCs w:val="18"/>
              </w:rPr>
              <w:t>Sopimusongelma</w:t>
            </w:r>
          </w:p>
        </w:tc>
        <w:tc>
          <w:tcPr>
            <w:tcW w:w="1604" w:type="dxa"/>
          </w:tcPr>
          <w:p w14:paraId="111BCE11" w14:textId="77777777" w:rsidR="00664820" w:rsidRPr="003B5626" w:rsidRDefault="0E054CB5" w:rsidP="00507BB8">
            <w:pPr>
              <w:rPr>
                <w:sz w:val="18"/>
                <w:szCs w:val="18"/>
              </w:rPr>
            </w:pPr>
            <w:r w:rsidRPr="0E054CB5">
              <w:rPr>
                <w:sz w:val="18"/>
                <w:szCs w:val="18"/>
              </w:rPr>
              <w:t>Sopimusrikkomus</w:t>
            </w:r>
          </w:p>
        </w:tc>
        <w:tc>
          <w:tcPr>
            <w:tcW w:w="1605" w:type="dxa"/>
            <w:vMerge/>
          </w:tcPr>
          <w:p w14:paraId="72BD0B9C" w14:textId="77777777" w:rsidR="00664820" w:rsidRPr="009E0847" w:rsidRDefault="00664820" w:rsidP="00507BB8">
            <w:pPr>
              <w:rPr>
                <w:sz w:val="18"/>
                <w:szCs w:val="18"/>
              </w:rPr>
            </w:pPr>
          </w:p>
        </w:tc>
        <w:tc>
          <w:tcPr>
            <w:tcW w:w="1605" w:type="dxa"/>
          </w:tcPr>
          <w:p w14:paraId="59734AAB" w14:textId="77777777" w:rsidR="00664820" w:rsidRPr="009E0847" w:rsidRDefault="0E054CB5" w:rsidP="00507BB8">
            <w:pPr>
              <w:rPr>
                <w:sz w:val="18"/>
                <w:szCs w:val="18"/>
              </w:rPr>
            </w:pPr>
            <w:r w:rsidRPr="0E054CB5">
              <w:rPr>
                <w:sz w:val="18"/>
                <w:szCs w:val="18"/>
              </w:rPr>
              <w:t>Sopimusseuraamukset kunnossa, valvonta</w:t>
            </w:r>
          </w:p>
        </w:tc>
        <w:tc>
          <w:tcPr>
            <w:tcW w:w="1605" w:type="dxa"/>
            <w:vMerge/>
          </w:tcPr>
          <w:p w14:paraId="37046AA6" w14:textId="77777777" w:rsidR="00664820" w:rsidRPr="009E0847" w:rsidRDefault="00664820" w:rsidP="00507BB8">
            <w:pPr>
              <w:rPr>
                <w:sz w:val="18"/>
                <w:szCs w:val="18"/>
              </w:rPr>
            </w:pPr>
          </w:p>
        </w:tc>
        <w:tc>
          <w:tcPr>
            <w:tcW w:w="1605" w:type="dxa"/>
            <w:vMerge/>
          </w:tcPr>
          <w:p w14:paraId="3F7C24B1" w14:textId="77777777" w:rsidR="00664820" w:rsidRPr="009E0847" w:rsidRDefault="00664820" w:rsidP="00507BB8">
            <w:pPr>
              <w:rPr>
                <w:sz w:val="18"/>
                <w:szCs w:val="18"/>
              </w:rPr>
            </w:pPr>
          </w:p>
        </w:tc>
      </w:tr>
      <w:tr w:rsidR="00664820" w14:paraId="4833D8F9" w14:textId="77777777" w:rsidTr="0E054CB5">
        <w:tc>
          <w:tcPr>
            <w:tcW w:w="1604" w:type="dxa"/>
          </w:tcPr>
          <w:p w14:paraId="2B4A9F26" w14:textId="77777777" w:rsidR="00664820" w:rsidRPr="009E0847" w:rsidRDefault="0E054CB5" w:rsidP="00507BB8">
            <w:pPr>
              <w:rPr>
                <w:sz w:val="18"/>
                <w:szCs w:val="18"/>
              </w:rPr>
            </w:pPr>
            <w:r w:rsidRPr="0E054CB5">
              <w:rPr>
                <w:sz w:val="18"/>
                <w:szCs w:val="18"/>
              </w:rPr>
              <w:t>Pahat aikeet</w:t>
            </w:r>
          </w:p>
        </w:tc>
        <w:tc>
          <w:tcPr>
            <w:tcW w:w="1604" w:type="dxa"/>
          </w:tcPr>
          <w:p w14:paraId="68C840DB" w14:textId="77777777" w:rsidR="00664820" w:rsidRPr="003B5626" w:rsidRDefault="0E054CB5" w:rsidP="00507BB8">
            <w:pPr>
              <w:rPr>
                <w:sz w:val="18"/>
                <w:szCs w:val="18"/>
              </w:rPr>
            </w:pPr>
            <w:r w:rsidRPr="0E054CB5">
              <w:rPr>
                <w:sz w:val="18"/>
                <w:szCs w:val="18"/>
              </w:rPr>
              <w:t>Työn suorittajan tahallisuus</w:t>
            </w:r>
          </w:p>
        </w:tc>
        <w:tc>
          <w:tcPr>
            <w:tcW w:w="1605" w:type="dxa"/>
            <w:vMerge/>
          </w:tcPr>
          <w:p w14:paraId="656CF968" w14:textId="77777777" w:rsidR="00664820" w:rsidRPr="009E0847" w:rsidRDefault="00664820" w:rsidP="00507BB8">
            <w:pPr>
              <w:rPr>
                <w:sz w:val="18"/>
                <w:szCs w:val="18"/>
              </w:rPr>
            </w:pPr>
          </w:p>
        </w:tc>
        <w:tc>
          <w:tcPr>
            <w:tcW w:w="1605" w:type="dxa"/>
          </w:tcPr>
          <w:p w14:paraId="20A9018B" w14:textId="77777777" w:rsidR="00664820" w:rsidRPr="009E0847" w:rsidRDefault="0E054CB5" w:rsidP="00507BB8">
            <w:pPr>
              <w:rPr>
                <w:sz w:val="18"/>
                <w:szCs w:val="18"/>
              </w:rPr>
            </w:pPr>
            <w:r w:rsidRPr="0E054CB5">
              <w:rPr>
                <w:sz w:val="18"/>
                <w:szCs w:val="18"/>
              </w:rPr>
              <w:t>Palveluntarjoajan taustojen selvittäminen, aiemmat referenssit, sopimusmäärittelyt, palvelunkuvaukset kunnossa, säännölliset katselmukset</w:t>
            </w:r>
          </w:p>
        </w:tc>
        <w:tc>
          <w:tcPr>
            <w:tcW w:w="1605" w:type="dxa"/>
            <w:vMerge/>
          </w:tcPr>
          <w:p w14:paraId="0EAD0784" w14:textId="77777777" w:rsidR="00664820" w:rsidRPr="009E0847" w:rsidRDefault="00664820" w:rsidP="00507BB8">
            <w:pPr>
              <w:rPr>
                <w:sz w:val="18"/>
                <w:szCs w:val="18"/>
              </w:rPr>
            </w:pPr>
          </w:p>
        </w:tc>
        <w:tc>
          <w:tcPr>
            <w:tcW w:w="1605" w:type="dxa"/>
          </w:tcPr>
          <w:p w14:paraId="1F061A83" w14:textId="77777777" w:rsidR="00664820" w:rsidRPr="009E0847" w:rsidRDefault="0E054CB5" w:rsidP="00507BB8">
            <w:pPr>
              <w:rPr>
                <w:sz w:val="18"/>
                <w:szCs w:val="18"/>
              </w:rPr>
            </w:pPr>
            <w:r w:rsidRPr="0E054CB5">
              <w:rPr>
                <w:sz w:val="18"/>
                <w:szCs w:val="18"/>
              </w:rPr>
              <w:t>Onnettomuus tai vaaratilanne</w:t>
            </w:r>
          </w:p>
        </w:tc>
      </w:tr>
      <w:tr w:rsidR="00664820" w14:paraId="4B478599" w14:textId="77777777" w:rsidTr="0E054CB5">
        <w:tc>
          <w:tcPr>
            <w:tcW w:w="1604" w:type="dxa"/>
          </w:tcPr>
          <w:p w14:paraId="0817A9F1" w14:textId="77777777" w:rsidR="00664820" w:rsidRDefault="0E054CB5" w:rsidP="00507BB8">
            <w:pPr>
              <w:rPr>
                <w:sz w:val="18"/>
                <w:szCs w:val="18"/>
              </w:rPr>
            </w:pPr>
            <w:r w:rsidRPr="0E054CB5">
              <w:rPr>
                <w:sz w:val="18"/>
                <w:szCs w:val="18"/>
              </w:rPr>
              <w:t xml:space="preserve">Valvonnan </w:t>
            </w:r>
          </w:p>
          <w:p w14:paraId="0EDF4218" w14:textId="77777777" w:rsidR="00664820" w:rsidRPr="009E0847" w:rsidRDefault="0E054CB5" w:rsidP="00507BB8">
            <w:pPr>
              <w:rPr>
                <w:sz w:val="18"/>
                <w:szCs w:val="18"/>
              </w:rPr>
            </w:pPr>
            <w:r w:rsidRPr="0E054CB5">
              <w:rPr>
                <w:sz w:val="18"/>
                <w:szCs w:val="18"/>
              </w:rPr>
              <w:t>puutteet</w:t>
            </w:r>
          </w:p>
        </w:tc>
        <w:tc>
          <w:tcPr>
            <w:tcW w:w="1604" w:type="dxa"/>
          </w:tcPr>
          <w:p w14:paraId="25F74765" w14:textId="77777777" w:rsidR="00664820" w:rsidRPr="003B5626" w:rsidRDefault="0E054CB5" w:rsidP="00507BB8">
            <w:pPr>
              <w:rPr>
                <w:sz w:val="18"/>
                <w:szCs w:val="18"/>
              </w:rPr>
            </w:pPr>
            <w:r w:rsidRPr="0E054CB5">
              <w:rPr>
                <w:sz w:val="18"/>
                <w:szCs w:val="18"/>
              </w:rPr>
              <w:t>Alihankintaa ei valvonta, valvonta ei toimi</w:t>
            </w:r>
          </w:p>
        </w:tc>
        <w:tc>
          <w:tcPr>
            <w:tcW w:w="1605" w:type="dxa"/>
            <w:vMerge/>
          </w:tcPr>
          <w:p w14:paraId="1A7ABBC5" w14:textId="77777777" w:rsidR="00664820" w:rsidRPr="009E0847" w:rsidRDefault="00664820" w:rsidP="00507BB8">
            <w:pPr>
              <w:rPr>
                <w:sz w:val="18"/>
                <w:szCs w:val="18"/>
              </w:rPr>
            </w:pPr>
          </w:p>
        </w:tc>
        <w:tc>
          <w:tcPr>
            <w:tcW w:w="1605" w:type="dxa"/>
          </w:tcPr>
          <w:p w14:paraId="71823261" w14:textId="77777777" w:rsidR="00664820" w:rsidRDefault="0E054CB5" w:rsidP="00507BB8">
            <w:pPr>
              <w:rPr>
                <w:sz w:val="18"/>
                <w:szCs w:val="18"/>
              </w:rPr>
            </w:pPr>
            <w:r w:rsidRPr="0E054CB5">
              <w:rPr>
                <w:sz w:val="18"/>
                <w:szCs w:val="18"/>
              </w:rPr>
              <w:t xml:space="preserve">Valvonnan </w:t>
            </w:r>
          </w:p>
          <w:p w14:paraId="2AD3ADD3" w14:textId="77777777" w:rsidR="00664820" w:rsidRPr="009E0847" w:rsidRDefault="0E054CB5" w:rsidP="00507BB8">
            <w:pPr>
              <w:rPr>
                <w:sz w:val="18"/>
                <w:szCs w:val="18"/>
              </w:rPr>
            </w:pPr>
            <w:r w:rsidRPr="0E054CB5">
              <w:rPr>
                <w:sz w:val="18"/>
                <w:szCs w:val="18"/>
              </w:rPr>
              <w:t>vastuuttaminen</w:t>
            </w:r>
          </w:p>
        </w:tc>
        <w:tc>
          <w:tcPr>
            <w:tcW w:w="1605" w:type="dxa"/>
            <w:vMerge/>
          </w:tcPr>
          <w:p w14:paraId="15C0316D" w14:textId="77777777" w:rsidR="00664820" w:rsidRPr="009E0847" w:rsidRDefault="00664820" w:rsidP="00507BB8">
            <w:pPr>
              <w:rPr>
                <w:sz w:val="18"/>
                <w:szCs w:val="18"/>
              </w:rPr>
            </w:pPr>
          </w:p>
        </w:tc>
        <w:tc>
          <w:tcPr>
            <w:tcW w:w="1605" w:type="dxa"/>
          </w:tcPr>
          <w:p w14:paraId="0934D7CD" w14:textId="77777777" w:rsidR="00664820" w:rsidRPr="009E0847" w:rsidRDefault="0E054CB5" w:rsidP="00507BB8">
            <w:pPr>
              <w:rPr>
                <w:sz w:val="18"/>
                <w:szCs w:val="18"/>
              </w:rPr>
            </w:pPr>
            <w:r w:rsidRPr="0E054CB5">
              <w:rPr>
                <w:sz w:val="18"/>
                <w:szCs w:val="18"/>
              </w:rPr>
              <w:t>Mainehaitta</w:t>
            </w:r>
          </w:p>
        </w:tc>
      </w:tr>
    </w:tbl>
    <w:p w14:paraId="7264A4FF" w14:textId="53D679E6" w:rsidR="00507BB8" w:rsidRPr="00507BB8" w:rsidRDefault="00507BB8" w:rsidP="00507BB8">
      <w:pPr>
        <w:rPr>
          <w:i/>
        </w:rPr>
      </w:pPr>
      <w:r w:rsidRPr="00507BB8">
        <w:rPr>
          <w:i/>
        </w:rPr>
        <w:t xml:space="preserve">Taulukko </w:t>
      </w:r>
      <w:r>
        <w:rPr>
          <w:i/>
        </w:rPr>
        <w:t>6</w:t>
      </w:r>
      <w:r w:rsidRPr="00507BB8">
        <w:rPr>
          <w:i/>
        </w:rPr>
        <w:t xml:space="preserve">. Esimerkkejä </w:t>
      </w:r>
      <w:r>
        <w:rPr>
          <w:i/>
        </w:rPr>
        <w:t xml:space="preserve">kunnossapitoon </w:t>
      </w:r>
      <w:r w:rsidRPr="00507BB8">
        <w:rPr>
          <w:i/>
        </w:rPr>
        <w:t>liittyvien kyberturvallisuustapahtumien tarkastelusta</w:t>
      </w:r>
    </w:p>
    <w:p w14:paraId="6CF876A2" w14:textId="77777777" w:rsidR="00664820" w:rsidRPr="0046122F" w:rsidRDefault="00664820" w:rsidP="00507BB8">
      <w:pPr>
        <w:pStyle w:val="BodyText"/>
        <w:spacing w:before="0" w:after="160"/>
        <w:ind w:left="0"/>
        <w:jc w:val="both"/>
      </w:pPr>
    </w:p>
    <w:p w14:paraId="7F4F47B6" w14:textId="1B00AA73" w:rsidR="0046122F" w:rsidRDefault="00310B58" w:rsidP="00507BB8">
      <w:pPr>
        <w:pStyle w:val="Heading1"/>
        <w:jc w:val="both"/>
        <w:rPr>
          <w:b/>
          <w:bCs/>
          <w:color w:val="FF0000"/>
          <w:u w:val="single"/>
        </w:rPr>
      </w:pPr>
      <w:bookmarkStart w:id="11" w:name="_Toc116913297"/>
      <w:r w:rsidRPr="7BB17E1D">
        <w:rPr>
          <w:b/>
          <w:bCs/>
        </w:rPr>
        <w:t>4</w:t>
      </w:r>
      <w:r w:rsidR="0046122F" w:rsidRPr="7BB17E1D">
        <w:rPr>
          <w:b/>
          <w:bCs/>
        </w:rPr>
        <w:t xml:space="preserve">. </w:t>
      </w:r>
      <w:commentRangeStart w:id="12"/>
      <w:r w:rsidR="0046122F" w:rsidRPr="7BB17E1D">
        <w:rPr>
          <w:b/>
          <w:bCs/>
        </w:rPr>
        <w:t>Suositukset</w:t>
      </w:r>
      <w:commentRangeEnd w:id="12"/>
      <w:r w:rsidR="00634434">
        <w:rPr>
          <w:rStyle w:val="CommentReference"/>
          <w:rFonts w:asciiTheme="minorHAnsi" w:eastAsiaTheme="minorEastAsia" w:hAnsiTheme="minorHAnsi" w:cstheme="minorBidi"/>
          <w:color w:val="auto"/>
        </w:rPr>
        <w:commentReference w:id="12"/>
      </w:r>
      <w:r w:rsidR="0046122F" w:rsidRPr="7BB17E1D">
        <w:rPr>
          <w:b/>
          <w:bCs/>
        </w:rPr>
        <w:t xml:space="preserve"> raideliikenteen kyberturvallis</w:t>
      </w:r>
      <w:r w:rsidR="004B3650">
        <w:rPr>
          <w:b/>
          <w:bCs/>
        </w:rPr>
        <w:t>uuden kehittämiseksi</w:t>
      </w:r>
      <w:bookmarkEnd w:id="11"/>
      <w:r w:rsidR="004B3650" w:rsidRPr="004F2F35">
        <w:rPr>
          <w:b/>
          <w:bCs/>
        </w:rPr>
        <w:t xml:space="preserve"> </w:t>
      </w:r>
    </w:p>
    <w:p w14:paraId="3911C61F" w14:textId="42370441" w:rsidR="00D4011B" w:rsidRDefault="0E054CB5" w:rsidP="00507BB8">
      <w:pPr>
        <w:jc w:val="both"/>
      </w:pPr>
      <w:r>
        <w:t>Tähän osioon on koottu Liikenne- ja viestintäviraston suositukset kyberturvallisuuden kehittämiseksi.</w:t>
      </w:r>
      <w:r w:rsidR="003A4013">
        <w:t xml:space="preserve"> Suositukset </w:t>
      </w:r>
      <w:r w:rsidR="00210896">
        <w:t xml:space="preserve">esitetään myös </w:t>
      </w:r>
      <w:r w:rsidR="003A4013">
        <w:t xml:space="preserve">taulukkomuodossa </w:t>
      </w:r>
      <w:r w:rsidR="00210896">
        <w:t>erillisessä liitteessä.</w:t>
      </w:r>
      <w:r>
        <w:t xml:space="preserve"> Raideliikenteen toimijan toiminnan laadusta ja laajuudesta riippuu minkälaisilla toimenpiteillä kunkin toimijan tulisi pyrkiä vastaamaan annettuihin suosituksiin.</w:t>
      </w:r>
    </w:p>
    <w:p w14:paraId="39CF824E" w14:textId="26DDC0DB" w:rsidR="00B63B0A" w:rsidRDefault="00D4011B" w:rsidP="00507BB8">
      <w:pPr>
        <w:jc w:val="both"/>
      </w:pPr>
      <w:r>
        <w:t xml:space="preserve">Liikenne- ja viestintävirasto suosittelee, että </w:t>
      </w:r>
      <w:r w:rsidR="00245275">
        <w:t>uusissa</w:t>
      </w:r>
      <w:r>
        <w:t xml:space="preserve"> rautatiejärjestelmän </w:t>
      </w:r>
      <w:r w:rsidR="00B63B0A">
        <w:t xml:space="preserve">operatiivisen teknologian (OT) </w:t>
      </w:r>
      <w:r w:rsidR="00245275">
        <w:t>osissa</w:t>
      </w:r>
      <w:r>
        <w:t xml:space="preserve"> sovellettaisiin TS50701 Railway Applications - </w:t>
      </w:r>
      <w:proofErr w:type="spellStart"/>
      <w:r>
        <w:t>Cybersecurity</w:t>
      </w:r>
      <w:proofErr w:type="spellEnd"/>
      <w:r>
        <w:t xml:space="preserve"> teknistä eritelmää ja </w:t>
      </w:r>
      <w:r w:rsidR="00245275">
        <w:t>myöhemmin eritelmän pohjalta kehitettävää standardia</w:t>
      </w:r>
      <w:r>
        <w:t xml:space="preserve">. </w:t>
      </w:r>
      <w:r w:rsidR="00B63B0A">
        <w:t xml:space="preserve">Olemassa </w:t>
      </w:r>
      <w:r w:rsidR="00083C09">
        <w:t xml:space="preserve">olevien OT-järjestelmien </w:t>
      </w:r>
      <w:r w:rsidR="00B63B0A">
        <w:t xml:space="preserve">suositetaan </w:t>
      </w:r>
      <w:r w:rsidR="00992297">
        <w:t xml:space="preserve">jatkettavan </w:t>
      </w:r>
      <w:r w:rsidR="00B63B0A">
        <w:t>teollisuusautomaation turvallisuute</w:t>
      </w:r>
      <w:r w:rsidR="00992297">
        <w:t>en tarkoitettua IEC 62443 sarjan noudattamista, mikäli järjestelmät on kehitetty niiden pohjalta</w:t>
      </w:r>
      <w:r w:rsidR="00B63B0A">
        <w:t>.</w:t>
      </w:r>
    </w:p>
    <w:p w14:paraId="59AFE2F7" w14:textId="5B8B5086" w:rsidR="00B63B0A" w:rsidRDefault="00D4011B" w:rsidP="00507BB8">
      <w:pPr>
        <w:jc w:val="both"/>
      </w:pPr>
      <w:r>
        <w:t>Kaikkien rautatiejärjestelmän toimijoiden suositellaan arvioivan ja mittaavan organisaationsa kyberturvallisuuden tasoa.</w:t>
      </w:r>
      <w:r w:rsidR="00822F2C">
        <w:t xml:space="preserve"> </w:t>
      </w:r>
      <w:r w:rsidR="00245275">
        <w:t xml:space="preserve">Olemassa olevien </w:t>
      </w:r>
      <w:r w:rsidR="00992297">
        <w:t>hallinnollisten IT-</w:t>
      </w:r>
      <w:r w:rsidR="00245275">
        <w:t>järjestelmien osalta</w:t>
      </w:r>
      <w:r w:rsidR="00822F2C">
        <w:t xml:space="preserve"> ensisijaisesti </w:t>
      </w:r>
      <w:r w:rsidR="00245275">
        <w:t>suositellaan</w:t>
      </w:r>
      <w:r w:rsidR="00822F2C">
        <w:t xml:space="preserve"> käytettävän ISO</w:t>
      </w:r>
      <w:r w:rsidR="00D65E1F">
        <w:t xml:space="preserve">/IEC </w:t>
      </w:r>
      <w:r w:rsidR="00822F2C">
        <w:t>27001</w:t>
      </w:r>
      <w:r w:rsidR="00D65E1F">
        <w:t>:</w:t>
      </w:r>
      <w:commentRangeStart w:id="13"/>
      <w:r w:rsidR="00D65E1F">
        <w:t>2022</w:t>
      </w:r>
      <w:commentRangeEnd w:id="13"/>
      <w:r w:rsidR="00EC6E2B">
        <w:rPr>
          <w:rStyle w:val="CommentReference"/>
        </w:rPr>
        <w:commentReference w:id="13"/>
      </w:r>
      <w:r w:rsidR="00822F2C">
        <w:t xml:space="preserve"> kyberturvallisuuden hallintajärjestelmästandardia.</w:t>
      </w:r>
      <w:r w:rsidR="00D65E1F">
        <w:t xml:space="preserve"> ISO/IEC 27001 tietoturvallisuuden hallintajärjestelmä</w:t>
      </w:r>
      <w:r w:rsidR="00EC6E2B">
        <w:t xml:space="preserve">llä on mahdollista hallinnoida myös </w:t>
      </w:r>
      <w:r w:rsidR="00D65E1F">
        <w:t>OT-ympäristö</w:t>
      </w:r>
      <w:r w:rsidR="00EC6E2B">
        <w:t>ä</w:t>
      </w:r>
      <w:r w:rsidR="00D65E1F">
        <w:t>, jossa lisäksi sovelletaan edellä mainittuja OT-ympäristöön soveltuvia standardeja.</w:t>
      </w:r>
      <w:r w:rsidR="00135D27">
        <w:rPr>
          <w:rStyle w:val="FootnoteReference"/>
        </w:rPr>
        <w:footnoteReference w:id="8"/>
      </w:r>
      <w:r w:rsidR="00822F2C">
        <w:t xml:space="preserve"> </w:t>
      </w:r>
      <w:r w:rsidR="00B63B0A">
        <w:t>Muu vaihtoehtoinen viitekehys voi</w:t>
      </w:r>
      <w:r w:rsidR="00822F2C">
        <w:t xml:space="preserve"> olla esimerkiksi </w:t>
      </w:r>
      <w:r w:rsidR="00245275">
        <w:t xml:space="preserve">Kyberturvallisuuskeskuksen ylläpitämä, ilmainen ja suomenkielinen </w:t>
      </w:r>
      <w:hyperlink r:id="rId24" w:history="1">
        <w:r w:rsidR="00822F2C" w:rsidRPr="00245275">
          <w:rPr>
            <w:rStyle w:val="Hyperlink"/>
          </w:rPr>
          <w:t>Kybermittari</w:t>
        </w:r>
      </w:hyperlink>
      <w:r w:rsidR="00D65E1F">
        <w:rPr>
          <w:rStyle w:val="FootnoteReference"/>
        </w:rPr>
        <w:footnoteReference w:id="9"/>
      </w:r>
      <w:r w:rsidR="00992297">
        <w:t>. Kybermittaria viitekehyksenä käytettäessä kaikkien rautatietoimijoiden suositetaan ylittävän tavoitetaso</w:t>
      </w:r>
      <w:r w:rsidR="00891DFB">
        <w:t>n</w:t>
      </w:r>
      <w:r w:rsidR="00992297">
        <w:t xml:space="preserve"> 1. Rautatiejärjestelmän kriittisten palveluiden tarjoajien (NIS-toimijoiden) suositetaan ylittävän tavoitetaso</w:t>
      </w:r>
      <w:r w:rsidR="00891DFB">
        <w:t>n</w:t>
      </w:r>
      <w:r w:rsidR="00992297">
        <w:t xml:space="preserve"> 2.</w:t>
      </w:r>
      <w:r w:rsidR="00245275">
        <w:t xml:space="preserve"> </w:t>
      </w:r>
      <w:r w:rsidR="00891DFB">
        <w:t xml:space="preserve">Tämän suosituksen liitteenä on Kybermittari_V2 arviointityökalu, johon on merkitty </w:t>
      </w:r>
      <w:proofErr w:type="spellStart"/>
      <w:r w:rsidR="00891DFB">
        <w:t>ristiinviittaukset</w:t>
      </w:r>
      <w:proofErr w:type="spellEnd"/>
      <w:r w:rsidR="00891DFB">
        <w:t xml:space="preserve"> kappaleiden 4.1-4.11 suosituksista.</w:t>
      </w:r>
    </w:p>
    <w:p w14:paraId="12320237" w14:textId="5E749D5E" w:rsidR="00034D56" w:rsidRPr="00A96F4C" w:rsidRDefault="00245275" w:rsidP="00507BB8">
      <w:pPr>
        <w:jc w:val="both"/>
      </w:pPr>
      <w:r>
        <w:t>Edellä mainittuja viitekehyksiä soveltamall</w:t>
      </w:r>
      <w:r w:rsidR="004F1F73">
        <w:t xml:space="preserve">a voi korvata jäljempänä olevat kappaleiden </w:t>
      </w:r>
      <w:r w:rsidR="00B63B0A">
        <w:t>4.1-4.</w:t>
      </w:r>
      <w:r w:rsidR="00992297">
        <w:t>11</w:t>
      </w:r>
      <w:r w:rsidR="00B63B0A">
        <w:t xml:space="preserve"> </w:t>
      </w:r>
      <w:r w:rsidR="004F1F73">
        <w:t xml:space="preserve">suositukset </w:t>
      </w:r>
      <w:r w:rsidR="00365E26">
        <w:t xml:space="preserve">siltä osin, kun </w:t>
      </w:r>
      <w:r w:rsidR="00B63B0A">
        <w:t>valitun</w:t>
      </w:r>
      <w:r w:rsidR="00365E26">
        <w:t xml:space="preserve"> viitekehyksen muka</w:t>
      </w:r>
      <w:r w:rsidR="004F1F73">
        <w:t xml:space="preserve">iset vaatimukset ovat vähintään </w:t>
      </w:r>
      <w:r w:rsidR="00365E26">
        <w:t xml:space="preserve">yhtä vaativia. </w:t>
      </w:r>
      <w:r w:rsidR="004F1F73">
        <w:t>Tämän suosituksen kappaleiden 4.1-4.</w:t>
      </w:r>
      <w:r w:rsidR="00992297">
        <w:t xml:space="preserve">11 koostamisessa on sovellettu Kybermittarin tavoitetasoa 1. Kybermittari </w:t>
      </w:r>
      <w:proofErr w:type="gramStart"/>
      <w:r w:rsidR="00992297">
        <w:t xml:space="preserve">perustuu </w:t>
      </w:r>
      <w:r w:rsidR="0E054CB5">
        <w:t xml:space="preserve"> </w:t>
      </w:r>
      <w:proofErr w:type="spellStart"/>
      <w:r w:rsidR="0E054CB5">
        <w:t>Cybersecurity</w:t>
      </w:r>
      <w:proofErr w:type="spellEnd"/>
      <w:proofErr w:type="gramEnd"/>
      <w:r w:rsidR="0E054CB5">
        <w:t xml:space="preserve"> </w:t>
      </w:r>
      <w:proofErr w:type="spellStart"/>
      <w:r w:rsidR="0E054CB5">
        <w:t>Capability</w:t>
      </w:r>
      <w:proofErr w:type="spellEnd"/>
      <w:r w:rsidR="0E054CB5">
        <w:t xml:space="preserve"> </w:t>
      </w:r>
      <w:proofErr w:type="spellStart"/>
      <w:r w:rsidR="0E054CB5">
        <w:t>Maturity</w:t>
      </w:r>
      <w:proofErr w:type="spellEnd"/>
      <w:r w:rsidR="0E054CB5">
        <w:t xml:space="preserve"> </w:t>
      </w:r>
      <w:proofErr w:type="spellStart"/>
      <w:r w:rsidR="0E054CB5">
        <w:t>Model</w:t>
      </w:r>
      <w:proofErr w:type="spellEnd"/>
      <w:r w:rsidR="0E054CB5">
        <w:t xml:space="preserve"> (C2M2) -kyberturvallisuuden viitekehy</w:t>
      </w:r>
      <w:r w:rsidR="00992297">
        <w:t>kseen, johon myös aikaisempi</w:t>
      </w:r>
      <w:r w:rsidR="00370063">
        <w:t>, tällä suosituksella päivitetty,</w:t>
      </w:r>
      <w:r w:rsidR="00992297">
        <w:t xml:space="preserve"> suositus kyberturvallisuuden edistämisestä raideliikenteessä perustui.</w:t>
      </w:r>
    </w:p>
    <w:p w14:paraId="688BEB53" w14:textId="7B21F679" w:rsidR="0046122F" w:rsidRPr="0046122F" w:rsidRDefault="00310B58" w:rsidP="00507BB8">
      <w:pPr>
        <w:pStyle w:val="Heading2"/>
        <w:spacing w:after="240"/>
        <w:jc w:val="both"/>
      </w:pPr>
      <w:bookmarkStart w:id="14" w:name="_Toc116913298"/>
      <w:r>
        <w:t>4</w:t>
      </w:r>
      <w:r w:rsidR="0046122F" w:rsidRPr="0046122F">
        <w:t xml:space="preserve">.1. </w:t>
      </w:r>
      <w:r w:rsidR="00AC1EE8">
        <w:t xml:space="preserve">Kyberturvallisuus osana </w:t>
      </w:r>
      <w:r w:rsidR="00AC1EE8" w:rsidRPr="005211F0">
        <w:t>turvallisuusjohtamista</w:t>
      </w:r>
      <w:r w:rsidR="00AC1EE8">
        <w:t xml:space="preserve"> ja turvallisuuskulttuuria</w:t>
      </w:r>
      <w:bookmarkEnd w:id="14"/>
    </w:p>
    <w:p w14:paraId="606D3B7A" w14:textId="6F1F8E4C" w:rsidR="0058262E" w:rsidRPr="007E2360" w:rsidRDefault="0E054CB5" w:rsidP="00507BB8">
      <w:r>
        <w:t xml:space="preserve">Liikenne- ja viestintävirasto suosittelee, että raideliikenteen toimijat sisällyttävät kyberturvallisuuden edistämisen osaksi turvallisuusjohtamisjärjestelmäänsä tai turvallisuuden hallintajärjestelmäänsä tai jos heillä ei kumpaakaan niistä ole, osaksi yleistä johtamisjärjestelmäänsä. </w:t>
      </w:r>
      <w:r w:rsidR="00873AFC">
        <w:t xml:space="preserve">Kyberturvallisuutta edistetään mahdollisimman pitkälti hyödyntäen muun toiminnan kehittämiseen olennaisena osana kuuluvia toimintamalleja (riskienarviointi, omavalvonta jne.)  </w:t>
      </w:r>
      <w:r>
        <w:t xml:space="preserve">Tätä varten toimijoiden tulisi: </w:t>
      </w:r>
    </w:p>
    <w:p w14:paraId="43CDCB15" w14:textId="682BCA95" w:rsidR="303BC42A" w:rsidRPr="007E2360" w:rsidRDefault="00686188" w:rsidP="00065028">
      <w:pPr>
        <w:pStyle w:val="ListParagraph"/>
        <w:numPr>
          <w:ilvl w:val="0"/>
          <w:numId w:val="11"/>
        </w:numPr>
      </w:pPr>
      <w:r>
        <w:t>M</w:t>
      </w:r>
      <w:r w:rsidR="0E054CB5">
        <w:t xml:space="preserve">äärittää kyberturvallisuusstrategia esimerkiksi osana turvallisuusjohtamisjärjestelmää sekä varmistaa </w:t>
      </w:r>
      <w:r w:rsidR="0E054CB5" w:rsidRPr="00034E29">
        <w:t>organisaation johdon ja hallituksen</w:t>
      </w:r>
      <w:r w:rsidR="00034E29">
        <w:t xml:space="preserve"> tai johtoryhmän</w:t>
      </w:r>
      <w:r w:rsidR="0E054CB5" w:rsidRPr="00034E29">
        <w:t xml:space="preserve"> tuki</w:t>
      </w:r>
      <w:r w:rsidR="0E054CB5">
        <w:t xml:space="preserve"> kyberturvallisuusstrategian mukaisten tavoitteiden toteuttamiseksi</w:t>
      </w:r>
      <w:r w:rsidR="00034D56">
        <w:t>.</w:t>
      </w:r>
    </w:p>
    <w:p w14:paraId="74704B64" w14:textId="15AEB5E1" w:rsidR="303BC42A" w:rsidRDefault="00686188" w:rsidP="00065028">
      <w:pPr>
        <w:pStyle w:val="ListParagraph"/>
        <w:numPr>
          <w:ilvl w:val="1"/>
          <w:numId w:val="11"/>
        </w:numPr>
      </w:pPr>
      <w:r>
        <w:t>K</w:t>
      </w:r>
      <w:r w:rsidR="0E054CB5">
        <w:t>yberturvallisuusstrategian tulee pitää sisällään vähintään lista kyberturvallisuustavoitteista ja suunnitelma niiden toteuttamiseksi</w:t>
      </w:r>
      <w:r w:rsidR="00034D56">
        <w:t>.</w:t>
      </w:r>
    </w:p>
    <w:p w14:paraId="4FC2A6CA" w14:textId="588D99BB" w:rsidR="00034D56" w:rsidRPr="007E2360" w:rsidRDefault="00686188" w:rsidP="00065028">
      <w:pPr>
        <w:pStyle w:val="ListParagraph"/>
        <w:numPr>
          <w:ilvl w:val="1"/>
          <w:numId w:val="11"/>
        </w:numPr>
      </w:pPr>
      <w:r>
        <w:t>Dokumentoida k</w:t>
      </w:r>
      <w:r w:rsidR="00347A14">
        <w:t>yberturvallisuusstrategia ja tavoitteet. Strategia</w:t>
      </w:r>
      <w:r>
        <w:t>n</w:t>
      </w:r>
      <w:r w:rsidR="00347A14">
        <w:t xml:space="preserve"> ja tavoitte</w:t>
      </w:r>
      <w:r>
        <w:t>iden tulee olla</w:t>
      </w:r>
      <w:r w:rsidR="00347A14">
        <w:t xml:space="preserve"> linjassa organisaation yleisten tavoitteiden ja kriittiseen infrastruktuur</w:t>
      </w:r>
      <w:r w:rsidR="00DA1563">
        <w:t>iin kohdistuvien riskien kanssa</w:t>
      </w:r>
      <w:r w:rsidR="00034D56">
        <w:t>.</w:t>
      </w:r>
    </w:p>
    <w:p w14:paraId="0DE96039" w14:textId="390C0D94" w:rsidR="75434898" w:rsidRPr="007E2360" w:rsidRDefault="00034D56" w:rsidP="00065028">
      <w:pPr>
        <w:pStyle w:val="ListParagraph"/>
        <w:numPr>
          <w:ilvl w:val="0"/>
          <w:numId w:val="11"/>
        </w:numPr>
      </w:pPr>
      <w:r>
        <w:t>H</w:t>
      </w:r>
      <w:r w:rsidR="0E054CB5">
        <w:t>uomioida kyberturvallisuus toiminnan jatkuvuuteen liittyvissä suunnitelmissa ja huolehtia, että kyberturvallisuusstrategia ja toiminnan jatkuvuuteen liittyvät suunnitelmat on sovitettu keskenään yhteen</w:t>
      </w:r>
      <w:r>
        <w:t>.</w:t>
      </w:r>
    </w:p>
    <w:p w14:paraId="5B2F1906" w14:textId="21A93D39" w:rsidR="00993313" w:rsidRPr="007E2360" w:rsidRDefault="002F4C6A" w:rsidP="00065028">
      <w:pPr>
        <w:pStyle w:val="ListParagraph"/>
        <w:numPr>
          <w:ilvl w:val="0"/>
          <w:numId w:val="11"/>
        </w:numPr>
      </w:pPr>
      <w:r>
        <w:t>Osoittaa r</w:t>
      </w:r>
      <w:r w:rsidR="00993313">
        <w:t>esurssit (henkilöt, rahoitus ja työkalut) kybertuvallisuuden hallinnan perustamiseen</w:t>
      </w:r>
      <w:r>
        <w:t>.</w:t>
      </w:r>
    </w:p>
    <w:p w14:paraId="22FD7A73" w14:textId="684C8626" w:rsidR="00AC1EE8" w:rsidRDefault="002F4C6A" w:rsidP="00065028">
      <w:pPr>
        <w:pStyle w:val="ListParagraph"/>
        <w:numPr>
          <w:ilvl w:val="0"/>
          <w:numId w:val="11"/>
        </w:numPr>
      </w:pPr>
      <w:r>
        <w:t>M</w:t>
      </w:r>
      <w:r w:rsidR="0E054CB5" w:rsidRPr="00034E29">
        <w:t xml:space="preserve">äärittää </w:t>
      </w:r>
      <w:r w:rsidR="00993313">
        <w:t xml:space="preserve">ja dokumentoida </w:t>
      </w:r>
      <w:r w:rsidR="0E054CB5" w:rsidRPr="00034E29">
        <w:t>kyberturvallisuutta koskevat vastuut ja yhteistyömallit kattaen organisaation sekä toimintaan liittyvät muut toimijat ottaen huomioon, että raideliikennejärjestelmässä kyberturvallisuus on päästä päähän ulottuva ketju, joka kulkee useiden eri toimijoiden omistaman infrastruktuurin läpi</w:t>
      </w:r>
      <w:r>
        <w:t>.</w:t>
      </w:r>
    </w:p>
    <w:p w14:paraId="4A32FF21" w14:textId="5BE11A74" w:rsidR="00434BF3" w:rsidRDefault="00434BF3" w:rsidP="00507BB8">
      <w:pPr>
        <w:pStyle w:val="Heading2"/>
        <w:spacing w:before="0" w:after="240"/>
        <w:jc w:val="both"/>
      </w:pPr>
      <w:bookmarkStart w:id="15" w:name="_Toc116913299"/>
      <w:r>
        <w:t>4.2</w:t>
      </w:r>
      <w:r w:rsidRPr="0046122F">
        <w:t xml:space="preserve">. </w:t>
      </w:r>
      <w:r>
        <w:t>Kriittisten palveluiden suojaaminen</w:t>
      </w:r>
      <w:bookmarkEnd w:id="15"/>
    </w:p>
    <w:p w14:paraId="02296E6D" w14:textId="3D8CC8B1" w:rsidR="002F4C6A" w:rsidRDefault="00434BF3" w:rsidP="00507BB8">
      <w:pPr>
        <w:jc w:val="both"/>
      </w:pPr>
      <w:r>
        <w:t>Liikenne- ja viestintävirasto suosittelee, että raideliikenteen toimijat tunnistavat roolinsa logistiikkaketjun osana, joka on yhteiskunnan kriittinen palvelu ja hallitsevat riskejä sen mukaisesti. Kriittiset palvelut ja niiden riippuvuudet tulee tunnistaa</w:t>
      </w:r>
      <w:r w:rsidR="00E4481B">
        <w:t xml:space="preserve"> ja</w:t>
      </w:r>
      <w:r>
        <w:t xml:space="preserve"> hallita</w:t>
      </w:r>
      <w:r w:rsidR="00E4481B">
        <w:t xml:space="preserve"> sekä minimoida </w:t>
      </w:r>
      <w:r>
        <w:t>kyber</w:t>
      </w:r>
      <w:r w:rsidR="00E4481B">
        <w:t>häiriöiden vaikutukset</w:t>
      </w:r>
      <w:r>
        <w:t>. Tätä varten toimijoiden tulisi:</w:t>
      </w:r>
    </w:p>
    <w:p w14:paraId="2D0F5B4B" w14:textId="6C1CB1A1" w:rsidR="005529E2" w:rsidRDefault="002F4C6A" w:rsidP="00065028">
      <w:pPr>
        <w:pStyle w:val="ListParagraph"/>
        <w:numPr>
          <w:ilvl w:val="0"/>
          <w:numId w:val="12"/>
        </w:numPr>
        <w:jc w:val="both"/>
      </w:pPr>
      <w:r>
        <w:t>M</w:t>
      </w:r>
      <w:r w:rsidR="005529E2">
        <w:t>äärittää ja dokumentoida raideliikenteen jatkuvuuden ja turvallisuuden kannalta kriittiset palvelut</w:t>
      </w:r>
      <w:r>
        <w:t>.</w:t>
      </w:r>
    </w:p>
    <w:p w14:paraId="4C66A220" w14:textId="24D0B2E2" w:rsidR="005529E2" w:rsidRDefault="002F4C6A" w:rsidP="00065028">
      <w:pPr>
        <w:pStyle w:val="ListParagraph"/>
        <w:numPr>
          <w:ilvl w:val="0"/>
          <w:numId w:val="12"/>
        </w:numPr>
        <w:jc w:val="both"/>
      </w:pPr>
      <w:r>
        <w:t>M</w:t>
      </w:r>
      <w:r w:rsidR="005529E2">
        <w:t>äärittää ja dokumentoida raideliikenteen jatkuvuuden ja turvallisuuden kannalta kriittisten palveluiden tuottamiseen tarvittava data</w:t>
      </w:r>
      <w:r>
        <w:t>.</w:t>
      </w:r>
    </w:p>
    <w:p w14:paraId="18667BCC" w14:textId="12AD5D52" w:rsidR="005529E2" w:rsidRDefault="002F4C6A" w:rsidP="00065028">
      <w:pPr>
        <w:pStyle w:val="ListParagraph"/>
        <w:numPr>
          <w:ilvl w:val="0"/>
          <w:numId w:val="12"/>
        </w:numPr>
        <w:jc w:val="both"/>
      </w:pPr>
      <w:r>
        <w:t>M</w:t>
      </w:r>
      <w:r w:rsidR="005529E2">
        <w:t>äärittää ja dokumentoida raideliikenteen jatkuvuuden ja turvallisuuden kannalta kriittiset prosessit</w:t>
      </w:r>
      <w:r>
        <w:t>.</w:t>
      </w:r>
    </w:p>
    <w:p w14:paraId="037DBC13" w14:textId="5901352A" w:rsidR="00EF2E21" w:rsidRDefault="002F4C6A" w:rsidP="00065028">
      <w:pPr>
        <w:pStyle w:val="ListParagraph"/>
        <w:numPr>
          <w:ilvl w:val="0"/>
          <w:numId w:val="12"/>
        </w:numPr>
        <w:jc w:val="both"/>
      </w:pPr>
      <w:r>
        <w:t>M</w:t>
      </w:r>
      <w:r w:rsidR="0E054CB5" w:rsidRPr="00034E29">
        <w:t>äärittää</w:t>
      </w:r>
      <w:r w:rsidR="00434BF3">
        <w:t xml:space="preserve"> ja dokumentoida</w:t>
      </w:r>
      <w:r w:rsidR="0E054CB5" w:rsidRPr="00034E29">
        <w:t xml:space="preserve"> suojattavat kohteet eli raideliikenteen jatkuvuuden ja turvallisuuden kannalta kriittiset informaatiojärjestelmät, operatiiviset järjestelmät ja tiedot, kuten liikenteenhallint</w:t>
      </w:r>
      <w:r w:rsidR="00041308">
        <w:t>ajärjestelmät eri toimintoineen</w:t>
      </w:r>
      <w:r>
        <w:t>.</w:t>
      </w:r>
    </w:p>
    <w:p w14:paraId="17B8A347" w14:textId="14B33BB7" w:rsidR="005529E2" w:rsidRDefault="002F4C6A" w:rsidP="00065028">
      <w:pPr>
        <w:pStyle w:val="ListParagraph"/>
        <w:numPr>
          <w:ilvl w:val="0"/>
          <w:numId w:val="12"/>
        </w:numPr>
        <w:jc w:val="both"/>
      </w:pPr>
      <w:r>
        <w:t>S</w:t>
      </w:r>
      <w:r w:rsidR="005529E2">
        <w:t>aattaa organisaation turvallisuuden hallinnan ja politiikkojen piiriin kaikki</w:t>
      </w:r>
      <w:r w:rsidR="00E4481B">
        <w:t xml:space="preserve"> raideliikenteen jatkuvuuden ja turvallisuuden kannalta kriittisten palveluiden tuottamiseen tarvittavat</w:t>
      </w:r>
      <w:r w:rsidR="005529E2">
        <w:t xml:space="preserve"> resurssit (data, prosessit, tilat, toimitusketjut)</w:t>
      </w:r>
      <w:r>
        <w:t>.</w:t>
      </w:r>
      <w:r w:rsidR="005529E2">
        <w:t xml:space="preserve"> </w:t>
      </w:r>
    </w:p>
    <w:p w14:paraId="188E5BDA" w14:textId="7A7E3FF3" w:rsidR="00E4481B" w:rsidRDefault="002F4C6A" w:rsidP="00065028">
      <w:pPr>
        <w:pStyle w:val="ListParagraph"/>
        <w:numPr>
          <w:ilvl w:val="0"/>
          <w:numId w:val="12"/>
        </w:numPr>
        <w:jc w:val="both"/>
      </w:pPr>
      <w:r>
        <w:t>S</w:t>
      </w:r>
      <w:r w:rsidR="00E4481B">
        <w:t>aattaa organisaation riskienhallinnan politiikkojen piiriin kaikki raideliikenteen jatkuvuuden ja turvallisuuden kannalta kriittisten palveluiden tuottamiseen tarvittavat resurssit (data, prosessit, tilat, toimitusketjut)</w:t>
      </w:r>
      <w:r>
        <w:t>.</w:t>
      </w:r>
    </w:p>
    <w:p w14:paraId="55D01B82" w14:textId="5EE811DD" w:rsidR="00E4481B" w:rsidRDefault="00160BA0" w:rsidP="00065028">
      <w:pPr>
        <w:pStyle w:val="ListParagraph"/>
        <w:numPr>
          <w:ilvl w:val="0"/>
          <w:numId w:val="12"/>
        </w:numPr>
        <w:jc w:val="both"/>
      </w:pPr>
      <w:r>
        <w:t>L</w:t>
      </w:r>
      <w:r w:rsidR="00E4481B">
        <w:t>aatia kybertapahtumien ja -häiriöiden hallintasuunnitelma, joka kattaa kaikki raideliikenteen jatkuvuuden ja turvallisuuden kannalta kriittiset palvelut</w:t>
      </w:r>
      <w:r>
        <w:t>.</w:t>
      </w:r>
    </w:p>
    <w:p w14:paraId="5ED42E3A" w14:textId="58674300" w:rsidR="00E4481B" w:rsidRDefault="00160BA0" w:rsidP="00065028">
      <w:pPr>
        <w:pStyle w:val="ListParagraph"/>
        <w:numPr>
          <w:ilvl w:val="1"/>
          <w:numId w:val="12"/>
        </w:numPr>
        <w:jc w:val="both"/>
      </w:pPr>
      <w:r>
        <w:t>H</w:t>
      </w:r>
      <w:r w:rsidR="00E4481B">
        <w:t>allintasuunnitelma kattaa perusteellisesti tunnettujen hyökkäysten todennäköiset vaikutukset</w:t>
      </w:r>
      <w:r>
        <w:t>.</w:t>
      </w:r>
    </w:p>
    <w:p w14:paraId="35198179" w14:textId="3FED3212" w:rsidR="00E4481B" w:rsidRDefault="00160BA0" w:rsidP="00065028">
      <w:pPr>
        <w:pStyle w:val="ListParagraph"/>
        <w:numPr>
          <w:ilvl w:val="1"/>
          <w:numId w:val="12"/>
        </w:numPr>
        <w:jc w:val="both"/>
      </w:pPr>
      <w:r>
        <w:t>K</w:t>
      </w:r>
      <w:r w:rsidR="00E4481B">
        <w:t>ybertapahtumien ja -häiriöiden hallintaan osallistuva henkilöstö sisäistää ja ymmärtää hallinta suunnitelman</w:t>
      </w:r>
      <w:r>
        <w:t>.</w:t>
      </w:r>
    </w:p>
    <w:p w14:paraId="68057A37" w14:textId="49391E7E" w:rsidR="00E4481B" w:rsidRDefault="00160BA0" w:rsidP="00065028">
      <w:pPr>
        <w:pStyle w:val="ListParagraph"/>
        <w:numPr>
          <w:ilvl w:val="1"/>
          <w:numId w:val="12"/>
        </w:numPr>
        <w:jc w:val="both"/>
      </w:pPr>
      <w:r>
        <w:t>H</w:t>
      </w:r>
      <w:r w:rsidR="00E4481B">
        <w:t>allintasuunnitelma on dokumentoitu ja jaettu relevanteille sidosryhmille</w:t>
      </w:r>
      <w:r>
        <w:t>.</w:t>
      </w:r>
    </w:p>
    <w:p w14:paraId="123B346C" w14:textId="5E1DF34C" w:rsidR="00993313" w:rsidRDefault="00993313" w:rsidP="00507BB8">
      <w:pPr>
        <w:pStyle w:val="Heading2"/>
        <w:spacing w:before="0" w:after="240"/>
        <w:jc w:val="both"/>
      </w:pPr>
      <w:bookmarkStart w:id="16" w:name="_Toc116913300"/>
      <w:r>
        <w:t>4.3</w:t>
      </w:r>
      <w:r w:rsidRPr="0046122F">
        <w:t xml:space="preserve">. </w:t>
      </w:r>
      <w:r>
        <w:t>Omaisuuden, muutosten ja konfiguraatioiden hallinta</w:t>
      </w:r>
      <w:bookmarkEnd w:id="16"/>
    </w:p>
    <w:p w14:paraId="0456E117" w14:textId="2E66C8A7" w:rsidR="00993313" w:rsidRDefault="00993313" w:rsidP="00D649DE">
      <w:pPr>
        <w:jc w:val="both"/>
      </w:pPr>
      <w:r>
        <w:t xml:space="preserve">Liikenne- ja viestintävirasto suosittelee, että raideliikenteen toimijat </w:t>
      </w:r>
      <w:r w:rsidR="005529E2">
        <w:t>hallitsevat IT- ja OT-omaisuutta. Omaisuudella tarkoitetaan toimintojen kannalta olennaisia laitteita, ohjelmistoja ja tietoja.</w:t>
      </w:r>
      <w:r w:rsidR="00F7338F">
        <w:t xml:space="preserve"> </w:t>
      </w:r>
      <w:r w:rsidR="005529E2">
        <w:t>Tätä varten toimijoiden tulisi:</w:t>
      </w:r>
    </w:p>
    <w:p w14:paraId="2C18EA2A" w14:textId="77777777" w:rsidR="00686188" w:rsidRDefault="00FC1ED0" w:rsidP="00065028">
      <w:pPr>
        <w:pStyle w:val="ListParagraph"/>
        <w:numPr>
          <w:ilvl w:val="0"/>
          <w:numId w:val="13"/>
        </w:numPr>
        <w:jc w:val="both"/>
      </w:pPr>
      <w:r>
        <w:t>L</w:t>
      </w:r>
      <w:r w:rsidR="00DA1563">
        <w:t xml:space="preserve">uoda rekisteri </w:t>
      </w:r>
      <w:r w:rsidR="006B3A38">
        <w:t>raideliikenteen jatkuvuuden ja turvallisuuden kannalta tärkeistä laitteista ja ohjelmistoista</w:t>
      </w:r>
      <w:r>
        <w:t>.</w:t>
      </w:r>
      <w:r w:rsidR="00F96417">
        <w:t xml:space="preserve"> </w:t>
      </w:r>
    </w:p>
    <w:p w14:paraId="500FDBD9" w14:textId="4301835A" w:rsidR="006B3A38" w:rsidRDefault="00FC1ED0" w:rsidP="00065028">
      <w:pPr>
        <w:pStyle w:val="ListParagraph"/>
        <w:numPr>
          <w:ilvl w:val="0"/>
          <w:numId w:val="13"/>
        </w:numPr>
        <w:jc w:val="both"/>
      </w:pPr>
      <w:r>
        <w:t>L</w:t>
      </w:r>
      <w:r w:rsidR="00DA1563">
        <w:t xml:space="preserve">uoda rekisteri </w:t>
      </w:r>
      <w:r w:rsidR="006B3A38">
        <w:t>raideliikenteen jatkuvuuden ja turvallisuuden kannalta tärkeistä tietovarannoista kuten</w:t>
      </w:r>
      <w:r>
        <w:t xml:space="preserve"> kapasiteetinhallinnasta ja</w:t>
      </w:r>
      <w:r w:rsidR="006B3A38">
        <w:t xml:space="preserve"> asiakastiedoista sekä laitteiden ja ohjelmistojen perusasetuksista</w:t>
      </w:r>
      <w:r>
        <w:t>.</w:t>
      </w:r>
    </w:p>
    <w:p w14:paraId="2026CB08" w14:textId="0A5B9C46" w:rsidR="006B3A38" w:rsidRDefault="00FC1ED0" w:rsidP="00065028">
      <w:pPr>
        <w:pStyle w:val="ListParagraph"/>
        <w:numPr>
          <w:ilvl w:val="0"/>
          <w:numId w:val="13"/>
        </w:numPr>
        <w:jc w:val="both"/>
      </w:pPr>
      <w:r>
        <w:t>L</w:t>
      </w:r>
      <w:r w:rsidR="006B3A38">
        <w:t>uoda vakioidut perusasetukset laitteiden, ohjelmistojen ja tietovarantojen konfiguraatioista</w:t>
      </w:r>
      <w:r>
        <w:t>.</w:t>
      </w:r>
    </w:p>
    <w:p w14:paraId="63A5B119" w14:textId="2B38B6A6" w:rsidR="006B3A38" w:rsidRDefault="00FC1ED0" w:rsidP="00065028">
      <w:pPr>
        <w:pStyle w:val="ListParagraph"/>
        <w:numPr>
          <w:ilvl w:val="0"/>
          <w:numId w:val="13"/>
        </w:numPr>
        <w:jc w:val="both"/>
      </w:pPr>
      <w:r>
        <w:t>A</w:t>
      </w:r>
      <w:r w:rsidR="00685850">
        <w:t xml:space="preserve">rvioida ja hyväksyttää </w:t>
      </w:r>
      <w:r w:rsidR="006B3A38">
        <w:t>rekisteriin kirjattuihin laitteisiin, ohjelmistoihin ja tietovarantoihin tehtävät muutokset ennen niiden toteuttamista</w:t>
      </w:r>
      <w:r>
        <w:t>.</w:t>
      </w:r>
    </w:p>
    <w:p w14:paraId="7397AA44" w14:textId="294CA235" w:rsidR="006B3A38" w:rsidRPr="00034E29" w:rsidRDefault="00FC1ED0" w:rsidP="00065028">
      <w:pPr>
        <w:pStyle w:val="ListParagraph"/>
        <w:numPr>
          <w:ilvl w:val="1"/>
          <w:numId w:val="13"/>
        </w:numPr>
        <w:jc w:val="both"/>
      </w:pPr>
      <w:r>
        <w:t>P</w:t>
      </w:r>
      <w:r w:rsidR="00685850">
        <w:t xml:space="preserve">itää lokia </w:t>
      </w:r>
      <w:r w:rsidR="006B3A38">
        <w:t>rekisteriin kirjattuihin laitteisiin, ohjelmistoihin ja tietovarantoihin tehtävistä muutoksista</w:t>
      </w:r>
      <w:r>
        <w:t>.</w:t>
      </w:r>
    </w:p>
    <w:p w14:paraId="648848FD" w14:textId="4886829D" w:rsidR="00685850" w:rsidRDefault="00685850" w:rsidP="00507BB8">
      <w:pPr>
        <w:pStyle w:val="Heading2"/>
        <w:spacing w:before="0" w:after="240"/>
        <w:jc w:val="both"/>
      </w:pPr>
      <w:bookmarkStart w:id="17" w:name="_Toc116913301"/>
      <w:r>
        <w:t>4.</w:t>
      </w:r>
      <w:r w:rsidR="00F7338F">
        <w:t>4</w:t>
      </w:r>
      <w:r w:rsidRPr="0046122F">
        <w:t xml:space="preserve">. </w:t>
      </w:r>
      <w:r>
        <w:t>Uhkien ja haavoittuvuuksien hallinta</w:t>
      </w:r>
      <w:bookmarkEnd w:id="17"/>
    </w:p>
    <w:p w14:paraId="4B476451" w14:textId="4F8A5F1B" w:rsidR="00685850" w:rsidRDefault="00685850" w:rsidP="00D649DE">
      <w:pPr>
        <w:jc w:val="both"/>
      </w:pPr>
      <w:r>
        <w:t xml:space="preserve">Liikenne- ja viestintävirasto suosittelee, että raideliikenteen </w:t>
      </w:r>
      <w:r w:rsidR="00C24CA0">
        <w:t>t</w:t>
      </w:r>
      <w:r w:rsidR="00294241">
        <w:t>oimijat</w:t>
      </w:r>
      <w:r w:rsidR="00294241" w:rsidRPr="00294241">
        <w:t xml:space="preserve"> </w:t>
      </w:r>
      <w:r w:rsidR="00294241" w:rsidRPr="00034E29">
        <w:t>määrittä</w:t>
      </w:r>
      <w:r w:rsidR="00294241">
        <w:t>v</w:t>
      </w:r>
      <w:r w:rsidR="00294241" w:rsidRPr="00034E29">
        <w:t>ä</w:t>
      </w:r>
      <w:r w:rsidR="00294241">
        <w:t>t</w:t>
      </w:r>
      <w:r w:rsidR="00294241" w:rsidRPr="00034E29">
        <w:t xml:space="preserve"> toimintatavat kyberturvauhkien ja haavoittuvuuksien havaitsemiseen, tunnistamiseen, analysointiin, hallitsemiseen ja niihin vastaamiseen ottaen huomioon raideliikenteen jatkuvuuteen ja turvallisuuteen kohdistuvat </w:t>
      </w:r>
      <w:r w:rsidR="006F6AD0">
        <w:t>uhat.</w:t>
      </w:r>
      <w:r w:rsidR="00F7338F">
        <w:t xml:space="preserve"> </w:t>
      </w:r>
      <w:r>
        <w:t>Tätä varten toimijoiden tulisi:</w:t>
      </w:r>
    </w:p>
    <w:p w14:paraId="2B785426" w14:textId="29B5BC99" w:rsidR="00685850" w:rsidRDefault="00A73DD3" w:rsidP="00065028">
      <w:pPr>
        <w:pStyle w:val="ListParagraph"/>
        <w:numPr>
          <w:ilvl w:val="0"/>
          <w:numId w:val="14"/>
        </w:numPr>
        <w:jc w:val="both"/>
      </w:pPr>
      <w:r>
        <w:t>T</w:t>
      </w:r>
      <w:r w:rsidR="00685850">
        <w:t>unnistaa soveltuvia tietolähteitä haavoittuvuuksien tunnistamiseksi</w:t>
      </w:r>
      <w:r>
        <w:t>.</w:t>
      </w:r>
    </w:p>
    <w:p w14:paraId="78970C73" w14:textId="201657A0" w:rsidR="00685850" w:rsidRDefault="00A73DD3" w:rsidP="00065028">
      <w:pPr>
        <w:pStyle w:val="ListParagraph"/>
        <w:numPr>
          <w:ilvl w:val="1"/>
          <w:numId w:val="14"/>
        </w:numPr>
        <w:jc w:val="both"/>
      </w:pPr>
      <w:r>
        <w:t>K</w:t>
      </w:r>
      <w:r w:rsidR="00C24CA0">
        <w:t>erätä ja tulkita haavoittuvuustietoa toimintaansa varten</w:t>
      </w:r>
      <w:r>
        <w:t>.</w:t>
      </w:r>
    </w:p>
    <w:p w14:paraId="008FA8A5" w14:textId="35F36E16" w:rsidR="00C24CA0" w:rsidRDefault="00A73DD3" w:rsidP="00065028">
      <w:pPr>
        <w:pStyle w:val="ListParagraph"/>
        <w:numPr>
          <w:ilvl w:val="1"/>
          <w:numId w:val="14"/>
        </w:numPr>
        <w:jc w:val="both"/>
      </w:pPr>
      <w:r>
        <w:t>T</w:t>
      </w:r>
      <w:r w:rsidR="00C24CA0">
        <w:t>ehdä haavoittuvuusarviointeja</w:t>
      </w:r>
      <w:r>
        <w:t>.</w:t>
      </w:r>
    </w:p>
    <w:p w14:paraId="19677749" w14:textId="77777777" w:rsidR="0011449B" w:rsidRDefault="00A73DD3" w:rsidP="00065028">
      <w:pPr>
        <w:pStyle w:val="ListParagraph"/>
        <w:numPr>
          <w:ilvl w:val="1"/>
          <w:numId w:val="14"/>
        </w:numPr>
        <w:jc w:val="both"/>
      </w:pPr>
      <w:r>
        <w:t>P</w:t>
      </w:r>
      <w:r w:rsidR="00C24CA0">
        <w:t>uuttua toimintansa kannalta olennaisiin haavoittuvuuksiin esimerkiksi lisäämällä valvontaa tai asentamalla korjauspäivityksiä</w:t>
      </w:r>
      <w:r>
        <w:t>.</w:t>
      </w:r>
      <w:r w:rsidR="0011449B" w:rsidRPr="0011449B">
        <w:t xml:space="preserve"> </w:t>
      </w:r>
    </w:p>
    <w:p w14:paraId="741999B2" w14:textId="18C76820" w:rsidR="00C24CA0" w:rsidRDefault="0011449B" w:rsidP="00065028">
      <w:pPr>
        <w:pStyle w:val="ListParagraph"/>
        <w:numPr>
          <w:ilvl w:val="1"/>
          <w:numId w:val="14"/>
        </w:numPr>
        <w:jc w:val="both"/>
      </w:pPr>
      <w:r>
        <w:t>Haavoittuvuusarviointeja hyödyntäen selvittää käyttämiensä järjestelmien kyberturvallisuushyökkäyksille alttiit kohdat ottaen huomioon mm. järjestelmien rajapinnat ja riippuvuudet.</w:t>
      </w:r>
    </w:p>
    <w:p w14:paraId="6F1A1590" w14:textId="4E5965F2" w:rsidR="00C24CA0" w:rsidRDefault="00A73DD3" w:rsidP="00065028">
      <w:pPr>
        <w:pStyle w:val="ListParagraph"/>
        <w:numPr>
          <w:ilvl w:val="0"/>
          <w:numId w:val="14"/>
        </w:numPr>
        <w:jc w:val="both"/>
      </w:pPr>
      <w:r>
        <w:t>T</w:t>
      </w:r>
      <w:r w:rsidR="00C24CA0">
        <w:t>unnistaa soveltuvia tietolähteitä uhkien tunnistamiseksi</w:t>
      </w:r>
      <w:r>
        <w:t>.</w:t>
      </w:r>
    </w:p>
    <w:p w14:paraId="688BDE10" w14:textId="40C63D7B" w:rsidR="00C24CA0" w:rsidRDefault="00A73DD3" w:rsidP="00065028">
      <w:pPr>
        <w:pStyle w:val="ListParagraph"/>
        <w:numPr>
          <w:ilvl w:val="1"/>
          <w:numId w:val="14"/>
        </w:numPr>
        <w:jc w:val="both"/>
      </w:pPr>
      <w:r>
        <w:t>K</w:t>
      </w:r>
      <w:r w:rsidR="00C24CA0">
        <w:t>erätä ja tulkita uhkatietoa toimintaansa varten</w:t>
      </w:r>
      <w:r>
        <w:t>.</w:t>
      </w:r>
    </w:p>
    <w:p w14:paraId="1031659D" w14:textId="15AA099E" w:rsidR="006D4C5F" w:rsidRDefault="006D4C5F" w:rsidP="00065028">
      <w:pPr>
        <w:pStyle w:val="ListParagraph"/>
        <w:numPr>
          <w:ilvl w:val="1"/>
          <w:numId w:val="14"/>
        </w:numPr>
        <w:jc w:val="both"/>
      </w:pPr>
      <w:r>
        <w:t>Puuttua toimintansa kannalta olennaisiin uhkiin esimerkiksi lisäämällä valvontaa tai seuraamalla uhkien kehitystä.</w:t>
      </w:r>
    </w:p>
    <w:p w14:paraId="79C6F06B" w14:textId="0ACBE665" w:rsidR="006D4C5F" w:rsidRPr="00D649DE" w:rsidRDefault="006D4C5F" w:rsidP="00065028">
      <w:pPr>
        <w:pStyle w:val="ListParagraph"/>
        <w:numPr>
          <w:ilvl w:val="2"/>
          <w:numId w:val="14"/>
        </w:numPr>
        <w:jc w:val="both"/>
        <w:rPr>
          <w:color w:val="000000" w:themeColor="text1"/>
        </w:rPr>
      </w:pPr>
      <w:r>
        <w:t>S</w:t>
      </w:r>
      <w:commentRangeStart w:id="18"/>
      <w:commentRangeStart w:id="19"/>
      <w:r>
        <w:t>eurata ja valvoa kyberturvallisuusuhkia ja niiden hallintaa reaaliaikaisesti operatiivisissa järjestelmissä ja informaatiojärjestelmissä, jotta niihin voitaisiin reagoida mahdollisimman aikaisessa vaiheessa</w:t>
      </w:r>
      <w:commentRangeEnd w:id="18"/>
      <w:r>
        <w:t>.</w:t>
      </w:r>
      <w:r>
        <w:rPr>
          <w:rStyle w:val="CommentReference"/>
        </w:rPr>
        <w:commentReference w:id="18"/>
      </w:r>
      <w:commentRangeEnd w:id="19"/>
      <w:r>
        <w:rPr>
          <w:rStyle w:val="CommentReference"/>
        </w:rPr>
        <w:commentReference w:id="19"/>
      </w:r>
      <w:r w:rsidRPr="00304893">
        <w:t xml:space="preserve"> </w:t>
      </w:r>
    </w:p>
    <w:p w14:paraId="1CCA68E0" w14:textId="4E2E0ECF" w:rsidR="00644C34" w:rsidRPr="00D649DE" w:rsidRDefault="0011449B" w:rsidP="00065028">
      <w:pPr>
        <w:pStyle w:val="ListParagraph"/>
        <w:numPr>
          <w:ilvl w:val="1"/>
          <w:numId w:val="14"/>
        </w:numPr>
        <w:jc w:val="both"/>
        <w:rPr>
          <w:color w:val="000000" w:themeColor="text1"/>
        </w:rPr>
      </w:pPr>
      <w:r>
        <w:t>H</w:t>
      </w:r>
      <w:r w:rsidR="00304893" w:rsidRPr="0E054CB5">
        <w:t>uolehtia toimintatapojen, järjestelmien ja ihmisten kyberturvallisuusuhkille alttiiden kohtien suojaamisesta koko niiden elinkaaren ajan</w:t>
      </w:r>
      <w:r>
        <w:t>.</w:t>
      </w:r>
    </w:p>
    <w:p w14:paraId="3D0F7440" w14:textId="21C5457D" w:rsidR="0091108D" w:rsidRDefault="0011449B" w:rsidP="00065028">
      <w:pPr>
        <w:pStyle w:val="ListParagraph"/>
        <w:numPr>
          <w:ilvl w:val="1"/>
          <w:numId w:val="14"/>
        </w:numPr>
        <w:jc w:val="both"/>
      </w:pPr>
      <w:r>
        <w:t>H</w:t>
      </w:r>
      <w:r w:rsidR="0091108D" w:rsidRPr="0E054CB5">
        <w:t>uomioida havaitut kyberturvallisuusuhkat järjestelmien hankinnan suunnitteluvaiheen vaatimusten asettamisesta lähtien koko järjestelmien</w:t>
      </w:r>
      <w:r w:rsidR="0091108D">
        <w:t xml:space="preserve"> elinkaaren ajan</w:t>
      </w:r>
      <w:r>
        <w:t>.</w:t>
      </w:r>
    </w:p>
    <w:p w14:paraId="38285885" w14:textId="688FECA6" w:rsidR="00294241" w:rsidRDefault="00294241" w:rsidP="00507BB8">
      <w:pPr>
        <w:pStyle w:val="Heading2"/>
        <w:spacing w:before="0" w:after="240"/>
        <w:jc w:val="both"/>
      </w:pPr>
      <w:bookmarkStart w:id="20" w:name="_Toc116913302"/>
      <w:r>
        <w:t>4.</w:t>
      </w:r>
      <w:r w:rsidR="00F7338F">
        <w:t>5</w:t>
      </w:r>
      <w:r w:rsidRPr="0046122F">
        <w:t xml:space="preserve">. </w:t>
      </w:r>
      <w:r>
        <w:t>Riskienhallinta</w:t>
      </w:r>
      <w:bookmarkEnd w:id="20"/>
    </w:p>
    <w:p w14:paraId="3A426FAF" w14:textId="5985229E" w:rsidR="00294241" w:rsidRDefault="00294241" w:rsidP="00D649DE">
      <w:pPr>
        <w:jc w:val="both"/>
      </w:pPr>
      <w:r>
        <w:t xml:space="preserve">Liikenne- ja viestintävirasto suosittelee, että raideliikenteen toimijat </w:t>
      </w:r>
      <w:r w:rsidR="0E054CB5">
        <w:t>määrittä</w:t>
      </w:r>
      <w:r>
        <w:t>v</w:t>
      </w:r>
      <w:r w:rsidR="0E054CB5">
        <w:t>ä</w:t>
      </w:r>
      <w:r>
        <w:t>t</w:t>
      </w:r>
      <w:r w:rsidR="0E054CB5">
        <w:t xml:space="preserve"> organisaation laajuisen riskienhallintajärjestelmän kyberturvallisuusriskien tunnistamisen, analysoin</w:t>
      </w:r>
      <w:r w:rsidR="0011449B">
        <w:t>nin ja vähentämisen mahdollistamiseksi sekä riskien seuraamiseksi</w:t>
      </w:r>
      <w:r w:rsidR="0E054CB5">
        <w:t xml:space="preserve"> huomioiden liiketoimintayksiköt, tytäryhtiöt, yhteen liitetyt infrastruktuurit ja muut sidosryhmät</w:t>
      </w:r>
      <w:r w:rsidR="00D53D5D" w:rsidRPr="00D53D5D">
        <w:t xml:space="preserve"> </w:t>
      </w:r>
      <w:r w:rsidR="00D53D5D" w:rsidRPr="00034E29">
        <w:t>suhteessa raideliikenteen jatkuvuuteen ja turvallisuuteen kohdistuviin riskeihin</w:t>
      </w:r>
      <w:r w:rsidR="00F7338F">
        <w:t xml:space="preserve">. </w:t>
      </w:r>
      <w:r>
        <w:t>Tätä varten toimijoiden tulisi:</w:t>
      </w:r>
    </w:p>
    <w:p w14:paraId="5B5E5C69" w14:textId="2DB8175B" w:rsidR="006F6AD0" w:rsidRDefault="0011449B" w:rsidP="00065028">
      <w:pPr>
        <w:pStyle w:val="ListParagraph"/>
        <w:numPr>
          <w:ilvl w:val="0"/>
          <w:numId w:val="15"/>
        </w:numPr>
        <w:jc w:val="both"/>
      </w:pPr>
      <w:r>
        <w:t>S</w:t>
      </w:r>
      <w:r w:rsidR="006F6AD0">
        <w:t>uunnitelmallisesti ohjata kyberturvallisuuden riskienhallintaa</w:t>
      </w:r>
      <w:r>
        <w:t>.</w:t>
      </w:r>
    </w:p>
    <w:p w14:paraId="3FD1D91A" w14:textId="77777777" w:rsidR="00E92C91" w:rsidRPr="0046122F" w:rsidRDefault="00E92C91" w:rsidP="00065028">
      <w:pPr>
        <w:pStyle w:val="ListParagraph"/>
        <w:numPr>
          <w:ilvl w:val="0"/>
          <w:numId w:val="15"/>
        </w:numPr>
        <w:jc w:val="both"/>
      </w:pPr>
      <w:r>
        <w:t>Tunnistaa kyberriskejä kartoittamalla toimintatapoihinsa, järjestelmiinsä ja ihmisiinsä kohdistuvia riskejä ja hyödyntää jatkuvaa riskienarviointia</w:t>
      </w:r>
    </w:p>
    <w:p w14:paraId="32098823" w14:textId="555A9F09" w:rsidR="00E92C91" w:rsidRDefault="00E92C91" w:rsidP="00065028">
      <w:pPr>
        <w:pStyle w:val="ListParagraph"/>
        <w:numPr>
          <w:ilvl w:val="0"/>
          <w:numId w:val="15"/>
        </w:numPr>
        <w:jc w:val="both"/>
      </w:pPr>
      <w:r>
        <w:t>Priorisoida kyberriskit niiden arvioidun vaikutusten perusteella.</w:t>
      </w:r>
    </w:p>
    <w:p w14:paraId="2DA8311A" w14:textId="7DE1FC73" w:rsidR="00E92C91" w:rsidRDefault="00E92C91" w:rsidP="00065028">
      <w:pPr>
        <w:pStyle w:val="ListParagraph"/>
        <w:numPr>
          <w:ilvl w:val="0"/>
          <w:numId w:val="15"/>
        </w:numPr>
        <w:jc w:val="both"/>
      </w:pPr>
      <w:r>
        <w:t>Reagoida kyberriskeihin tai kyberriskikategorioihin esimerkiksi pienentämällä, hyväksymällä, välttämällä tai siirtämällä niitä.</w:t>
      </w:r>
    </w:p>
    <w:p w14:paraId="4AFE86B2" w14:textId="77777777" w:rsidR="00E92C91" w:rsidRDefault="00E92C91" w:rsidP="00065028">
      <w:pPr>
        <w:pStyle w:val="ListParagraph"/>
        <w:numPr>
          <w:ilvl w:val="0"/>
          <w:numId w:val="15"/>
        </w:numPr>
        <w:jc w:val="both"/>
      </w:pPr>
      <w:r>
        <w:t>Sopia hyväksyttävistä riskitasoista ja määrittää, millä toimenpiteillä organisaatiota suojataan ja mihin toimenpiteisiin mahdollisessa hyökkäystilanteessa ryhdytään hyökkäyksen havaitsemiseksi, analysoimiseksi, niihin vastaamiseksi ja niistä palautumiseksi.</w:t>
      </w:r>
    </w:p>
    <w:p w14:paraId="3137FA0E" w14:textId="1B00F6EC" w:rsidR="00644C34" w:rsidRDefault="00E92C91" w:rsidP="00065028">
      <w:pPr>
        <w:pStyle w:val="ListParagraph"/>
        <w:numPr>
          <w:ilvl w:val="0"/>
          <w:numId w:val="15"/>
        </w:numPr>
        <w:jc w:val="both"/>
      </w:pPr>
      <w:r>
        <w:t>H</w:t>
      </w:r>
      <w:r w:rsidR="00644C34">
        <w:t>uomioida kyberturvallisuusriskit päätöksiä tehdess</w:t>
      </w:r>
      <w:r>
        <w:t>ä.</w:t>
      </w:r>
    </w:p>
    <w:p w14:paraId="0A7FB048" w14:textId="135EBEBF" w:rsidR="00E92C91" w:rsidRDefault="00E92C91" w:rsidP="00065028">
      <w:pPr>
        <w:pStyle w:val="ListParagraph"/>
        <w:numPr>
          <w:ilvl w:val="1"/>
          <w:numId w:val="15"/>
        </w:numPr>
        <w:jc w:val="both"/>
      </w:pPr>
      <w:r>
        <w:t>Huomioida havaitut kyberturvallisuusriskit järjestelmien hankinnan suunnitteluvaiheen vaatimusten asettamisesta lähtien koko järjestelmien elinkaaren ajan.</w:t>
      </w:r>
    </w:p>
    <w:p w14:paraId="053EAF7C" w14:textId="267805A8" w:rsidR="00E92C91" w:rsidRDefault="00E92C91" w:rsidP="00065028">
      <w:pPr>
        <w:pStyle w:val="ListParagraph"/>
        <w:numPr>
          <w:ilvl w:val="1"/>
          <w:numId w:val="15"/>
        </w:numPr>
        <w:jc w:val="both"/>
      </w:pPr>
      <w:r>
        <w:t xml:space="preserve">Suunnitella järjestelmien elinkaarenhallinta kokonaisuutena ja varmistaa, että mahdollisten </w:t>
      </w:r>
      <w:r w:rsidRPr="00034E29">
        <w:t>jäännösriskien hyväksyminen</w:t>
      </w:r>
      <w:r>
        <w:t xml:space="preserve"> tehdään hallitusti ja tietoisesti.</w:t>
      </w:r>
    </w:p>
    <w:p w14:paraId="2012E0D5" w14:textId="3077C86A" w:rsidR="006F6AD0" w:rsidRDefault="006F6AD0" w:rsidP="00507BB8">
      <w:pPr>
        <w:pStyle w:val="Heading2"/>
        <w:spacing w:before="0" w:after="240"/>
        <w:jc w:val="both"/>
      </w:pPr>
      <w:bookmarkStart w:id="21" w:name="_Toc116913303"/>
      <w:r>
        <w:t>4.</w:t>
      </w:r>
      <w:r w:rsidR="00F7338F">
        <w:t>6</w:t>
      </w:r>
      <w:r w:rsidRPr="0046122F">
        <w:t xml:space="preserve">. </w:t>
      </w:r>
      <w:commentRangeStart w:id="22"/>
      <w:r>
        <w:t>Identiteetin ja pääsynhallinta</w:t>
      </w:r>
      <w:commentRangeEnd w:id="22"/>
      <w:r w:rsidR="00635625">
        <w:rPr>
          <w:rStyle w:val="CommentReference"/>
          <w:rFonts w:asciiTheme="minorHAnsi" w:eastAsiaTheme="minorEastAsia" w:hAnsiTheme="minorHAnsi" w:cstheme="minorBidi"/>
          <w:color w:val="auto"/>
        </w:rPr>
        <w:commentReference w:id="22"/>
      </w:r>
      <w:bookmarkEnd w:id="21"/>
    </w:p>
    <w:p w14:paraId="5A5ECE54" w14:textId="715C971C" w:rsidR="006F6AD0" w:rsidRDefault="006F6AD0" w:rsidP="00D649DE">
      <w:pPr>
        <w:jc w:val="both"/>
      </w:pPr>
      <w:r>
        <w:t xml:space="preserve">Liikenne- ja viestintävirasto suosittelee, että raideliikenteen toimijat </w:t>
      </w:r>
      <w:r w:rsidR="00AA54A9">
        <w:t>määrittävät toimintatavat käyttövaltuus- ja pääsynhallintaan fyysisten tilojen, informaatiojärjestelmien ja operatiivisten järjestelmien osalta huomioiden sisäiset ja ulkoiset henkilöt, mutta myös muut tahot (laitteet, järjestelmät, ohjelmistoprosessit) kiinnittäen erityistä huomioita etäyhteyksiin.</w:t>
      </w:r>
      <w:r w:rsidR="00F7338F">
        <w:t xml:space="preserve"> </w:t>
      </w:r>
      <w:r>
        <w:t>Tätä varten toimijoiden tulisi:</w:t>
      </w:r>
    </w:p>
    <w:p w14:paraId="1789A0F6" w14:textId="1F41F10D" w:rsidR="006F6AD0" w:rsidRDefault="005123A2" w:rsidP="00065028">
      <w:pPr>
        <w:pStyle w:val="ListParagraph"/>
        <w:numPr>
          <w:ilvl w:val="0"/>
          <w:numId w:val="16"/>
        </w:numPr>
        <w:jc w:val="both"/>
      </w:pPr>
      <w:r>
        <w:t>O</w:t>
      </w:r>
      <w:r w:rsidR="00333E42">
        <w:t>soittaa</w:t>
      </w:r>
      <w:r w:rsidR="00AA54A9">
        <w:t xml:space="preserve"> erilliset identiteetit työntekijöille ja muille yksiköille (kuten prosessit ja laitteet, jotka tarvitsevat pääsyn toimintoihin kuuluviin laitteisiin, ohjelmistoihin ja tietovarantoihin)</w:t>
      </w:r>
      <w:r>
        <w:t>, sekä arvioida j</w:t>
      </w:r>
      <w:r w:rsidR="00333E42">
        <w:t>aettujen identiteett</w:t>
      </w:r>
      <w:r w:rsidR="0091108D">
        <w:t>ien tarpeellisuutta</w:t>
      </w:r>
      <w:r w:rsidR="00333E42">
        <w:t>.</w:t>
      </w:r>
    </w:p>
    <w:p w14:paraId="40CB6AF7" w14:textId="7FD5922A" w:rsidR="00333E42" w:rsidRDefault="005123A2" w:rsidP="00065028">
      <w:pPr>
        <w:pStyle w:val="ListParagraph"/>
        <w:numPr>
          <w:ilvl w:val="1"/>
          <w:numId w:val="16"/>
        </w:numPr>
        <w:jc w:val="both"/>
      </w:pPr>
      <w:r>
        <w:t>J</w:t>
      </w:r>
      <w:r w:rsidR="00333E42">
        <w:t>akaa työntekijöille ja muille yksiköille pääsyvaltuustiedot kuten salasanat, älykortit tai avaimet</w:t>
      </w:r>
      <w:r>
        <w:t>.</w:t>
      </w:r>
    </w:p>
    <w:p w14:paraId="13662826" w14:textId="6ABABEE0" w:rsidR="00333E42" w:rsidRDefault="005123A2" w:rsidP="00065028">
      <w:pPr>
        <w:pStyle w:val="ListParagraph"/>
        <w:numPr>
          <w:ilvl w:val="1"/>
          <w:numId w:val="16"/>
        </w:numPr>
        <w:jc w:val="both"/>
      </w:pPr>
      <w:r>
        <w:t>P</w:t>
      </w:r>
      <w:r w:rsidR="00333E42">
        <w:t xml:space="preserve">oistaa identiteetit </w:t>
      </w:r>
      <w:r w:rsidR="00F96417">
        <w:t>käytöstä,</w:t>
      </w:r>
      <w:r w:rsidR="00333E42">
        <w:t xml:space="preserve"> kun niitä ei enää tarvita</w:t>
      </w:r>
      <w:r>
        <w:t>.</w:t>
      </w:r>
    </w:p>
    <w:p w14:paraId="679DBE23" w14:textId="388A2C5F" w:rsidR="00333E42" w:rsidRDefault="005123A2" w:rsidP="00065028">
      <w:pPr>
        <w:pStyle w:val="ListParagraph"/>
        <w:numPr>
          <w:ilvl w:val="0"/>
          <w:numId w:val="16"/>
        </w:numPr>
        <w:jc w:val="both"/>
      </w:pPr>
      <w:r>
        <w:t>K</w:t>
      </w:r>
      <w:r w:rsidR="00333E42">
        <w:t>äyttää loogisten käyttöoikeuksien (tietojärjestelmien) hallinnan valvonnan keinoja</w:t>
      </w:r>
      <w:r>
        <w:t>.</w:t>
      </w:r>
    </w:p>
    <w:p w14:paraId="0B57768B" w14:textId="5CD71A7B" w:rsidR="00333E42" w:rsidRDefault="005123A2" w:rsidP="00065028">
      <w:pPr>
        <w:pStyle w:val="ListParagraph"/>
        <w:numPr>
          <w:ilvl w:val="1"/>
          <w:numId w:val="16"/>
        </w:numPr>
        <w:jc w:val="both"/>
      </w:pPr>
      <w:r>
        <w:t>P</w:t>
      </w:r>
      <w:r w:rsidR="00333E42">
        <w:t xml:space="preserve">oistaa </w:t>
      </w:r>
      <w:r w:rsidR="00F96417">
        <w:t>käyttöoikeudet,</w:t>
      </w:r>
      <w:r w:rsidR="00333E42">
        <w:t xml:space="preserve"> kun niitä ei enää tarvita</w:t>
      </w:r>
      <w:r>
        <w:t>.</w:t>
      </w:r>
    </w:p>
    <w:p w14:paraId="59E1CC59" w14:textId="06013D32" w:rsidR="00333E42" w:rsidRDefault="005123A2" w:rsidP="00065028">
      <w:pPr>
        <w:pStyle w:val="ListParagraph"/>
        <w:numPr>
          <w:ilvl w:val="0"/>
          <w:numId w:val="16"/>
        </w:numPr>
        <w:jc w:val="both"/>
      </w:pPr>
      <w:r>
        <w:t>K</w:t>
      </w:r>
      <w:r w:rsidR="00333E42">
        <w:t>äyttää fyysisen pääsynhallinnan valvontakeinoja (esimerkiksi aitoja, lukkoja tai kylttejä)</w:t>
      </w:r>
      <w:r>
        <w:t>.</w:t>
      </w:r>
    </w:p>
    <w:p w14:paraId="3761DDCF" w14:textId="201E77B9" w:rsidR="00333E42" w:rsidRDefault="005123A2" w:rsidP="00065028">
      <w:pPr>
        <w:pStyle w:val="ListParagraph"/>
        <w:numPr>
          <w:ilvl w:val="1"/>
          <w:numId w:val="16"/>
        </w:numPr>
        <w:jc w:val="both"/>
      </w:pPr>
      <w:r>
        <w:t>P</w:t>
      </w:r>
      <w:r w:rsidR="00333E42">
        <w:t xml:space="preserve">oistaa </w:t>
      </w:r>
      <w:r w:rsidR="00F96417">
        <w:t>pääsyoikeudet,</w:t>
      </w:r>
      <w:r w:rsidR="00333E42">
        <w:t xml:space="preserve"> kun niitä ei enää tarvita</w:t>
      </w:r>
      <w:r>
        <w:t>.</w:t>
      </w:r>
    </w:p>
    <w:p w14:paraId="71A19803" w14:textId="22D97B08" w:rsidR="00333E42" w:rsidRDefault="005123A2" w:rsidP="00065028">
      <w:pPr>
        <w:pStyle w:val="ListParagraph"/>
        <w:numPr>
          <w:ilvl w:val="1"/>
          <w:numId w:val="16"/>
        </w:numPr>
        <w:jc w:val="both"/>
      </w:pPr>
      <w:r>
        <w:t>P</w:t>
      </w:r>
      <w:r w:rsidR="00333E42">
        <w:t>itää lokia pääsyoikeuksista</w:t>
      </w:r>
      <w:r>
        <w:t>.</w:t>
      </w:r>
    </w:p>
    <w:p w14:paraId="0A2F6BD5" w14:textId="38D75113" w:rsidR="003E70AB" w:rsidRDefault="003E70AB" w:rsidP="00507BB8">
      <w:pPr>
        <w:pStyle w:val="Heading2"/>
        <w:spacing w:before="0" w:after="240"/>
        <w:jc w:val="both"/>
      </w:pPr>
      <w:bookmarkStart w:id="23" w:name="_Toc116913304"/>
      <w:r>
        <w:t>4.</w:t>
      </w:r>
      <w:r w:rsidR="00F7338F">
        <w:t>7</w:t>
      </w:r>
      <w:r w:rsidRPr="0046122F">
        <w:t xml:space="preserve">. </w:t>
      </w:r>
      <w:r>
        <w:t>Tilannekuva</w:t>
      </w:r>
      <w:bookmarkEnd w:id="23"/>
    </w:p>
    <w:p w14:paraId="1586E20B" w14:textId="19DA3E3A" w:rsidR="003E70AB" w:rsidRPr="00034E29" w:rsidRDefault="003E70AB" w:rsidP="00D649DE">
      <w:pPr>
        <w:jc w:val="both"/>
      </w:pPr>
      <w:r>
        <w:t>Liikenne- ja viestintävirasto suosittelee, että raideliikenteen toimijat</w:t>
      </w:r>
      <w:r w:rsidRPr="00034E29">
        <w:t xml:space="preserve"> </w:t>
      </w:r>
      <w:r w:rsidR="0E054CB5" w:rsidRPr="00034E29">
        <w:t>määrittä</w:t>
      </w:r>
      <w:r>
        <w:t>v</w:t>
      </w:r>
      <w:r w:rsidR="0E054CB5" w:rsidRPr="00034E29">
        <w:t>ä</w:t>
      </w:r>
      <w:r>
        <w:t>t</w:t>
      </w:r>
      <w:r w:rsidR="0E054CB5" w:rsidRPr="00034E29">
        <w:t xml:space="preserve"> toiminnot ja käytettävät teknologiat operatiivisen ja kyberturvallisuustiedon keräämiseen, analysointiin, hälytysten nostamiseen, esittämiseen ja hyödyntämiseen tilannekuvan muodostamiseksi organisaation toiminnasta ja kyberturvallisuuden tasosta</w:t>
      </w:r>
      <w:r>
        <w:t>.</w:t>
      </w:r>
      <w:r w:rsidR="00F7338F">
        <w:t xml:space="preserve"> </w:t>
      </w:r>
      <w:r>
        <w:t>Tätä varten toimijan tulisi:</w:t>
      </w:r>
    </w:p>
    <w:p w14:paraId="60201439" w14:textId="4114CA97" w:rsidR="003E70AB" w:rsidRDefault="005123A2" w:rsidP="00065028">
      <w:pPr>
        <w:pStyle w:val="ListParagraph"/>
        <w:numPr>
          <w:ilvl w:val="0"/>
          <w:numId w:val="17"/>
        </w:numPr>
        <w:jc w:val="both"/>
      </w:pPr>
      <w:r>
        <w:t>K</w:t>
      </w:r>
      <w:r w:rsidR="003E70AB">
        <w:t>erätä</w:t>
      </w:r>
      <w:r w:rsidR="0E054CB5" w:rsidRPr="00034E29">
        <w:t xml:space="preserve"> loki</w:t>
      </w:r>
      <w:r w:rsidR="003E70AB">
        <w:t>tietoja raideliikenteen jatkuvuuden ja turvallisuuden kannalta tärkeistä laitteista, ohjelmistoista ja tietovarannoista</w:t>
      </w:r>
      <w:r>
        <w:t>.</w:t>
      </w:r>
    </w:p>
    <w:p w14:paraId="5908999E" w14:textId="46759573" w:rsidR="57FA3EA2" w:rsidRDefault="005123A2" w:rsidP="00065028">
      <w:pPr>
        <w:pStyle w:val="ListParagraph"/>
        <w:numPr>
          <w:ilvl w:val="0"/>
          <w:numId w:val="17"/>
        </w:numPr>
        <w:jc w:val="both"/>
      </w:pPr>
      <w:r>
        <w:t>S</w:t>
      </w:r>
      <w:r w:rsidR="003E70AB">
        <w:t>eurata ja analysoida</w:t>
      </w:r>
      <w:r w:rsidR="0E054CB5" w:rsidRPr="00034E29">
        <w:t xml:space="preserve"> lokien ja muiden lähteiden kautta kerät</w:t>
      </w:r>
      <w:r w:rsidR="003E70AB">
        <w:t>t</w:t>
      </w:r>
      <w:r w:rsidR="0E054CB5" w:rsidRPr="00034E29">
        <w:t>y</w:t>
      </w:r>
      <w:r w:rsidR="003E70AB">
        <w:t>ä</w:t>
      </w:r>
      <w:r w:rsidR="0E054CB5" w:rsidRPr="00034E29">
        <w:t xml:space="preserve"> tie</w:t>
      </w:r>
      <w:r w:rsidR="003E70AB">
        <w:t>toa</w:t>
      </w:r>
      <w:r>
        <w:t>.</w:t>
      </w:r>
    </w:p>
    <w:p w14:paraId="0A2D3F35" w14:textId="27B72E49" w:rsidR="003E70AB" w:rsidRPr="00034E29" w:rsidRDefault="005123A2" w:rsidP="00065028">
      <w:pPr>
        <w:pStyle w:val="ListParagraph"/>
        <w:numPr>
          <w:ilvl w:val="1"/>
          <w:numId w:val="17"/>
        </w:numPr>
        <w:jc w:val="both"/>
      </w:pPr>
      <w:r>
        <w:t>V</w:t>
      </w:r>
      <w:r w:rsidR="003E70AB">
        <w:t>alvoa IT- ja OT-ympäristöjä poikkeavan toiminnan ja mahdollisten kybertapahtumien varalta</w:t>
      </w:r>
      <w:r>
        <w:t>.</w:t>
      </w:r>
    </w:p>
    <w:p w14:paraId="5C17F826" w14:textId="598E20AE" w:rsidR="1ED6AFB8" w:rsidRDefault="005123A2" w:rsidP="00065028">
      <w:pPr>
        <w:pStyle w:val="ListParagraph"/>
        <w:numPr>
          <w:ilvl w:val="0"/>
          <w:numId w:val="17"/>
        </w:numPr>
        <w:jc w:val="both"/>
      </w:pPr>
      <w:r>
        <w:t>M</w:t>
      </w:r>
      <w:r w:rsidR="0E054CB5" w:rsidRPr="00034E29">
        <w:t xml:space="preserve">äärittää toimintatavat </w:t>
      </w:r>
      <w:r w:rsidR="003E70AB">
        <w:t xml:space="preserve">kyberturvallisuuden </w:t>
      </w:r>
      <w:r w:rsidR="0E054CB5" w:rsidRPr="00034E29">
        <w:t>tilannekuvan luomiseen</w:t>
      </w:r>
      <w:r w:rsidR="008E15C5">
        <w:t xml:space="preserve">, </w:t>
      </w:r>
      <w:r w:rsidR="0E054CB5" w:rsidRPr="00034E29">
        <w:t>ylläpitämiseen</w:t>
      </w:r>
      <w:r w:rsidR="008E15C5">
        <w:t xml:space="preserve"> ja viestimiseen</w:t>
      </w:r>
      <w:r w:rsidR="008F0CCA">
        <w:t>, joita päivitetään säännöllisesti</w:t>
      </w:r>
      <w:r>
        <w:t>.</w:t>
      </w:r>
    </w:p>
    <w:p w14:paraId="4E125791" w14:textId="041ADC6E" w:rsidR="008F0CCA" w:rsidRDefault="005123A2" w:rsidP="00065028">
      <w:pPr>
        <w:pStyle w:val="ListParagraph"/>
        <w:numPr>
          <w:ilvl w:val="1"/>
          <w:numId w:val="17"/>
        </w:numPr>
        <w:jc w:val="both"/>
      </w:pPr>
      <w:r>
        <w:t>K</w:t>
      </w:r>
      <w:r w:rsidR="008F0CCA">
        <w:t>oota yhteen valvontatietoa toimijan operatiivisen tilannekuvan muodostamiseksi</w:t>
      </w:r>
      <w:r>
        <w:t>.</w:t>
      </w:r>
    </w:p>
    <w:p w14:paraId="21934F70" w14:textId="43E1E1D8" w:rsidR="008F0CCA" w:rsidRPr="00034E29" w:rsidRDefault="005123A2" w:rsidP="00065028">
      <w:pPr>
        <w:pStyle w:val="ListParagraph"/>
        <w:numPr>
          <w:ilvl w:val="1"/>
          <w:numId w:val="17"/>
        </w:numPr>
        <w:jc w:val="both"/>
      </w:pPr>
      <w:r>
        <w:t>R</w:t>
      </w:r>
      <w:r w:rsidR="008F0CCA">
        <w:t>ikastaa tilannekuvaa organisaation muilla soveltuvilla tiedoilla</w:t>
      </w:r>
      <w:r>
        <w:t>.</w:t>
      </w:r>
    </w:p>
    <w:p w14:paraId="28451839" w14:textId="301E6D6B" w:rsidR="008F0CCA" w:rsidRDefault="008F0CCA" w:rsidP="00507BB8">
      <w:pPr>
        <w:pStyle w:val="Heading2"/>
        <w:spacing w:before="0" w:after="240"/>
        <w:jc w:val="both"/>
      </w:pPr>
      <w:bookmarkStart w:id="24" w:name="_Toc116913305"/>
      <w:r>
        <w:t>4.</w:t>
      </w:r>
      <w:r w:rsidR="00F7338F">
        <w:t>8</w:t>
      </w:r>
      <w:r w:rsidRPr="0046122F">
        <w:t xml:space="preserve">. </w:t>
      </w:r>
      <w:r>
        <w:t>T</w:t>
      </w:r>
      <w:r w:rsidR="003F764B">
        <w:t>apahtumien ja häiriöiden hallinta sekä toiminnan jatkuvuus</w:t>
      </w:r>
      <w:bookmarkEnd w:id="24"/>
    </w:p>
    <w:p w14:paraId="4152E3D5" w14:textId="5CA1A4C8" w:rsidR="003F764B" w:rsidRPr="00034E29" w:rsidRDefault="008F0CCA" w:rsidP="00D649DE">
      <w:pPr>
        <w:jc w:val="both"/>
      </w:pPr>
      <w:r>
        <w:t>Liikenne- ja viestintävirasto suosittelee</w:t>
      </w:r>
      <w:r w:rsidR="003F764B">
        <w:t xml:space="preserve">, että raideliikenteen toimijat </w:t>
      </w:r>
      <w:r w:rsidR="0E054CB5" w:rsidRPr="00034E29">
        <w:t>määrittä</w:t>
      </w:r>
      <w:r w:rsidR="003F764B">
        <w:t>v</w:t>
      </w:r>
      <w:r w:rsidR="0E054CB5" w:rsidRPr="00034E29">
        <w:t>ä</w:t>
      </w:r>
      <w:r w:rsidR="003F764B">
        <w:t>t</w:t>
      </w:r>
      <w:r w:rsidR="0E054CB5" w:rsidRPr="00034E29">
        <w:t xml:space="preserve"> suunnitelmia, prosesseja ja käytettäviä teknologioita kyberturvallisuuteen liittyvien tapahtumien ja -poikkeamien havaitsemiseksi, analysoimiseksi, niihin vastaamiseksi ja niistä palautumiseksi suhteessa raideliikenteen jatkuvuuteen ja turvallisuuteen kohdistuviin riskeihin</w:t>
      </w:r>
      <w:r w:rsidR="003F764B">
        <w:t>.</w:t>
      </w:r>
      <w:r w:rsidR="00F7338F">
        <w:t xml:space="preserve"> </w:t>
      </w:r>
      <w:r w:rsidR="003F764B">
        <w:t>Tätä varten toimijoiden tulisi:</w:t>
      </w:r>
    </w:p>
    <w:p w14:paraId="731AD615" w14:textId="6DE4F783" w:rsidR="00AC1EE8" w:rsidRDefault="008E15C5" w:rsidP="00065028">
      <w:pPr>
        <w:pStyle w:val="ListParagraph"/>
        <w:numPr>
          <w:ilvl w:val="0"/>
          <w:numId w:val="18"/>
        </w:numPr>
        <w:jc w:val="both"/>
      </w:pPr>
      <w:r>
        <w:t>M</w:t>
      </w:r>
      <w:r w:rsidR="0E054CB5" w:rsidRPr="00034E29">
        <w:t>äärittää toimintatavat kyberturvallisuustapahtumista ja -poikkeamista ilmoittamiseksi</w:t>
      </w:r>
      <w:r w:rsidR="003F764B">
        <w:t xml:space="preserve"> ennalta määritetyille henkilöille tai roolien haltijoille sekä pitää niistä lokia</w:t>
      </w:r>
      <w:r>
        <w:t>.</w:t>
      </w:r>
    </w:p>
    <w:p w14:paraId="798135E0" w14:textId="4884B820" w:rsidR="003F764B" w:rsidRDefault="008E15C5" w:rsidP="00065028">
      <w:pPr>
        <w:pStyle w:val="ListParagraph"/>
        <w:numPr>
          <w:ilvl w:val="0"/>
          <w:numId w:val="18"/>
        </w:numPr>
        <w:jc w:val="both"/>
      </w:pPr>
      <w:r>
        <w:t>L</w:t>
      </w:r>
      <w:r w:rsidR="003F764B">
        <w:t xml:space="preserve">aatia </w:t>
      </w:r>
      <w:proofErr w:type="spellStart"/>
      <w:r w:rsidR="003F764B">
        <w:t>kriteeristö</w:t>
      </w:r>
      <w:proofErr w:type="spellEnd"/>
      <w:r w:rsidR="003F764B">
        <w:t xml:space="preserve"> kyberhäiriöiden määrittämisestä</w:t>
      </w:r>
      <w:r>
        <w:t>.</w:t>
      </w:r>
    </w:p>
    <w:p w14:paraId="56C37BA7" w14:textId="0175F466" w:rsidR="003F764B" w:rsidRDefault="008E15C5" w:rsidP="00065028">
      <w:pPr>
        <w:pStyle w:val="ListParagraph"/>
        <w:numPr>
          <w:ilvl w:val="1"/>
          <w:numId w:val="18"/>
        </w:numPr>
        <w:jc w:val="both"/>
      </w:pPr>
      <w:r>
        <w:t>A</w:t>
      </w:r>
      <w:r w:rsidR="003F764B">
        <w:t>nalysoida kybertapahtumat siten, että se tukee mahdollisten kyberhäiriöiden määrittämistä</w:t>
      </w:r>
      <w:r>
        <w:t>.</w:t>
      </w:r>
    </w:p>
    <w:p w14:paraId="7F22EA9F" w14:textId="7B033266" w:rsidR="003F764B" w:rsidRDefault="008E15C5" w:rsidP="00065028">
      <w:pPr>
        <w:pStyle w:val="ListParagraph"/>
        <w:numPr>
          <w:ilvl w:val="0"/>
          <w:numId w:val="18"/>
        </w:numPr>
        <w:jc w:val="both"/>
      </w:pPr>
      <w:r>
        <w:t>T</w:t>
      </w:r>
      <w:r w:rsidR="003F764B">
        <w:t>unnistaa soveltuvat työntekijät ja osoittaa heille roolit kybertapahtumiin ja -häiriöihin reago</w:t>
      </w:r>
      <w:r w:rsidR="00DF5A1B">
        <w:t>i</w:t>
      </w:r>
      <w:r w:rsidR="003F764B">
        <w:t>mista varten</w:t>
      </w:r>
      <w:r>
        <w:t>.</w:t>
      </w:r>
    </w:p>
    <w:p w14:paraId="55789E55" w14:textId="32563100" w:rsidR="003F764B" w:rsidRDefault="008E15C5" w:rsidP="00065028">
      <w:pPr>
        <w:pStyle w:val="ListParagraph"/>
        <w:numPr>
          <w:ilvl w:val="1"/>
          <w:numId w:val="18"/>
        </w:numPr>
        <w:jc w:val="both"/>
      </w:pPr>
      <w:r>
        <w:t>R</w:t>
      </w:r>
      <w:r w:rsidR="003F764B">
        <w:t>eagoida kybertapahtumiin ja -häiriöihin siten, että rajoitetaan toimintoon kohdistuvaa vaikutusta ja palautetaan toiminta normaaliksi</w:t>
      </w:r>
      <w:r>
        <w:t>.</w:t>
      </w:r>
    </w:p>
    <w:p w14:paraId="2CB91E13" w14:textId="12806606" w:rsidR="00DF5A1B" w:rsidRDefault="008E15C5" w:rsidP="00065028">
      <w:pPr>
        <w:pStyle w:val="ListParagraph"/>
        <w:numPr>
          <w:ilvl w:val="1"/>
          <w:numId w:val="18"/>
        </w:numPr>
        <w:jc w:val="both"/>
      </w:pPr>
      <w:r>
        <w:t>K</w:t>
      </w:r>
      <w:r w:rsidR="00DF5A1B">
        <w:t>yberhäiriöistä raportoidaan Liikenne- ja viestintäviraston Kyberturvallisuuskeskukselle ja raideliikenneyksikölle sekä esimerkiksi L-ISAC ryhmälle</w:t>
      </w:r>
      <w:r>
        <w:t>.</w:t>
      </w:r>
    </w:p>
    <w:p w14:paraId="253523B6" w14:textId="7B043743" w:rsidR="00DF5A1B" w:rsidRDefault="008E15C5" w:rsidP="00065028">
      <w:pPr>
        <w:pStyle w:val="ListParagraph"/>
        <w:numPr>
          <w:ilvl w:val="1"/>
          <w:numId w:val="18"/>
        </w:numPr>
        <w:jc w:val="both"/>
      </w:pPr>
      <w:r>
        <w:t>T</w:t>
      </w:r>
      <w:r w:rsidR="00DF5A1B">
        <w:t>ietoturvaloukkauksista ja niiden yrityksistä ilmoitetaan poliisille</w:t>
      </w:r>
      <w:r>
        <w:t>.</w:t>
      </w:r>
    </w:p>
    <w:p w14:paraId="78650836" w14:textId="24427079" w:rsidR="00DF5A1B" w:rsidRPr="007E2360" w:rsidRDefault="008E15C5" w:rsidP="00065028">
      <w:pPr>
        <w:pStyle w:val="ListParagraph"/>
        <w:numPr>
          <w:ilvl w:val="0"/>
          <w:numId w:val="18"/>
        </w:numPr>
        <w:jc w:val="both"/>
      </w:pPr>
      <w:r>
        <w:t>L</w:t>
      </w:r>
      <w:r w:rsidR="00DF5A1B">
        <w:t xml:space="preserve">aatia omaa toimintaansa koskeva järjestelmien toipumissuunnitelma sekä toiminnon jatkuvuussuunnitelma, jossa huomioidaan organisaation keinot toiminnan jatkamiseen häiriötilanteissa sekä </w:t>
      </w:r>
      <w:r w:rsidR="00DF5A1B" w:rsidRPr="00034E29">
        <w:t>mahdollisuudet raideliikenteen jatkuvuuden ja turvallisuuden kannalta kriittisten palvelujen tarjoamisen varmistamiseen</w:t>
      </w:r>
      <w:r>
        <w:t>.</w:t>
      </w:r>
    </w:p>
    <w:p w14:paraId="262E6224" w14:textId="78FCC185" w:rsidR="00DF5A1B" w:rsidRDefault="008E15C5" w:rsidP="00065028">
      <w:pPr>
        <w:pStyle w:val="ListParagraph"/>
        <w:numPr>
          <w:ilvl w:val="1"/>
          <w:numId w:val="18"/>
        </w:numPr>
        <w:jc w:val="both"/>
      </w:pPr>
      <w:proofErr w:type="spellStart"/>
      <w:r>
        <w:t>V</w:t>
      </w:r>
      <w:r w:rsidR="00DF5A1B">
        <w:t>armuuskopioida</w:t>
      </w:r>
      <w:proofErr w:type="spellEnd"/>
      <w:r w:rsidR="00DF5A1B">
        <w:t xml:space="preserve"> tiedot ja testata varmuuskopioita</w:t>
      </w:r>
      <w:r>
        <w:t>.</w:t>
      </w:r>
    </w:p>
    <w:p w14:paraId="4E0AD01D" w14:textId="178277A7" w:rsidR="00DF5A1B" w:rsidRPr="00034E29" w:rsidRDefault="008E15C5" w:rsidP="00065028">
      <w:pPr>
        <w:pStyle w:val="ListParagraph"/>
        <w:numPr>
          <w:ilvl w:val="1"/>
          <w:numId w:val="18"/>
        </w:numPr>
        <w:jc w:val="both"/>
      </w:pPr>
      <w:r>
        <w:t>T</w:t>
      </w:r>
      <w:r w:rsidR="00DF5A1B">
        <w:t>unnistaa varaosia tarvitsevat rautatieliikenteen jatkuvuuden ja turvallisuuden kannalta kriittiset IT- ja OT-laitteet</w:t>
      </w:r>
      <w:r>
        <w:t>.</w:t>
      </w:r>
    </w:p>
    <w:p w14:paraId="4777E5D5" w14:textId="64B534CD" w:rsidR="001F71A1" w:rsidRPr="007E2360" w:rsidRDefault="008E15C5" w:rsidP="00065028">
      <w:pPr>
        <w:pStyle w:val="ListParagraph"/>
        <w:numPr>
          <w:ilvl w:val="0"/>
          <w:numId w:val="18"/>
        </w:numPr>
        <w:jc w:val="both"/>
      </w:pPr>
      <w:r>
        <w:t>H</w:t>
      </w:r>
      <w:r w:rsidR="001F71A1">
        <w:t>arjoitella oman organisaation sisällä sekä yhdessä muiden liikennejärjestelmän toimijoiden kanssa jatkuvuussuunnitelmien testaamiseksi, kyberturvallisuustapahtumiin ja -poikkeamiin vastaamiseksi ja haavoittuvuuksien kartoittamiseksi</w:t>
      </w:r>
      <w:r>
        <w:t>.</w:t>
      </w:r>
    </w:p>
    <w:p w14:paraId="4541D597" w14:textId="71BE4AFD" w:rsidR="00F7338F" w:rsidRDefault="00F7338F" w:rsidP="00507BB8">
      <w:pPr>
        <w:pStyle w:val="Heading2"/>
        <w:spacing w:before="0" w:after="240"/>
        <w:jc w:val="both"/>
      </w:pPr>
      <w:bookmarkStart w:id="25" w:name="_Toc116913306"/>
      <w:r>
        <w:t>4.9</w:t>
      </w:r>
      <w:r w:rsidRPr="0046122F">
        <w:t xml:space="preserve">. </w:t>
      </w:r>
      <w:r>
        <w:t>Kumppaniverkoston riskien hallinta</w:t>
      </w:r>
      <w:bookmarkEnd w:id="25"/>
    </w:p>
    <w:p w14:paraId="0E044941" w14:textId="560469FD" w:rsidR="4C765B28" w:rsidRDefault="00F7338F" w:rsidP="00D649DE">
      <w:pPr>
        <w:jc w:val="both"/>
      </w:pPr>
      <w:r>
        <w:t>Liikenne- ja viestintävirasto suosittelee, että raideliikenteen toimijat</w:t>
      </w:r>
      <w:r w:rsidRPr="00034E29">
        <w:t xml:space="preserve"> </w:t>
      </w:r>
      <w:r w:rsidR="0E054CB5" w:rsidRPr="00034E29">
        <w:t>määrittä</w:t>
      </w:r>
      <w:r>
        <w:t>v</w:t>
      </w:r>
      <w:r w:rsidR="0E054CB5" w:rsidRPr="00034E29">
        <w:t>ä</w:t>
      </w:r>
      <w:r>
        <w:t>t</w:t>
      </w:r>
      <w:r w:rsidR="0E054CB5" w:rsidRPr="00034E29">
        <w:t xml:space="preserve"> toimintatavat toimitusketjun ja ulkoisten riippuvuuksien hallintaan, joilla hallitaan palveluiden ja suojattavien kohteiden ulkopuolisesta tahoista riippuvaisia kyberturvallisuusriskejä suhteessa raideliikenteen jatkuvuuteen ja turvallisuuteen kohdistuviin riskeihin</w:t>
      </w:r>
      <w:r>
        <w:t>. Tätä varten toimijoiden tulisi:</w:t>
      </w:r>
    </w:p>
    <w:p w14:paraId="0262FCC2" w14:textId="45C09C3F" w:rsidR="00F7338F" w:rsidRDefault="00D215D8" w:rsidP="00065028">
      <w:pPr>
        <w:pStyle w:val="ListParagraph"/>
        <w:numPr>
          <w:ilvl w:val="0"/>
          <w:numId w:val="19"/>
        </w:numPr>
        <w:jc w:val="both"/>
      </w:pPr>
      <w:r>
        <w:t>T</w:t>
      </w:r>
      <w:r w:rsidR="00F7338F">
        <w:t>unnistaa merkittävät kumppaniverkoston IT- ja OT-riippuvuudet, mukaan lukien toimintojen operoinnista vastaavat kumppanit</w:t>
      </w:r>
      <w:r>
        <w:t>.</w:t>
      </w:r>
    </w:p>
    <w:p w14:paraId="2F58AAC0" w14:textId="069E548C" w:rsidR="00F7338F" w:rsidRDefault="00D215D8" w:rsidP="00065028">
      <w:pPr>
        <w:pStyle w:val="ListParagraph"/>
        <w:numPr>
          <w:ilvl w:val="1"/>
          <w:numId w:val="19"/>
        </w:numPr>
        <w:jc w:val="both"/>
      </w:pPr>
      <w:r>
        <w:t>T</w:t>
      </w:r>
      <w:r w:rsidR="00F7338F">
        <w:t>unnistaa kumppaniverkoston toimijat, jotka omistavat, hallinnoivat tai pääsevät muutoin käyttämään toiminnon kannalta tärkeitä laitteita, ohjelmistoja tai tietovarantoja</w:t>
      </w:r>
      <w:r>
        <w:t>.</w:t>
      </w:r>
    </w:p>
    <w:p w14:paraId="69B74030" w14:textId="63EC0103" w:rsidR="0063400D" w:rsidRDefault="0063400D" w:rsidP="00065028">
      <w:pPr>
        <w:pStyle w:val="ListParagraph"/>
        <w:numPr>
          <w:ilvl w:val="0"/>
          <w:numId w:val="19"/>
        </w:numPr>
        <w:jc w:val="both"/>
      </w:pPr>
      <w:r>
        <w:t>Huomioida osana toimittajien ja muiden kumppaniverkoston toimijoiden valintaa arvio niiden kyberturvallisuuskelpoisuuksista.</w:t>
      </w:r>
    </w:p>
    <w:p w14:paraId="16F5AF65" w14:textId="0FB3A5E0" w:rsidR="0063400D" w:rsidRDefault="0063400D" w:rsidP="00065028">
      <w:pPr>
        <w:pStyle w:val="ListParagraph"/>
        <w:numPr>
          <w:ilvl w:val="0"/>
          <w:numId w:val="19"/>
        </w:numPr>
        <w:jc w:val="both"/>
      </w:pPr>
      <w:r>
        <w:t>Huomioida tuotteiden ja palveluita valittaessa arvio niiden kyberkyvykkyyksistä.</w:t>
      </w:r>
    </w:p>
    <w:p w14:paraId="2FEA768B" w14:textId="05460194" w:rsidR="00D215D8" w:rsidRDefault="00D215D8" w:rsidP="00065028">
      <w:pPr>
        <w:pStyle w:val="ListParagraph"/>
        <w:numPr>
          <w:ilvl w:val="1"/>
          <w:numId w:val="19"/>
        </w:numPr>
        <w:jc w:val="both"/>
      </w:pPr>
      <w:r>
        <w:t>Varmistaa hankittavien järjestelmien turvallisuus asettamalla hankintavaiheessa tarvittavat kyberturvallisuusvaatimukset sekä hankittavalle järjestelmälle että toimittajan kyberturvallisuuden tasolle.</w:t>
      </w:r>
    </w:p>
    <w:p w14:paraId="701E4311" w14:textId="4D280088" w:rsidR="008927D5" w:rsidRDefault="00D215D8" w:rsidP="00065028">
      <w:pPr>
        <w:pStyle w:val="ListParagraph"/>
        <w:numPr>
          <w:ilvl w:val="0"/>
          <w:numId w:val="19"/>
        </w:numPr>
        <w:jc w:val="both"/>
      </w:pPr>
      <w:r>
        <w:t>H</w:t>
      </w:r>
      <w:r w:rsidR="008927D5">
        <w:t xml:space="preserve">uolehtia </w:t>
      </w:r>
      <w:r>
        <w:t xml:space="preserve">sopimuksin </w:t>
      </w:r>
      <w:r w:rsidR="008927D5">
        <w:t>kumppaniverkoston toimijoiden kyberturvallisuustoimenpiteiden riittävyydestä ja niiden sovittamisesta oman organisaation kyberturvallisuuden toimintamalleihin</w:t>
      </w:r>
      <w:r>
        <w:t>.</w:t>
      </w:r>
    </w:p>
    <w:p w14:paraId="6124821B" w14:textId="1CAD197A" w:rsidR="00EC062D" w:rsidRDefault="00D215D8" w:rsidP="00065028">
      <w:pPr>
        <w:pStyle w:val="ListParagraph"/>
        <w:numPr>
          <w:ilvl w:val="0"/>
          <w:numId w:val="19"/>
        </w:numPr>
        <w:jc w:val="both"/>
      </w:pPr>
      <w:r>
        <w:t>O</w:t>
      </w:r>
      <w:commentRangeStart w:id="26"/>
      <w:r w:rsidR="00EC062D">
        <w:t xml:space="preserve">sana hyväksyntätestausta hankittavat laitteet, tietovarannot ja </w:t>
      </w:r>
      <w:r w:rsidR="00EC062D" w:rsidRPr="00034E29">
        <w:t>järjestelmät todetaan turvallisuustestauksella turvallisiksi ennen niiden käyttöönottoa</w:t>
      </w:r>
      <w:commentRangeEnd w:id="26"/>
      <w:r w:rsidR="00EC062D">
        <w:rPr>
          <w:rStyle w:val="CommentReference"/>
        </w:rPr>
        <w:commentReference w:id="26"/>
      </w:r>
      <w:r>
        <w:t>.</w:t>
      </w:r>
      <w:r w:rsidR="00EC062D">
        <w:t xml:space="preserve"> </w:t>
      </w:r>
    </w:p>
    <w:p w14:paraId="210BC805" w14:textId="73833562" w:rsidR="00866EF8" w:rsidRDefault="00D53D5D" w:rsidP="00507BB8">
      <w:pPr>
        <w:pStyle w:val="Heading2"/>
        <w:spacing w:before="0" w:after="240"/>
        <w:jc w:val="both"/>
      </w:pPr>
      <w:bookmarkStart w:id="27" w:name="_Toc116913307"/>
      <w:r>
        <w:t>4.10</w:t>
      </w:r>
      <w:r w:rsidR="00866EF8" w:rsidRPr="0046122F">
        <w:t xml:space="preserve">. </w:t>
      </w:r>
      <w:r w:rsidR="00866EF8">
        <w:t>Henkilöstön johtaminen ja kehittäminen</w:t>
      </w:r>
      <w:bookmarkEnd w:id="27"/>
    </w:p>
    <w:p w14:paraId="459844C2" w14:textId="710BF8BD" w:rsidR="00866EF8" w:rsidRDefault="00866EF8" w:rsidP="00D649DE">
      <w:pPr>
        <w:jc w:val="both"/>
      </w:pPr>
      <w:r>
        <w:t xml:space="preserve">Liikenne- ja viestintävirasto suosittelee, että raideliikenteen toimijat määrittävät ja ylläpitävät suunnitelmia, prosesseja, teknologiaa ja kontrolleja toimijan kyberturvallisuuskulttuurin luomiseksi ja sopivan sekä osaavan henkilöstön takaamiseksi suhteessa raideliikenteen </w:t>
      </w:r>
      <w:r w:rsidR="00210896">
        <w:t>toimintavarmuuteen</w:t>
      </w:r>
      <w:r>
        <w:t xml:space="preserve"> ja turvallisuuteen kohdistuviin riskeihin ja toimijan omiin tavoitteisiin. Tätä varten toimijoiden tulisi:</w:t>
      </w:r>
    </w:p>
    <w:p w14:paraId="60E7C235" w14:textId="00176FC7" w:rsidR="00DD047B" w:rsidRDefault="002952FA" w:rsidP="00065028">
      <w:pPr>
        <w:pStyle w:val="ListParagraph"/>
        <w:numPr>
          <w:ilvl w:val="0"/>
          <w:numId w:val="20"/>
        </w:numPr>
        <w:jc w:val="both"/>
      </w:pPr>
      <w:r>
        <w:t>T</w:t>
      </w:r>
      <w:r w:rsidR="00DD047B">
        <w:t>unnistaa kyberturvallisuuteen liittyvät vastuut ja nimetä organisaation vastuuhenkilön tai -henkilöt</w:t>
      </w:r>
      <w:r>
        <w:t>.</w:t>
      </w:r>
    </w:p>
    <w:p w14:paraId="28824C3D" w14:textId="52791BDC" w:rsidR="00DD047B" w:rsidRDefault="002952FA" w:rsidP="00065028">
      <w:pPr>
        <w:pStyle w:val="ListParagraph"/>
        <w:numPr>
          <w:ilvl w:val="0"/>
          <w:numId w:val="20"/>
        </w:numPr>
        <w:jc w:val="both"/>
      </w:pPr>
      <w:r>
        <w:t>K</w:t>
      </w:r>
      <w:r w:rsidR="00AD363C">
        <w:t xml:space="preserve">yberturvallisuuskoulutusta </w:t>
      </w:r>
      <w:r w:rsidR="00DD047B">
        <w:t>vastuuhenkilöille</w:t>
      </w:r>
      <w:r w:rsidR="00AD363C">
        <w:t xml:space="preserve"> tarjoamalla</w:t>
      </w:r>
      <w:r w:rsidR="00AD363C" w:rsidRPr="00AD363C">
        <w:t xml:space="preserve"> </w:t>
      </w:r>
      <w:r w:rsidR="00AD363C">
        <w:t>varmistaa, että organisaatiossa on sen toiminnan laatuun ja laajuuteen nähden riittävää kyberturvallisuusosaamista, jota ylläpidetään ja kehitetään</w:t>
      </w:r>
      <w:r>
        <w:t>.</w:t>
      </w:r>
    </w:p>
    <w:p w14:paraId="42ED64FF" w14:textId="3E930EF5" w:rsidR="00DD047B" w:rsidRDefault="002952FA" w:rsidP="00065028">
      <w:pPr>
        <w:pStyle w:val="ListParagraph"/>
        <w:numPr>
          <w:ilvl w:val="0"/>
          <w:numId w:val="20"/>
        </w:numPr>
        <w:jc w:val="both"/>
      </w:pPr>
      <w:r>
        <w:t>V</w:t>
      </w:r>
      <w:r w:rsidR="00DD047B">
        <w:t>armistaa, että vastuuhenkilöt</w:t>
      </w:r>
      <w:r w:rsidR="00DD047B" w:rsidRPr="00DD047B">
        <w:t xml:space="preserve"> </w:t>
      </w:r>
      <w:r w:rsidR="00DD047B">
        <w:t>tuntevat toimijan toiminnalliset ja liikennöintiä koskevat järjestelmät ja ymmärtävät niihin kohdistuvat kyberturvallisuusriskit sekä työskentelevät niiden minimoimiseksi. Vastuuhenkilöt tuntevat kyberturvallisuutta koskevan lainsäädännön ja standardit ja voivat varmistaa niiden riittävän huomioimisen ja noudattamisen organisaatiossa</w:t>
      </w:r>
      <w:r>
        <w:t>.</w:t>
      </w:r>
    </w:p>
    <w:p w14:paraId="328FB22B" w14:textId="7A9A6DB6" w:rsidR="00DD047B" w:rsidRDefault="002952FA" w:rsidP="00065028">
      <w:pPr>
        <w:pStyle w:val="ListParagraph"/>
        <w:numPr>
          <w:ilvl w:val="0"/>
          <w:numId w:val="20"/>
        </w:numPr>
        <w:jc w:val="both"/>
      </w:pPr>
      <w:r>
        <w:t>T</w:t>
      </w:r>
      <w:r w:rsidR="00DD047B">
        <w:t>unnistaa kyberturvallisuuteen liittyvien tietojen, taitojen ja kykyjen vaatimukset ja niissä mahdollisesti ilmenevät puutteet sekä nykyiset että tulevat tarpeet huomioiden</w:t>
      </w:r>
      <w:r>
        <w:t>.</w:t>
      </w:r>
    </w:p>
    <w:p w14:paraId="2B79B129" w14:textId="662B4ACB" w:rsidR="00866EF8" w:rsidRPr="00AC1EE8" w:rsidRDefault="002952FA" w:rsidP="00065028">
      <w:pPr>
        <w:pStyle w:val="ListParagraph"/>
        <w:numPr>
          <w:ilvl w:val="0"/>
          <w:numId w:val="20"/>
        </w:numPr>
        <w:jc w:val="both"/>
      </w:pPr>
      <w:r>
        <w:t>K</w:t>
      </w:r>
      <w:r w:rsidR="00866EF8">
        <w:t>ouluttaa myös muuta henkilöstöään ja tarvittaessa myös alihankkijoitaan kyberturvallisuuskysymyksistä ja huolehtia organisaation kyberturvallisuustietoisuuden kasvattamisesta</w:t>
      </w:r>
      <w:r>
        <w:t>.</w:t>
      </w:r>
    </w:p>
    <w:p w14:paraId="24851F4F" w14:textId="43343965" w:rsidR="554966EE" w:rsidRDefault="002952FA" w:rsidP="00065028">
      <w:pPr>
        <w:pStyle w:val="ListParagraph"/>
        <w:numPr>
          <w:ilvl w:val="0"/>
          <w:numId w:val="20"/>
        </w:numPr>
        <w:jc w:val="both"/>
      </w:pPr>
      <w:r>
        <w:t>M</w:t>
      </w:r>
      <w:r w:rsidR="0E054CB5" w:rsidRPr="00034E29">
        <w:t>äärittää toimintatavat työntekijöiden ja toimittajien taustatarkastuksiin sekä nimeämiseen sellaisiin tehtäviin, joissa on pääsy raideliikenteen jatkuvuuden ja turvallisuuden kannalta kriittisten palveluiden toimittamiseen liittyviin suojattaviin kohteisiin</w:t>
      </w:r>
      <w:r>
        <w:t>.</w:t>
      </w:r>
    </w:p>
    <w:p w14:paraId="607E78CC" w14:textId="5030EA54" w:rsidR="00AD363C" w:rsidRPr="00034E29" w:rsidRDefault="002952FA" w:rsidP="00065028">
      <w:pPr>
        <w:pStyle w:val="ListParagraph"/>
        <w:numPr>
          <w:ilvl w:val="1"/>
          <w:numId w:val="20"/>
        </w:numPr>
        <w:jc w:val="both"/>
      </w:pPr>
      <w:r>
        <w:t>T</w:t>
      </w:r>
      <w:r w:rsidR="00AD363C">
        <w:t>yösuhteen päättymiseen liittyvissä menettelyissä huomioidaan kyberturvallisuus</w:t>
      </w:r>
      <w:r>
        <w:t>.</w:t>
      </w:r>
    </w:p>
    <w:p w14:paraId="50E79CBB" w14:textId="1F393E2D" w:rsidR="00D53D5D" w:rsidRDefault="003965F1" w:rsidP="00507BB8">
      <w:pPr>
        <w:pStyle w:val="Heading2"/>
        <w:spacing w:before="0" w:after="240"/>
        <w:jc w:val="both"/>
      </w:pPr>
      <w:bookmarkStart w:id="28" w:name="_Toc116913308"/>
      <w:r>
        <w:t>4.11</w:t>
      </w:r>
      <w:r w:rsidR="00D53D5D" w:rsidRPr="0046122F">
        <w:t xml:space="preserve">. </w:t>
      </w:r>
      <w:r w:rsidR="00D53D5D">
        <w:t>Kyberturvallisuusarkkitehtuuri</w:t>
      </w:r>
      <w:bookmarkEnd w:id="28"/>
    </w:p>
    <w:p w14:paraId="15C801DB" w14:textId="6B5057E7" w:rsidR="003965F1" w:rsidRDefault="003965F1" w:rsidP="00D649DE">
      <w:pPr>
        <w:jc w:val="both"/>
      </w:pPr>
      <w:r>
        <w:t>Liikenne- ja viestintävirasto suosittelee, että raideliikenteen toimijat luovat ja ylläpitävät rakenteita, joilla ne hallinnoivat ja ohjaavat organisaatioiden kyberturvallisuuskontrolleja, -prosesseja ja muuta kyberturvallisuuden toimintaa suhteessa sekä organisaation omaisuuteen kohdistuviin riskeihin, että organisaation asettamiin tavoitteisiin. Tätä varten toimijoiden tulisi:</w:t>
      </w:r>
    </w:p>
    <w:p w14:paraId="2018FB9E" w14:textId="53445E51" w:rsidR="003965F1" w:rsidRPr="00034E29" w:rsidRDefault="009E0CB8" w:rsidP="00065028">
      <w:pPr>
        <w:pStyle w:val="ListParagraph"/>
        <w:numPr>
          <w:ilvl w:val="0"/>
          <w:numId w:val="21"/>
        </w:numPr>
        <w:jc w:val="both"/>
      </w:pPr>
      <w:r>
        <w:t>M</w:t>
      </w:r>
      <w:r w:rsidR="003965F1" w:rsidRPr="00034E29">
        <w:t xml:space="preserve">äärittää kyberturvallisuusarkkitehtuuristrategia </w:t>
      </w:r>
      <w:commentRangeStart w:id="29"/>
      <w:r w:rsidR="00656E59">
        <w:t>kriittisten järjestelmien eheyden ja saatavuuden</w:t>
      </w:r>
      <w:commentRangeEnd w:id="29"/>
      <w:r w:rsidR="00656E59">
        <w:rPr>
          <w:rStyle w:val="CommentReference"/>
        </w:rPr>
        <w:commentReference w:id="29"/>
      </w:r>
      <w:r w:rsidR="00656E59">
        <w:t xml:space="preserve"> sekä </w:t>
      </w:r>
      <w:r w:rsidR="003965F1" w:rsidRPr="00034E29">
        <w:t>suojattavan tiedon ympärille kiinnittäen erityistä huomioita turvalaitteiden suunnittelu- ja käyttöperiaatteisiin sekä laitetilojen fyysiseen suojaamiseen ja valvontaan</w:t>
      </w:r>
      <w:r>
        <w:t>.</w:t>
      </w:r>
    </w:p>
    <w:p w14:paraId="62A79371" w14:textId="5EF35B6B" w:rsidR="003965F1" w:rsidRPr="007E2360" w:rsidRDefault="009E0CB8" w:rsidP="00065028">
      <w:pPr>
        <w:pStyle w:val="ListParagraph"/>
        <w:numPr>
          <w:ilvl w:val="0"/>
          <w:numId w:val="21"/>
        </w:numPr>
        <w:jc w:val="both"/>
      </w:pPr>
      <w:r>
        <w:t>E</w:t>
      </w:r>
      <w:r w:rsidR="009E7DA8">
        <w:t xml:space="preserve">riyttää organisaation IT-verkot OT-verkoista esimerkiksi </w:t>
      </w:r>
      <w:r w:rsidR="003965F1">
        <w:t>toteutta</w:t>
      </w:r>
      <w:r w:rsidR="009E7DA8">
        <w:t>m</w:t>
      </w:r>
      <w:r w:rsidR="003965F1">
        <w:t>a</w:t>
      </w:r>
      <w:r w:rsidR="009E7DA8">
        <w:t>lla</w:t>
      </w:r>
      <w:r w:rsidR="003965F1">
        <w:t xml:space="preserve"> verkkojen segmentointi sekä arvioida verkkojen kahdentamisen tarve ja toteuttaa tarvittavat verkkojen kahdennukset</w:t>
      </w:r>
      <w:r>
        <w:t>.</w:t>
      </w:r>
    </w:p>
    <w:p w14:paraId="1FE912C2" w14:textId="2FCE2A27" w:rsidR="009E7DA8" w:rsidRDefault="009E0CB8" w:rsidP="00065028">
      <w:pPr>
        <w:pStyle w:val="ListParagraph"/>
        <w:numPr>
          <w:ilvl w:val="0"/>
          <w:numId w:val="21"/>
        </w:numPr>
        <w:jc w:val="both"/>
      </w:pPr>
      <w:r>
        <w:t>K</w:t>
      </w:r>
      <w:r w:rsidR="009E7DA8">
        <w:t>äyttää kyberturvallisuuden suojausmekanismeja toiminnan kannalta tärkeille laitteille, ohjelmistoille ja tietovarannoille</w:t>
      </w:r>
      <w:r>
        <w:t>.</w:t>
      </w:r>
    </w:p>
    <w:p w14:paraId="7ADFA653" w14:textId="146E2FCD" w:rsidR="009E7DA8" w:rsidRDefault="009E0CB8" w:rsidP="00065028">
      <w:pPr>
        <w:pStyle w:val="ListParagraph"/>
        <w:numPr>
          <w:ilvl w:val="0"/>
          <w:numId w:val="21"/>
        </w:numPr>
        <w:jc w:val="both"/>
      </w:pPr>
      <w:r>
        <w:t>V</w:t>
      </w:r>
      <w:r w:rsidR="009E7DA8" w:rsidRPr="00034E29">
        <w:t>armistaa</w:t>
      </w:r>
      <w:r w:rsidR="00264486">
        <w:t xml:space="preserve"> korkean prioriteetin laitteissa ja ohjelmistoissa</w:t>
      </w:r>
      <w:r w:rsidR="009E7DA8" w:rsidRPr="00034E29">
        <w:t xml:space="preserve"> </w:t>
      </w:r>
      <w:r w:rsidR="00264486">
        <w:t xml:space="preserve">sisäisesti </w:t>
      </w:r>
      <w:r w:rsidR="009E7DA8" w:rsidRPr="00034E29">
        <w:t>kehitettävien ohjelmistojen ja kolmansien osapuolten ratkaisujen ohjelmistoturvallisuus</w:t>
      </w:r>
      <w:r w:rsidR="00264486">
        <w:t xml:space="preserve"> ko</w:t>
      </w:r>
      <w:r w:rsidR="009E7DA8" w:rsidRPr="00034E29">
        <w:t>ko ohjelmistojen elinkaaren ajan ohjelmistojen hankinnasta käytöstä poistoon saakka huolehtien erityisesti, että turvallisen ohjelmistokehityksen periaatteita noudatetaan</w:t>
      </w:r>
      <w:r>
        <w:t>.</w:t>
      </w:r>
    </w:p>
    <w:p w14:paraId="622C7C2D" w14:textId="0E8E213E" w:rsidR="00264486" w:rsidRDefault="00264486" w:rsidP="00065028">
      <w:pPr>
        <w:pStyle w:val="ListParagraph"/>
        <w:numPr>
          <w:ilvl w:val="1"/>
          <w:numId w:val="21"/>
        </w:numPr>
        <w:jc w:val="both"/>
      </w:pPr>
      <w:r>
        <w:t>Huomioida turvallisen ohjelmistokehityksen periaatteet myös muissa kuin korkean prioriteetin järjestelmissä.</w:t>
      </w:r>
    </w:p>
    <w:p w14:paraId="0E96F46C" w14:textId="7E8992B4" w:rsidR="0091108D" w:rsidRDefault="009E0CB8" w:rsidP="00065028">
      <w:pPr>
        <w:pStyle w:val="ListParagraph"/>
        <w:numPr>
          <w:ilvl w:val="0"/>
          <w:numId w:val="21"/>
        </w:numPr>
        <w:jc w:val="both"/>
      </w:pPr>
      <w:r>
        <w:t>T</w:t>
      </w:r>
      <w:r w:rsidR="0091108D" w:rsidRPr="00034E29">
        <w:t xml:space="preserve">oteuttaa </w:t>
      </w:r>
      <w:r w:rsidR="00742FE7">
        <w:t xml:space="preserve">arkaluonteisen </w:t>
      </w:r>
      <w:r w:rsidR="0091108D" w:rsidRPr="00034E29">
        <w:t>tiedon suojaaminen käsiteltävän tiedon tunnistamiseen ja luokitteluun perustuen</w:t>
      </w:r>
      <w:r>
        <w:t>.</w:t>
      </w:r>
    </w:p>
    <w:p w14:paraId="2603AEF3" w14:textId="7E9CA2DA" w:rsidR="00742FE7" w:rsidRDefault="00742FE7" w:rsidP="00065028">
      <w:pPr>
        <w:pStyle w:val="ListParagraph"/>
        <w:numPr>
          <w:ilvl w:val="1"/>
          <w:numId w:val="21"/>
        </w:numPr>
        <w:jc w:val="both"/>
      </w:pPr>
      <w:r>
        <w:t>Huomioida valittujen tietotyyppien osalta myös kaiken muun tiedon suojaaminen</w:t>
      </w:r>
    </w:p>
    <w:p w14:paraId="5A20773C" w14:textId="1F915B50" w:rsidR="00742FE7" w:rsidRPr="00034E29" w:rsidRDefault="00742FE7" w:rsidP="00065028">
      <w:pPr>
        <w:pStyle w:val="ListParagraph"/>
        <w:numPr>
          <w:ilvl w:val="1"/>
          <w:numId w:val="21"/>
        </w:numPr>
        <w:jc w:val="both"/>
      </w:pPr>
      <w:r>
        <w:t xml:space="preserve">Huomioida valittujen tietotyyppien osalta myös kaiken siirrossa olevan tiedon suojaaminen </w:t>
      </w:r>
    </w:p>
    <w:p w14:paraId="2A316D8A" w14:textId="3495CF78" w:rsidR="009424C3" w:rsidRPr="007E2360" w:rsidRDefault="009E0CB8" w:rsidP="00065028">
      <w:pPr>
        <w:pStyle w:val="ListParagraph"/>
        <w:numPr>
          <w:ilvl w:val="0"/>
          <w:numId w:val="21"/>
        </w:numPr>
        <w:jc w:val="both"/>
      </w:pPr>
      <w:r>
        <w:t>V</w:t>
      </w:r>
      <w:commentRangeStart w:id="30"/>
      <w:r w:rsidR="0E054CB5">
        <w:t>armistaa järjestelmien turvallisuus koko niiden elinkaaren ajan kiinnittäen erityistä huomioita olemassa olevien järjestelmien turvallisuuden varmistamiseen tilanteessa, jossa vanhoihin järjestelmiin tehdään muutoksia tai mahdollisesti digitalisoidaan osia tai kokonaisuuksia</w:t>
      </w:r>
      <w:commentRangeEnd w:id="30"/>
      <w:r w:rsidR="0091108D">
        <w:rPr>
          <w:rStyle w:val="CommentReference"/>
        </w:rPr>
        <w:commentReference w:id="30"/>
      </w:r>
      <w:r>
        <w:t>.</w:t>
      </w:r>
    </w:p>
    <w:p w14:paraId="454422D8" w14:textId="4E5ABF66" w:rsidR="0046122F" w:rsidRPr="0046122F" w:rsidRDefault="00310B58" w:rsidP="00507BB8">
      <w:pPr>
        <w:pStyle w:val="Heading2"/>
        <w:spacing w:before="0" w:after="240"/>
        <w:jc w:val="both"/>
      </w:pPr>
      <w:bookmarkStart w:id="31" w:name="_Toc116913309"/>
      <w:r>
        <w:t>4</w:t>
      </w:r>
      <w:r w:rsidR="0046122F" w:rsidRPr="0046122F">
        <w:t>.</w:t>
      </w:r>
      <w:r w:rsidR="00DA1563">
        <w:t>12</w:t>
      </w:r>
      <w:r w:rsidR="0046122F" w:rsidRPr="0046122F">
        <w:t>. Yhteistyön lisääminen</w:t>
      </w:r>
      <w:bookmarkEnd w:id="31"/>
    </w:p>
    <w:p w14:paraId="61F99EE5" w14:textId="2297821E" w:rsidR="0046122F" w:rsidRPr="0046122F" w:rsidRDefault="0E054CB5" w:rsidP="00D649DE">
      <w:pPr>
        <w:jc w:val="both"/>
      </w:pPr>
      <w:r>
        <w:t xml:space="preserve">Liikenne- ja viestintävirasto suosittelee, että raideliikenteen toimijat tekevät yhteistyötä </w:t>
      </w:r>
      <w:r w:rsidR="00304893">
        <w:t>raideliikenne</w:t>
      </w:r>
      <w:r>
        <w:t>järjestelmän kokonaissuojaustason nostamiseksi.</w:t>
      </w:r>
      <w:r w:rsidR="00DA1563">
        <w:t xml:space="preserve"> </w:t>
      </w:r>
      <w:r>
        <w:t xml:space="preserve">Tätä varten toimijoiden tulisi: </w:t>
      </w:r>
    </w:p>
    <w:p w14:paraId="548D4A42" w14:textId="09FF866B" w:rsidR="00EF2E21" w:rsidRPr="00EF2E21" w:rsidRDefault="00264486" w:rsidP="00065028">
      <w:pPr>
        <w:pStyle w:val="ListParagraph"/>
        <w:numPr>
          <w:ilvl w:val="0"/>
          <w:numId w:val="22"/>
        </w:numPr>
        <w:jc w:val="both"/>
      </w:pPr>
      <w:r>
        <w:t>M</w:t>
      </w:r>
      <w:r w:rsidR="0E054CB5">
        <w:t xml:space="preserve">äärittää oman organisaationsa osalta toimintatavat yhteistyöhön kyberturvallisuuden kehittämiseksi ja kyberturvallisuusriskien hallinnan edistämiseksi muiden alan toimijoiden sekä viranomaisten kanssa. </w:t>
      </w:r>
    </w:p>
    <w:p w14:paraId="40519CA5" w14:textId="14620935" w:rsidR="0046122F" w:rsidRPr="0046122F" w:rsidRDefault="00264486" w:rsidP="00065028">
      <w:pPr>
        <w:pStyle w:val="ListParagraph"/>
        <w:numPr>
          <w:ilvl w:val="0"/>
          <w:numId w:val="22"/>
        </w:numPr>
        <w:jc w:val="both"/>
      </w:pPr>
      <w:r>
        <w:t>H</w:t>
      </w:r>
      <w:r w:rsidR="0E054CB5">
        <w:t>uolehtia kyberturvallisuudesta yhteistyössä muiden alan toimijoiden kanssa ja pyrkiä yhtenäistämään toimintatapoja ja suojan tasoa esimerkiksi samaa järjestelmää tai yhteistä rajapintaa käyttävien kesken</w:t>
      </w:r>
      <w:r>
        <w:t>.</w:t>
      </w:r>
    </w:p>
    <w:p w14:paraId="47D254D8" w14:textId="1918E5F0" w:rsidR="003A4013" w:rsidRDefault="00264486" w:rsidP="00065028">
      <w:pPr>
        <w:pStyle w:val="ListParagraph"/>
        <w:numPr>
          <w:ilvl w:val="0"/>
          <w:numId w:val="22"/>
        </w:numPr>
        <w:jc w:val="both"/>
      </w:pPr>
      <w:r>
        <w:t>V</w:t>
      </w:r>
      <w:r w:rsidR="0E054CB5">
        <w:t>älittää tietoja kyberturvallisuusuhkista, -riskeistä ja -hyökkäyksistä muille raideliikenteen toimijoille ja yhteistyöverkostoille yhteisen tilanne</w:t>
      </w:r>
      <w:r w:rsidR="00041308">
        <w:t>kuvan luomiseksi ja jakamiseksi</w:t>
      </w:r>
      <w:r>
        <w:t>.</w:t>
      </w:r>
    </w:p>
    <w:p w14:paraId="40BB9BE9" w14:textId="5F7F8BCE" w:rsidR="0046122F" w:rsidRPr="0046122F" w:rsidRDefault="00264486" w:rsidP="00065028">
      <w:pPr>
        <w:pStyle w:val="ListParagraph"/>
        <w:numPr>
          <w:ilvl w:val="0"/>
          <w:numId w:val="22"/>
        </w:numPr>
        <w:jc w:val="both"/>
      </w:pPr>
      <w:r>
        <w:t>L</w:t>
      </w:r>
      <w:r w:rsidR="0E054CB5">
        <w:t>evittää hyviä käytäntöjään kyberturvallisuuden kehittämiseksi</w:t>
      </w:r>
      <w:r>
        <w:t>.</w:t>
      </w:r>
    </w:p>
    <w:p w14:paraId="785909F7" w14:textId="5D406FE3" w:rsidR="0046122F" w:rsidRPr="0046122F" w:rsidRDefault="00264486" w:rsidP="00065028">
      <w:pPr>
        <w:pStyle w:val="ListParagraph"/>
        <w:numPr>
          <w:ilvl w:val="0"/>
          <w:numId w:val="22"/>
        </w:numPr>
        <w:jc w:val="both"/>
      </w:pPr>
      <w:r>
        <w:t>V</w:t>
      </w:r>
      <w:r w:rsidR="0E054CB5">
        <w:t xml:space="preserve">aikuttaa kyberturvallisuussääntelyn hyvään kehittämiseen </w:t>
      </w:r>
      <w:r w:rsidR="00656E59">
        <w:t>muun muassa</w:t>
      </w:r>
      <w:r w:rsidR="0E054CB5">
        <w:t xml:space="preserve"> </w:t>
      </w:r>
      <w:proofErr w:type="spellStart"/>
      <w:r w:rsidR="0E054CB5">
        <w:t>yhteentoimivuuden</w:t>
      </w:r>
      <w:proofErr w:type="spellEnd"/>
      <w:r w:rsidR="0E054CB5">
        <w:t xml:space="preserve"> teknisissä eritelmissä</w:t>
      </w:r>
      <w:r>
        <w:t>.</w:t>
      </w:r>
    </w:p>
    <w:p w14:paraId="23F7BD55" w14:textId="6893E54F" w:rsidR="004411A7" w:rsidRPr="00065028" w:rsidRDefault="00264486" w:rsidP="00065028">
      <w:pPr>
        <w:pStyle w:val="ListParagraph"/>
        <w:numPr>
          <w:ilvl w:val="0"/>
          <w:numId w:val="22"/>
        </w:numPr>
        <w:jc w:val="both"/>
      </w:pPr>
      <w:r>
        <w:t>H</w:t>
      </w:r>
      <w:r w:rsidR="0E054CB5">
        <w:t>uolehtia kyberturvallisuuskysymysten esiin nostamisesta organisaatioiden välisissä sopimuksissa ja erilaisilla näköalapaikoilla</w:t>
      </w:r>
      <w:r>
        <w:t>.</w:t>
      </w:r>
    </w:p>
    <w:p w14:paraId="736FD61B" w14:textId="49AD5970" w:rsidR="00634434" w:rsidRDefault="00065028" w:rsidP="00065028">
      <w:pPr>
        <w:pStyle w:val="Heading1"/>
        <w:numPr>
          <w:ilvl w:val="0"/>
          <w:numId w:val="9"/>
        </w:numPr>
        <w:jc w:val="both"/>
        <w:rPr>
          <w:b/>
          <w:bCs/>
        </w:rPr>
      </w:pPr>
      <w:bookmarkStart w:id="32" w:name="_Toc116913310"/>
      <w:r>
        <w:rPr>
          <w:b/>
          <w:bCs/>
        </w:rPr>
        <w:t>Liitteet, l</w:t>
      </w:r>
      <w:commentRangeStart w:id="33"/>
      <w:r w:rsidR="004411A7">
        <w:rPr>
          <w:b/>
          <w:bCs/>
        </w:rPr>
        <w:t>isätietoa ja tiedon lähteitä</w:t>
      </w:r>
      <w:commentRangeEnd w:id="33"/>
      <w:r w:rsidR="004411A7">
        <w:rPr>
          <w:rStyle w:val="CommentReference"/>
          <w:rFonts w:asciiTheme="minorHAnsi" w:eastAsiaTheme="minorEastAsia" w:hAnsiTheme="minorHAnsi" w:cstheme="minorBidi"/>
          <w:color w:val="auto"/>
        </w:rPr>
        <w:commentReference w:id="33"/>
      </w:r>
      <w:bookmarkEnd w:id="32"/>
    </w:p>
    <w:p w14:paraId="0CB16BC8" w14:textId="77777777" w:rsidR="00065028" w:rsidRDefault="00065028" w:rsidP="00065028">
      <w:r>
        <w:t>Liite 1: Suosituksessa esitetyt kyberturvallisuuden hallintakeinot taulukkomuodossa</w:t>
      </w:r>
    </w:p>
    <w:p w14:paraId="7801E3CF" w14:textId="0D809FBE" w:rsidR="00065028" w:rsidRPr="00065028" w:rsidRDefault="00065028" w:rsidP="00065028">
      <w:r>
        <w:t>Liite 2: Kyberturvallisuuskeskuksen Kybermittari -työkalu, joka sisältää viittauksen tähän suositukseen</w:t>
      </w:r>
    </w:p>
    <w:p w14:paraId="2368A412" w14:textId="3A78D664" w:rsidR="6FE1C4E7" w:rsidRPr="006F5D9D" w:rsidDel="00A36546" w:rsidRDefault="0E054CB5" w:rsidP="00065028">
      <w:pPr>
        <w:pStyle w:val="BodyText"/>
        <w:numPr>
          <w:ilvl w:val="0"/>
          <w:numId w:val="5"/>
        </w:numPr>
        <w:spacing w:before="0" w:after="0"/>
        <w:jc w:val="both"/>
      </w:pPr>
      <w:r>
        <w:t>Liikenne- ja viestintäviraston Kyberturvallisuuskeskuksen sivut (</w:t>
      </w:r>
      <w:hyperlink r:id="rId25">
        <w:r w:rsidRPr="0E054CB5">
          <w:rPr>
            <w:rStyle w:val="Hyperlink"/>
          </w:rPr>
          <w:t>https://www.kyberturvallisuuskeskus.fi/fi/</w:t>
        </w:r>
      </w:hyperlink>
      <w:r>
        <w:t>), ks. esimerkiksi Ohjeet ja oppaat (</w:t>
      </w:r>
      <w:hyperlink r:id="rId26">
        <w:r w:rsidRPr="0E054CB5">
          <w:rPr>
            <w:rStyle w:val="Hyperlink"/>
          </w:rPr>
          <w:t>https://www.kyberturvallisuuskeskus.fi/fi/ohjeet</w:t>
        </w:r>
      </w:hyperlink>
      <w:r>
        <w:t>) ja suomenkielinen kyberturvallisuuden riskienhallinnan arviointikehys ja työkalu (</w:t>
      </w:r>
      <w:hyperlink r:id="rId27">
        <w:r w:rsidRPr="0E054CB5">
          <w:rPr>
            <w:rStyle w:val="Hyperlink"/>
          </w:rPr>
          <w:t>https://www.kyberturvallisuuskeskus.fi/fi/kybermittari</w:t>
        </w:r>
      </w:hyperlink>
      <w:r>
        <w:t>)</w:t>
      </w:r>
    </w:p>
    <w:p w14:paraId="72ECAA29" w14:textId="0AB23FEA" w:rsidR="0046122F" w:rsidRPr="0046122F" w:rsidRDefault="0E054CB5" w:rsidP="00065028">
      <w:pPr>
        <w:pStyle w:val="BodyText"/>
        <w:numPr>
          <w:ilvl w:val="0"/>
          <w:numId w:val="5"/>
        </w:numPr>
        <w:spacing w:before="0" w:after="0"/>
        <w:jc w:val="both"/>
      </w:pPr>
      <w:r>
        <w:t>ENISA:n sivut (</w:t>
      </w:r>
      <w:hyperlink r:id="rId28">
        <w:r w:rsidRPr="0E054CB5">
          <w:rPr>
            <w:rStyle w:val="Hyperlink"/>
          </w:rPr>
          <w:t>https://www.enisa.europa.eu/</w:t>
        </w:r>
      </w:hyperlink>
      <w:r>
        <w:t xml:space="preserve">) ks. esimerkiksi ENISA </w:t>
      </w:r>
      <w:proofErr w:type="spellStart"/>
      <w:r>
        <w:t>Threat</w:t>
      </w:r>
      <w:proofErr w:type="spellEnd"/>
      <w:r>
        <w:t xml:space="preserve"> </w:t>
      </w:r>
      <w:proofErr w:type="spellStart"/>
      <w:r>
        <w:t>Landscape</w:t>
      </w:r>
      <w:proofErr w:type="spellEnd"/>
      <w:r>
        <w:t xml:space="preserve"> </w:t>
      </w:r>
      <w:proofErr w:type="spellStart"/>
      <w:r>
        <w:t>report</w:t>
      </w:r>
      <w:proofErr w:type="spellEnd"/>
      <w:r>
        <w:t xml:space="preserve"> 2018 (</w:t>
      </w:r>
      <w:hyperlink r:id="rId29">
        <w:r w:rsidRPr="0E054CB5">
          <w:rPr>
            <w:rStyle w:val="Hyperlink"/>
          </w:rPr>
          <w:t>https://www.enisa.europa.eu/publications/enisa-threat-landscape-report-2018</w:t>
        </w:r>
      </w:hyperlink>
      <w:r>
        <w:t xml:space="preserve">) ja ENISA </w:t>
      </w:r>
      <w:proofErr w:type="spellStart"/>
      <w:r>
        <w:t>threat</w:t>
      </w:r>
      <w:proofErr w:type="spellEnd"/>
      <w:r>
        <w:t xml:space="preserve"> </w:t>
      </w:r>
      <w:proofErr w:type="spellStart"/>
      <w:r>
        <w:t>landscape</w:t>
      </w:r>
      <w:proofErr w:type="spellEnd"/>
      <w:r>
        <w:t xml:space="preserve"> for 5G Networks (</w:t>
      </w:r>
      <w:hyperlink r:id="rId30">
        <w:r w:rsidRPr="0E054CB5">
          <w:rPr>
            <w:rStyle w:val="Hyperlink"/>
          </w:rPr>
          <w:t>https://www.enisa.europa.eu/publications/enisa-threat-landscape-for-5g-networks</w:t>
        </w:r>
      </w:hyperlink>
      <w:r>
        <w:t>)</w:t>
      </w:r>
    </w:p>
    <w:p w14:paraId="0A57D0D0" w14:textId="76EE04F9" w:rsidR="0046122F" w:rsidRPr="006F5D9D" w:rsidRDefault="0E054CB5" w:rsidP="00065028">
      <w:pPr>
        <w:pStyle w:val="BodyText"/>
        <w:numPr>
          <w:ilvl w:val="0"/>
          <w:numId w:val="5"/>
        </w:numPr>
        <w:spacing w:before="0" w:after="0"/>
        <w:jc w:val="both"/>
        <w:rPr>
          <w:lang w:val="sv-SE"/>
        </w:rPr>
      </w:pPr>
      <w:r w:rsidRPr="0E054CB5">
        <w:rPr>
          <w:lang w:val="sv-SE"/>
        </w:rPr>
        <w:t xml:space="preserve">Cyber </w:t>
      </w:r>
      <w:proofErr w:type="spellStart"/>
      <w:r w:rsidRPr="0E054CB5">
        <w:rPr>
          <w:lang w:val="sv-SE"/>
        </w:rPr>
        <w:t>Europe</w:t>
      </w:r>
      <w:proofErr w:type="spellEnd"/>
      <w:r w:rsidRPr="0E054CB5">
        <w:rPr>
          <w:lang w:val="sv-SE"/>
        </w:rPr>
        <w:t xml:space="preserve"> (</w:t>
      </w:r>
      <w:hyperlink r:id="rId31">
        <w:r w:rsidRPr="0E054CB5">
          <w:rPr>
            <w:rStyle w:val="Hyperlink"/>
            <w:lang w:val="sv-SE"/>
          </w:rPr>
          <w:t>https://www.cyber-europe.eu/</w:t>
        </w:r>
      </w:hyperlink>
      <w:r w:rsidRPr="0E054CB5">
        <w:rPr>
          <w:lang w:val="sv-SE"/>
        </w:rPr>
        <w:t>)</w:t>
      </w:r>
    </w:p>
    <w:p w14:paraId="2251E6F2" w14:textId="2D3DFBFA" w:rsidR="0046122F" w:rsidRPr="007E2360" w:rsidRDefault="0E054CB5" w:rsidP="00065028">
      <w:pPr>
        <w:pStyle w:val="BodyText"/>
        <w:numPr>
          <w:ilvl w:val="0"/>
          <w:numId w:val="5"/>
        </w:numPr>
        <w:spacing w:before="0" w:after="0"/>
        <w:jc w:val="both"/>
        <w:rPr>
          <w:lang w:val="en-US"/>
        </w:rPr>
      </w:pPr>
      <w:r w:rsidRPr="0E054CB5">
        <w:rPr>
          <w:lang w:val="en-US"/>
        </w:rPr>
        <w:t>ISA 62443, Security for Industrial Automation and Control Systems</w:t>
      </w:r>
    </w:p>
    <w:p w14:paraId="3B158803" w14:textId="6E4A697E" w:rsidR="0046122F" w:rsidRPr="007E2360" w:rsidRDefault="0E054CB5" w:rsidP="00065028">
      <w:pPr>
        <w:pStyle w:val="BodyText"/>
        <w:numPr>
          <w:ilvl w:val="0"/>
          <w:numId w:val="5"/>
        </w:numPr>
        <w:spacing w:before="0" w:after="0"/>
        <w:jc w:val="both"/>
      </w:pPr>
      <w:r w:rsidRPr="00E96A99">
        <w:t>CENELEC</w:t>
      </w:r>
      <w:r w:rsidR="00E96A99">
        <w:t xml:space="preserve"> (</w:t>
      </w:r>
      <w:hyperlink r:id="rId32" w:history="1">
        <w:r w:rsidR="0092345D" w:rsidRPr="0092345D">
          <w:rPr>
            <w:rStyle w:val="Hyperlink"/>
          </w:rPr>
          <w:t>https://www.cenelec.eu/</w:t>
        </w:r>
      </w:hyperlink>
      <w:r w:rsidR="0092345D">
        <w:t>)</w:t>
      </w:r>
      <w:r>
        <w:t xml:space="preserve">: </w:t>
      </w:r>
      <w:proofErr w:type="spellStart"/>
      <w:r>
        <w:t>Cybersecurity</w:t>
      </w:r>
      <w:proofErr w:type="spellEnd"/>
      <w:r>
        <w:t xml:space="preserve"> </w:t>
      </w:r>
      <w:proofErr w:type="spellStart"/>
      <w:r>
        <w:t>standard</w:t>
      </w:r>
      <w:proofErr w:type="spellEnd"/>
      <w:r>
        <w:t xml:space="preserve"> for EU </w:t>
      </w:r>
      <w:proofErr w:type="spellStart"/>
      <w:r>
        <w:t>Railways</w:t>
      </w:r>
      <w:proofErr w:type="spellEnd"/>
      <w:r>
        <w:t xml:space="preserve"> TS 50701 (standardi työn alla, tarkoitus saada valmiiksi helmikuuhun 2021 mennessä</w:t>
      </w:r>
    </w:p>
    <w:p w14:paraId="0CEC5992" w14:textId="2B89FA2F" w:rsidR="075A7CEF" w:rsidRPr="007E2360" w:rsidRDefault="0E054CB5" w:rsidP="00065028">
      <w:pPr>
        <w:pStyle w:val="BodyText"/>
        <w:numPr>
          <w:ilvl w:val="0"/>
          <w:numId w:val="5"/>
        </w:numPr>
        <w:spacing w:before="0" w:after="0"/>
        <w:jc w:val="both"/>
        <w:rPr>
          <w:lang w:val="en-US"/>
        </w:rPr>
      </w:pPr>
      <w:r w:rsidRPr="0E054CB5">
        <w:rPr>
          <w:lang w:val="en-US"/>
        </w:rPr>
        <w:t xml:space="preserve">NIST Cyber Security Framework , </w:t>
      </w:r>
      <w:proofErr w:type="spellStart"/>
      <w:r w:rsidRPr="0E054CB5">
        <w:rPr>
          <w:lang w:val="en-US"/>
        </w:rPr>
        <w:t>kyberturvallisuusviitekehys</w:t>
      </w:r>
      <w:proofErr w:type="spellEnd"/>
      <w:r w:rsidRPr="0E054CB5">
        <w:rPr>
          <w:lang w:val="en-US"/>
        </w:rPr>
        <w:t xml:space="preserve"> (</w:t>
      </w:r>
      <w:hyperlink r:id="rId33">
        <w:r w:rsidRPr="0E054CB5">
          <w:rPr>
            <w:rStyle w:val="Hyperlink"/>
            <w:lang w:val="en-US"/>
          </w:rPr>
          <w:t>https://www.nist.gov/cyberframework</w:t>
        </w:r>
      </w:hyperlink>
      <w:r w:rsidRPr="0E054CB5">
        <w:rPr>
          <w:lang w:val="en-US"/>
        </w:rPr>
        <w:t>)</w:t>
      </w:r>
    </w:p>
    <w:p w14:paraId="3F21AE1E" w14:textId="21D8048A" w:rsidR="004C24AC" w:rsidRPr="007E2360" w:rsidRDefault="0E054CB5" w:rsidP="00065028">
      <w:pPr>
        <w:pStyle w:val="BodyText"/>
        <w:numPr>
          <w:ilvl w:val="0"/>
          <w:numId w:val="5"/>
        </w:numPr>
        <w:spacing w:before="0" w:after="0"/>
        <w:jc w:val="both"/>
      </w:pPr>
      <w:r>
        <w:t>NIST 800-82r2, teollisuuden ohjausjärjestelmien kyberturvallisuusohje (</w:t>
      </w:r>
      <w:hyperlink r:id="rId34">
        <w:r w:rsidRPr="0E054CB5">
          <w:rPr>
            <w:rStyle w:val="Hyperlink"/>
          </w:rPr>
          <w:t>https://csrc.nist.gov/publications/detail/sp/800-82/rev-2/final</w:t>
        </w:r>
      </w:hyperlink>
      <w:r>
        <w:t>)</w:t>
      </w:r>
    </w:p>
    <w:p w14:paraId="3505F622" w14:textId="0554558A" w:rsidR="00755C7C" w:rsidRPr="007E2360" w:rsidRDefault="0E054CB5" w:rsidP="00065028">
      <w:pPr>
        <w:pStyle w:val="BodyText"/>
        <w:numPr>
          <w:ilvl w:val="0"/>
          <w:numId w:val="5"/>
        </w:numPr>
        <w:spacing w:before="0" w:after="0"/>
        <w:jc w:val="both"/>
      </w:pPr>
      <w:r>
        <w:t>ISO/IEC 27001, Tietoturvan hallintajärjestelmän vaatimukset</w:t>
      </w:r>
    </w:p>
    <w:p w14:paraId="0195019A" w14:textId="51981541" w:rsidR="00CA5AD5" w:rsidRPr="007E2360" w:rsidRDefault="0E054CB5" w:rsidP="00065028">
      <w:pPr>
        <w:pStyle w:val="BodyText"/>
        <w:numPr>
          <w:ilvl w:val="0"/>
          <w:numId w:val="5"/>
        </w:numPr>
        <w:spacing w:before="0" w:after="0"/>
        <w:jc w:val="both"/>
      </w:pPr>
      <w:r>
        <w:t>ISO/IEC 27002, Tietoturvan hallintakeinojen menettelyohjeet</w:t>
      </w:r>
    </w:p>
    <w:p w14:paraId="5C57B11F" w14:textId="390B858C" w:rsidR="00CA5AD5" w:rsidRPr="007E2360" w:rsidRDefault="0E054CB5" w:rsidP="00065028">
      <w:pPr>
        <w:pStyle w:val="BodyText"/>
        <w:numPr>
          <w:ilvl w:val="0"/>
          <w:numId w:val="5"/>
        </w:numPr>
        <w:spacing w:before="0" w:after="0"/>
        <w:jc w:val="both"/>
      </w:pPr>
      <w:r>
        <w:t>ISO/IEC 27005, Tietoturvariskien hallinta</w:t>
      </w:r>
    </w:p>
    <w:p w14:paraId="675C6D56" w14:textId="33F6A93F" w:rsidR="303BC42A" w:rsidRPr="007E2360" w:rsidRDefault="0E054CB5" w:rsidP="00065028">
      <w:pPr>
        <w:pStyle w:val="BodyText"/>
        <w:numPr>
          <w:ilvl w:val="0"/>
          <w:numId w:val="5"/>
        </w:numPr>
        <w:spacing w:before="0" w:after="0"/>
        <w:jc w:val="both"/>
        <w:rPr>
          <w:lang w:val="en-US"/>
        </w:rPr>
      </w:pPr>
      <w:r w:rsidRPr="0E054CB5">
        <w:rPr>
          <w:lang w:val="en-US"/>
        </w:rPr>
        <w:t xml:space="preserve">Cybersecurity Capability Maturity Model (C2M2) v. 2.0 draft, </w:t>
      </w:r>
      <w:proofErr w:type="spellStart"/>
      <w:r w:rsidRPr="0E054CB5">
        <w:rPr>
          <w:lang w:val="en-US"/>
        </w:rPr>
        <w:t>kyberturvallisuusviitekehys</w:t>
      </w:r>
      <w:proofErr w:type="spellEnd"/>
      <w:r w:rsidRPr="0E054CB5">
        <w:rPr>
          <w:lang w:val="en-US"/>
        </w:rPr>
        <w:t xml:space="preserve"> (</w:t>
      </w:r>
      <w:hyperlink r:id="rId35">
        <w:r w:rsidRPr="0E054CB5">
          <w:rPr>
            <w:rStyle w:val="Hyperlink"/>
            <w:lang w:val="en-US"/>
          </w:rPr>
          <w:t>https://www.energy.gov/sites/prod/files/2019/10/f67/C2M2%20v2.0%2006202019%20DOE%20for%20Comment%20%28Draft%29.pdf</w:t>
        </w:r>
      </w:hyperlink>
      <w:r w:rsidRPr="0E054CB5">
        <w:rPr>
          <w:lang w:val="en-US"/>
        </w:rPr>
        <w:t>)</w:t>
      </w:r>
    </w:p>
    <w:p w14:paraId="7092D662" w14:textId="108196EE" w:rsidR="00041308" w:rsidRDefault="0E054CB5" w:rsidP="00065028">
      <w:pPr>
        <w:pStyle w:val="BodyText"/>
        <w:numPr>
          <w:ilvl w:val="0"/>
          <w:numId w:val="5"/>
        </w:numPr>
        <w:spacing w:before="0" w:after="0"/>
        <w:jc w:val="both"/>
        <w:rPr>
          <w:lang w:val="en-US"/>
        </w:rPr>
      </w:pPr>
      <w:proofErr w:type="spellStart"/>
      <w:r w:rsidRPr="008618D4">
        <w:rPr>
          <w:lang w:val="en-US"/>
        </w:rPr>
        <w:t>CYRail</w:t>
      </w:r>
      <w:proofErr w:type="spellEnd"/>
      <w:r w:rsidR="008618D4">
        <w:rPr>
          <w:rStyle w:val="Hyperlink"/>
          <w:lang w:val="en-US"/>
        </w:rPr>
        <w:t xml:space="preserve"> </w:t>
      </w:r>
      <w:r w:rsidR="00041308" w:rsidRPr="00041308">
        <w:rPr>
          <w:rStyle w:val="Hyperlink"/>
          <w:lang w:val="en-US"/>
        </w:rPr>
        <w:t>(</w:t>
      </w:r>
      <w:hyperlink r:id="rId36" w:history="1">
        <w:r w:rsidR="00041308" w:rsidRPr="00041308">
          <w:rPr>
            <w:rStyle w:val="Hyperlink"/>
            <w:lang w:val="en-US"/>
          </w:rPr>
          <w:t>https://cyrail.eu/</w:t>
        </w:r>
      </w:hyperlink>
      <w:r w:rsidR="00041308" w:rsidRPr="00041308">
        <w:rPr>
          <w:color w:val="0563C1" w:themeColor="hyperlink"/>
          <w:u w:val="single"/>
          <w:lang w:val="en-US"/>
        </w:rPr>
        <w:t>)</w:t>
      </w:r>
      <w:r w:rsidR="00041308">
        <w:rPr>
          <w:lang w:val="en-US"/>
        </w:rPr>
        <w:t xml:space="preserve"> Ks. </w:t>
      </w:r>
      <w:proofErr w:type="spellStart"/>
      <w:r w:rsidR="00041308">
        <w:rPr>
          <w:lang w:val="en-US"/>
        </w:rPr>
        <w:t>myös</w:t>
      </w:r>
      <w:proofErr w:type="spellEnd"/>
      <w:r w:rsidRPr="00041308">
        <w:rPr>
          <w:lang w:val="en-US"/>
        </w:rPr>
        <w:t xml:space="preserve"> </w:t>
      </w:r>
      <w:proofErr w:type="spellStart"/>
      <w:r w:rsidRPr="00041308">
        <w:rPr>
          <w:lang w:val="en-US"/>
        </w:rPr>
        <w:t>CYRail</w:t>
      </w:r>
      <w:proofErr w:type="spellEnd"/>
      <w:r w:rsidRPr="00041308">
        <w:rPr>
          <w:lang w:val="en-US"/>
        </w:rPr>
        <w:t xml:space="preserve"> Recommendations on cybersecurity of rail </w:t>
      </w:r>
      <w:proofErr w:type="spellStart"/>
      <w:r w:rsidRPr="00041308">
        <w:rPr>
          <w:lang w:val="en-US"/>
        </w:rPr>
        <w:t>signalling</w:t>
      </w:r>
      <w:proofErr w:type="spellEnd"/>
      <w:r w:rsidRPr="00041308">
        <w:rPr>
          <w:lang w:val="en-US"/>
        </w:rPr>
        <w:t xml:space="preserve"> and communication systems</w:t>
      </w:r>
      <w:r w:rsidR="00041308">
        <w:rPr>
          <w:lang w:val="en-US"/>
        </w:rPr>
        <w:t xml:space="preserve"> (</w:t>
      </w:r>
      <w:hyperlink r:id="rId37" w:history="1">
        <w:r w:rsidR="00041308" w:rsidRPr="00041308">
          <w:rPr>
            <w:rStyle w:val="Hyperlink"/>
            <w:lang w:val="en-US"/>
          </w:rPr>
          <w:t>https://cyrail.eu/IMG/pdf/final_recommendations_cyrail.pdf</w:t>
        </w:r>
      </w:hyperlink>
      <w:r w:rsidR="00041308">
        <w:rPr>
          <w:lang w:val="en-US"/>
        </w:rPr>
        <w:t>)</w:t>
      </w:r>
    </w:p>
    <w:p w14:paraId="63F53416" w14:textId="472558E4" w:rsidR="008618D4" w:rsidRDefault="51BC3758" w:rsidP="00065028">
      <w:pPr>
        <w:pStyle w:val="BodyText"/>
        <w:numPr>
          <w:ilvl w:val="0"/>
          <w:numId w:val="5"/>
        </w:numPr>
        <w:spacing w:before="0" w:after="0"/>
        <w:jc w:val="both"/>
        <w:rPr>
          <w:lang w:val="en-US"/>
        </w:rPr>
      </w:pPr>
      <w:proofErr w:type="spellStart"/>
      <w:r w:rsidRPr="00041308">
        <w:rPr>
          <w:lang w:val="en-US"/>
        </w:rPr>
        <w:t>UK:n</w:t>
      </w:r>
      <w:proofErr w:type="spellEnd"/>
      <w:r w:rsidRPr="00041308">
        <w:rPr>
          <w:lang w:val="en-US"/>
        </w:rPr>
        <w:t xml:space="preserve"> Rail Cyber Security Strategy</w:t>
      </w:r>
      <w:r w:rsidRPr="51BC3758">
        <w:rPr>
          <w:lang w:val="en-US"/>
        </w:rPr>
        <w:t xml:space="preserve"> </w:t>
      </w:r>
      <w:r w:rsidR="008618D4">
        <w:rPr>
          <w:lang w:val="en-US"/>
        </w:rPr>
        <w:t>(</w:t>
      </w:r>
      <w:hyperlink r:id="rId38" w:history="1">
        <w:r w:rsidR="008618D4" w:rsidRPr="008618D4">
          <w:rPr>
            <w:rStyle w:val="Hyperlink"/>
            <w:lang w:val="en-US"/>
          </w:rPr>
          <w:t>https://www.raildeliverygroup.com/component/arkhive/?task=file.download&amp;id=469772253</w:t>
        </w:r>
      </w:hyperlink>
      <w:r w:rsidR="008618D4">
        <w:rPr>
          <w:lang w:val="en-US"/>
        </w:rPr>
        <w:t>)</w:t>
      </w:r>
    </w:p>
    <w:p w14:paraId="62A9EDA6" w14:textId="0796463A" w:rsidR="0046122F" w:rsidRPr="00833709" w:rsidRDefault="0E054CB5" w:rsidP="00065028">
      <w:pPr>
        <w:pStyle w:val="BodyText"/>
        <w:numPr>
          <w:ilvl w:val="0"/>
          <w:numId w:val="5"/>
        </w:numPr>
        <w:spacing w:before="0" w:after="0"/>
        <w:jc w:val="both"/>
        <w:rPr>
          <w:lang w:val="en-US"/>
        </w:rPr>
      </w:pPr>
      <w:proofErr w:type="spellStart"/>
      <w:r w:rsidRPr="0E054CB5">
        <w:rPr>
          <w:lang w:val="en-US"/>
        </w:rPr>
        <w:t>Cebula</w:t>
      </w:r>
      <w:proofErr w:type="spellEnd"/>
      <w:r w:rsidRPr="0E054CB5">
        <w:rPr>
          <w:lang w:val="en-US"/>
        </w:rPr>
        <w:t xml:space="preserve">, James J. &amp; Young, Lisa R. 2010. A Taxonomy of Operational Cyber Security Risks. </w:t>
      </w:r>
      <w:r>
        <w:t xml:space="preserve">Carnegie Mellon </w:t>
      </w:r>
      <w:proofErr w:type="spellStart"/>
      <w:r>
        <w:t>University</w:t>
      </w:r>
      <w:proofErr w:type="spellEnd"/>
    </w:p>
    <w:p w14:paraId="03B9EC61" w14:textId="7EFD5110" w:rsidR="00833709" w:rsidRDefault="00833709" w:rsidP="00507BB8">
      <w:pPr>
        <w:pStyle w:val="BodyText"/>
        <w:jc w:val="both"/>
      </w:pPr>
    </w:p>
    <w:p w14:paraId="571BD3D7" w14:textId="2F33D2C2" w:rsidR="00833709" w:rsidRDefault="00833709" w:rsidP="00507BB8">
      <w:pPr>
        <w:pStyle w:val="BodyText"/>
        <w:jc w:val="both"/>
      </w:pPr>
    </w:p>
    <w:p w14:paraId="722921EF" w14:textId="16660501" w:rsidR="00833709" w:rsidRDefault="00833709" w:rsidP="00507BB8">
      <w:pPr>
        <w:pStyle w:val="BodyText"/>
        <w:jc w:val="both"/>
      </w:pPr>
    </w:p>
    <w:p w14:paraId="62DAA73E" w14:textId="7E4092C2" w:rsidR="00833709" w:rsidRDefault="00833709" w:rsidP="00507BB8">
      <w:pPr>
        <w:pStyle w:val="BodyText"/>
        <w:jc w:val="both"/>
      </w:pPr>
    </w:p>
    <w:p w14:paraId="0E4B0B4D" w14:textId="2DBF0234" w:rsidR="00833709" w:rsidRDefault="00833709" w:rsidP="00507BB8">
      <w:pPr>
        <w:pStyle w:val="BodyText"/>
        <w:ind w:hanging="283"/>
        <w:jc w:val="both"/>
      </w:pPr>
      <w:r>
        <w:t>H</w:t>
      </w:r>
      <w:r w:rsidR="003736F6">
        <w:t xml:space="preserve">yväksytty </w:t>
      </w:r>
      <w:r w:rsidR="00634434">
        <w:t>xx.12.2022</w:t>
      </w:r>
    </w:p>
    <w:p w14:paraId="67A3C5C5" w14:textId="77777777" w:rsidR="003736F6" w:rsidRDefault="003736F6" w:rsidP="00507BB8">
      <w:pPr>
        <w:pStyle w:val="BodyText"/>
        <w:ind w:left="851"/>
        <w:jc w:val="both"/>
      </w:pPr>
    </w:p>
    <w:p w14:paraId="4EBB9555" w14:textId="65602A41" w:rsidR="00833709" w:rsidRPr="00833709" w:rsidRDefault="00833709" w:rsidP="00151460">
      <w:pPr>
        <w:pStyle w:val="BodyText"/>
        <w:ind w:left="851"/>
      </w:pPr>
      <w:r>
        <w:t>Pietari Pentinsaari</w:t>
      </w:r>
      <w:r>
        <w:br/>
        <w:t>Johtaja</w:t>
      </w:r>
      <w:r>
        <w:br/>
      </w:r>
      <w:bookmarkStart w:id="34" w:name="_GoBack"/>
      <w:bookmarkEnd w:id="34"/>
      <w:r>
        <w:br/>
      </w:r>
      <w:r w:rsidR="00F96417">
        <w:t>Kaisa Sainio</w:t>
      </w:r>
      <w:r>
        <w:t xml:space="preserve"> </w:t>
      </w:r>
      <w:r>
        <w:br/>
        <w:t>Päällikkö</w:t>
      </w:r>
    </w:p>
    <w:p w14:paraId="2F43F08C" w14:textId="77777777" w:rsidR="00207BD8" w:rsidRDefault="00207BD8" w:rsidP="00507BB8">
      <w:pPr>
        <w:pStyle w:val="BodyText"/>
        <w:tabs>
          <w:tab w:val="left" w:pos="5682"/>
        </w:tabs>
        <w:ind w:left="0"/>
        <w:jc w:val="both"/>
      </w:pPr>
    </w:p>
    <w:p w14:paraId="50F3421C" w14:textId="7F185228" w:rsidR="0046122F" w:rsidRPr="00515E38" w:rsidRDefault="00207BD8" w:rsidP="00507BB8">
      <w:pPr>
        <w:pStyle w:val="BodyText"/>
        <w:tabs>
          <w:tab w:val="left" w:pos="5682"/>
        </w:tabs>
        <w:ind w:left="851"/>
        <w:jc w:val="both"/>
      </w:pPr>
      <w:r w:rsidRPr="00207BD8">
        <w:t>Tämä asiakirja on allekirjoittamisen sijasta varmennettu</w:t>
      </w:r>
      <w:r>
        <w:t xml:space="preserve"> siten, että siitä näkyy asian esittelijän ja</w:t>
      </w:r>
      <w:r w:rsidRPr="00207BD8">
        <w:t xml:space="preserve"> ratkaisijan nimi. Päätöksen esittely asian ratkaisijalle on tehty sähköpostitse. Tämä poikkeuksellinen varmentamistapa on tilapäisesti käytössä koronaviruksen leviämisen rajoittamistoimien johdosta, joiden seurauksena asiaa käsittelevä virkamies tekee etätöitä eikä tavanomainen asiakirjan allekirjoittaminen ole mahdollista</w:t>
      </w:r>
      <w:r>
        <w:t>.</w:t>
      </w:r>
      <w:r w:rsidR="0042370B">
        <w:tab/>
      </w:r>
    </w:p>
    <w:p w14:paraId="327470EB" w14:textId="173F433E" w:rsidR="002F6451" w:rsidRPr="00515E38" w:rsidRDefault="002F6451" w:rsidP="00507BB8">
      <w:pPr>
        <w:jc w:val="both"/>
        <w:rPr>
          <w:rFonts w:eastAsia="Times New Roman" w:cs="Times New Roman"/>
          <w:szCs w:val="24"/>
          <w:lang w:eastAsia="fi-FI"/>
        </w:rPr>
      </w:pPr>
    </w:p>
    <w:sectPr w:rsidR="002F6451" w:rsidRPr="00515E38" w:rsidSect="00085D32">
      <w:headerReference w:type="even" r:id="rId39"/>
      <w:headerReference w:type="default" r:id="rId40"/>
      <w:headerReference w:type="first" r:id="rId41"/>
      <w:footerReference w:type="first" r:id="rId42"/>
      <w:pgSz w:w="11906" w:h="16838" w:code="9"/>
      <w:pgMar w:top="567" w:right="1134" w:bottom="1021" w:left="1134" w:header="567"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hti Ville" w:date="2022-10-10T15:42:00Z" w:initials="LV">
    <w:p w14:paraId="4038F4A1" w14:textId="07808E19" w:rsidR="00EC6E2B" w:rsidRDefault="00EC6E2B">
      <w:pPr>
        <w:pStyle w:val="CommentText"/>
      </w:pPr>
      <w:r>
        <w:rPr>
          <w:rStyle w:val="CommentReference"/>
        </w:rPr>
        <w:annotationRef/>
      </w:r>
      <w:r w:rsidR="00097C31">
        <w:t xml:space="preserve">Pohdittava ennen suosituksen lopullista julkaisua: </w:t>
      </w:r>
      <w:r>
        <w:t>Voiko suosituksella olla ylipäänsä voimaantulopäivää?</w:t>
      </w:r>
    </w:p>
  </w:comment>
  <w:comment w:id="3" w:author="Lahti Ville" w:date="2022-10-17T10:49:00Z" w:initials="LV">
    <w:p w14:paraId="36D8AB04" w14:textId="54A96510" w:rsidR="00846E1E" w:rsidRDefault="00846E1E">
      <w:pPr>
        <w:pStyle w:val="CommentText"/>
      </w:pPr>
      <w:r>
        <w:rPr>
          <w:rStyle w:val="CommentReference"/>
        </w:rPr>
        <w:annotationRef/>
      </w:r>
      <w:r>
        <w:t xml:space="preserve">Pohditaan ennen julkaisua: </w:t>
      </w:r>
      <w:r w:rsidR="0097355E">
        <w:t xml:space="preserve">Käsitteet avattu suosituksen ymmärrettävyyden helpottamiseksi, ei tarkoitus luoda omia raideliikenteen kyberturvallisuuden käsitteitä. </w:t>
      </w:r>
      <w:r>
        <w:t xml:space="preserve">Onko termejä tarvetta päivittää? Ovatko ne </w:t>
      </w:r>
      <w:proofErr w:type="spellStart"/>
      <w:r>
        <w:t>tiivitä</w:t>
      </w:r>
      <w:proofErr w:type="spellEnd"/>
      <w:r>
        <w:t xml:space="preserve"> ja ymmärrettäviä? O</w:t>
      </w:r>
      <w:r w:rsidR="0097355E">
        <w:t xml:space="preserve">vatko riittävän yhtenevät esim. </w:t>
      </w:r>
      <w:r>
        <w:t>ISO</w:t>
      </w:r>
      <w:r w:rsidR="0097355E">
        <w:t>/IEC</w:t>
      </w:r>
      <w:r>
        <w:t xml:space="preserve"> 27000 sarjan </w:t>
      </w:r>
      <w:r w:rsidR="0097355E">
        <w:t>käsitteiden</w:t>
      </w:r>
      <w:r>
        <w:t xml:space="preserve"> kanssa?</w:t>
      </w:r>
    </w:p>
  </w:comment>
  <w:comment w:id="6" w:author="Lahti Ville" w:date="2022-10-17T08:51:00Z" w:initials="LV">
    <w:p w14:paraId="0CB7144E" w14:textId="24F7E477" w:rsidR="004A3813" w:rsidRDefault="004A3813">
      <w:pPr>
        <w:pStyle w:val="CommentText"/>
      </w:pPr>
      <w:r>
        <w:rPr>
          <w:rStyle w:val="CommentReference"/>
        </w:rPr>
        <w:annotationRef/>
      </w:r>
      <w:r>
        <w:t xml:space="preserve">NIS2 direktiivi julkaistaneen loka-marraskuussa 2022. Päivitetään linkki </w:t>
      </w:r>
      <w:proofErr w:type="gramStart"/>
      <w:r>
        <w:t>lopulliseen direktiivitekstiin</w:t>
      </w:r>
      <w:proofErr w:type="gramEnd"/>
      <w:r>
        <w:t xml:space="preserve"> kun se on saatavilla.</w:t>
      </w:r>
    </w:p>
  </w:comment>
  <w:comment w:id="7" w:author="Lahti Ville" w:date="2022-06-29T14:15:00Z" w:initials="LV">
    <w:p w14:paraId="6A88BD9F" w14:textId="017E24A9" w:rsidR="00EC6E2B" w:rsidRDefault="00EC6E2B">
      <w:pPr>
        <w:pStyle w:val="CommentText"/>
      </w:pPr>
      <w:r>
        <w:rPr>
          <w:rStyle w:val="CommentReference"/>
        </w:rPr>
        <w:annotationRef/>
      </w:r>
      <w:r w:rsidR="0097355E">
        <w:t>Pohditaan ennen virallista julkaisua: Kappale oli mukana vuoden 2020 suosituksessa, mutta t</w:t>
      </w:r>
      <w:r>
        <w:t>ulisiko poist</w:t>
      </w:r>
      <w:r w:rsidR="004A3813">
        <w:t>aa vanhentuneena/tarpeettomana?</w:t>
      </w:r>
    </w:p>
  </w:comment>
  <w:comment w:id="9" w:author="Lahti Ville" w:date="2022-10-17T10:54:00Z" w:initials="LV">
    <w:p w14:paraId="39AA2198" w14:textId="726EA134" w:rsidR="0097355E" w:rsidRDefault="0097355E">
      <w:pPr>
        <w:pStyle w:val="CommentText"/>
      </w:pPr>
      <w:r>
        <w:rPr>
          <w:rStyle w:val="CommentReference"/>
        </w:rPr>
        <w:annotationRef/>
      </w:r>
      <w:r>
        <w:t xml:space="preserve">Pohdittava ennen julkaisua: Tulisiko uhkaesimerkit ja hallintakeinot </w:t>
      </w:r>
      <w:proofErr w:type="gramStart"/>
      <w:r>
        <w:t>päivittää</w:t>
      </w:r>
      <w:proofErr w:type="gramEnd"/>
      <w:r>
        <w:t>? Nyt niitä ei ole muutettu vuoden 2020 suosituksesta.</w:t>
      </w:r>
    </w:p>
  </w:comment>
  <w:comment w:id="12" w:author="Lahti Ville" w:date="2022-10-17T10:33:00Z" w:initials="LV">
    <w:p w14:paraId="1675D855" w14:textId="2629867B" w:rsidR="00634434" w:rsidRDefault="00634434" w:rsidP="00634434">
      <w:pPr>
        <w:pStyle w:val="CommentText"/>
      </w:pPr>
      <w:r>
        <w:rPr>
          <w:rStyle w:val="CommentReference"/>
        </w:rPr>
        <w:annotationRef/>
      </w:r>
      <w:r>
        <w:t>Mahdollisesti tulisi vielä erikseen sisällyttää:</w:t>
      </w:r>
    </w:p>
    <w:p w14:paraId="2218ED3C" w14:textId="5CC0CEA1" w:rsidR="00634434" w:rsidRDefault="00634434" w:rsidP="00065028">
      <w:pPr>
        <w:pStyle w:val="CommentText"/>
        <w:numPr>
          <w:ilvl w:val="0"/>
          <w:numId w:val="8"/>
        </w:numPr>
      </w:pPr>
      <w:r>
        <w:t xml:space="preserve"> NIS1 mukainen ilmoitusvelvollisuus ja suositus vapaaehtoisista ilmoituksista sähköisellä lomakkeella</w:t>
      </w:r>
    </w:p>
    <w:p w14:paraId="49CA19D1" w14:textId="1A2FC38C" w:rsidR="00634434" w:rsidRDefault="00634434" w:rsidP="00065028">
      <w:pPr>
        <w:pStyle w:val="CommentText"/>
        <w:numPr>
          <w:ilvl w:val="0"/>
          <w:numId w:val="8"/>
        </w:numPr>
      </w:pPr>
      <w:r>
        <w:t xml:space="preserve"> Kyberturvallisuuskeskuksen ohjeistuksen seuraaminen</w:t>
      </w:r>
    </w:p>
    <w:p w14:paraId="5344962D" w14:textId="757B3D9B" w:rsidR="00634434" w:rsidRDefault="00634434" w:rsidP="00065028">
      <w:pPr>
        <w:pStyle w:val="CommentText"/>
        <w:numPr>
          <w:ilvl w:val="0"/>
          <w:numId w:val="8"/>
        </w:numPr>
      </w:pPr>
      <w:r>
        <w:t xml:space="preserve"> Kyberturvallisuuskeskukselle ilmoittaminen matalalla kynnyksellä:</w:t>
      </w:r>
    </w:p>
    <w:p w14:paraId="0D57E2E5" w14:textId="0E86B1F0" w:rsidR="00634434" w:rsidRDefault="00634434" w:rsidP="00065028">
      <w:pPr>
        <w:pStyle w:val="CommentText"/>
        <w:numPr>
          <w:ilvl w:val="0"/>
          <w:numId w:val="8"/>
        </w:numPr>
      </w:pPr>
      <w:r>
        <w:t xml:space="preserve">Esim. kuten ne ovat Kyberturvallisuus huoltovarmuuskriittisissä organisaatioissa - ohje johdolle: "toimijoita seuraamaan kyberturvallisuuden tilaa viranomaisten, erityisesti Liikenne- ja </w:t>
      </w:r>
      <w:proofErr w:type="spellStart"/>
      <w:r>
        <w:t>viestintävi-raston</w:t>
      </w:r>
      <w:proofErr w:type="spellEnd"/>
      <w:r>
        <w:t xml:space="preserve"> Kyberturvallisuuskeskuksen tiedotteiden ja tilannekuvatuotteiden välityksellä sekä oma-aloitteisesti." […] "ilmoittamaan kaikista epäillyistä tietoturvapoikkeamista matalalla kynnyksellä Kyberturvallisuus-keskukselle. Ilmoituksen voi tehdä sähköpostitse cert@traficom.fi sekä https://www.kyberturvallisuuskeskus.fi/fi/ilmoita. Tietoa hyödynnetään kansallisen </w:t>
      </w:r>
      <w:proofErr w:type="spellStart"/>
      <w:r>
        <w:t>kyberturvalli-suuden</w:t>
      </w:r>
      <w:proofErr w:type="spellEnd"/>
      <w:r>
        <w:t xml:space="preserve"> tilannekuvan ylläpitämisessä."</w:t>
      </w:r>
    </w:p>
  </w:comment>
  <w:comment w:id="13" w:author="Lahti Ville" w:date="2022-10-17T08:34:00Z" w:initials="LV">
    <w:p w14:paraId="31AF89BB" w14:textId="68DC984B" w:rsidR="00EC6E2B" w:rsidRDefault="00EC6E2B">
      <w:pPr>
        <w:pStyle w:val="CommentText"/>
      </w:pPr>
      <w:r>
        <w:rPr>
          <w:rStyle w:val="CommentReference"/>
        </w:rPr>
        <w:annotationRef/>
      </w:r>
      <w:r>
        <w:t>ISO/IEC 27001:2022 julkaistaan lokakuussa 2022.</w:t>
      </w:r>
      <w:r w:rsidR="00097C31">
        <w:t xml:space="preserve"> ISO/IEC 27002:2022 on julkaistu helmikuussa 2022.</w:t>
      </w:r>
    </w:p>
  </w:comment>
  <w:comment w:id="18" w:author="Lahti Ville" w:date="2022-07-12T09:40:00Z" w:initials="LV">
    <w:p w14:paraId="600244E9" w14:textId="4A4B3F96" w:rsidR="00EC6E2B" w:rsidRDefault="00EC6E2B" w:rsidP="006D4C5F">
      <w:pPr>
        <w:pStyle w:val="BodyText"/>
        <w:ind w:left="0"/>
      </w:pPr>
      <w:r>
        <w:rPr>
          <w:rStyle w:val="CommentReference"/>
        </w:rPr>
        <w:annotationRef/>
      </w:r>
      <w:r w:rsidR="00210896">
        <w:t xml:space="preserve">Vuoden 2020 suosituksen teksti säilytetty. Hallintakeino on melko vaativa </w:t>
      </w:r>
      <w:r>
        <w:t>(kybermittari taso 3).</w:t>
      </w:r>
    </w:p>
  </w:comment>
  <w:comment w:id="19" w:author="Lahti Ville" w:date="2022-07-13T13:08:00Z" w:initials="LV">
    <w:p w14:paraId="6E265E25" w14:textId="214DF59E" w:rsidR="00EC6E2B" w:rsidRDefault="00EC6E2B">
      <w:pPr>
        <w:pStyle w:val="CommentText"/>
      </w:pPr>
      <w:r>
        <w:rPr>
          <w:rStyle w:val="CommentReference"/>
        </w:rPr>
        <w:annotationRef/>
      </w:r>
      <w:r w:rsidR="00210896">
        <w:t>Tulisiko hallintakeinoa lieventää ja painottaa nopeaa reagointikykyä toteutuneisiin häiriöihin?</w:t>
      </w:r>
    </w:p>
  </w:comment>
  <w:comment w:id="22" w:author="Lahti Ville" w:date="2022-10-17T10:02:00Z" w:initials="LV">
    <w:p w14:paraId="6F5DADBC" w14:textId="108C0E5D" w:rsidR="00635625" w:rsidRDefault="00635625">
      <w:pPr>
        <w:pStyle w:val="CommentText"/>
      </w:pPr>
      <w:r>
        <w:rPr>
          <w:rStyle w:val="CommentReference"/>
        </w:rPr>
        <w:annotationRef/>
      </w:r>
      <w:r>
        <w:t>Selvitetään: Onko tarvetta erilliselle suosituskohdalle lokin pitämisestä käyttöoikeuksien hallitsemiseksi ja käytön valvomiseksi.</w:t>
      </w:r>
    </w:p>
  </w:comment>
  <w:comment w:id="26" w:author="Lahti Ville" w:date="2022-07-06T15:04:00Z" w:initials="LV">
    <w:p w14:paraId="0B390DD2" w14:textId="31F8630B" w:rsidR="00210896" w:rsidRDefault="00210896">
      <w:pPr>
        <w:pStyle w:val="CommentText"/>
      </w:pPr>
      <w:r>
        <w:t xml:space="preserve">Vuoden 2020 suosituksen teksti säilytetty ja hieman tarkennettu. </w:t>
      </w:r>
      <w:r w:rsidR="00EC6E2B">
        <w:rPr>
          <w:rStyle w:val="CommentReference"/>
        </w:rPr>
        <w:annotationRef/>
      </w:r>
      <w:r>
        <w:t>Hallintakeino on kuitenkin melko vaativa (</w:t>
      </w:r>
      <w:r w:rsidR="00EC6E2B">
        <w:t>kybermittari taso 3</w:t>
      </w:r>
      <w:r>
        <w:t>).</w:t>
      </w:r>
    </w:p>
  </w:comment>
  <w:comment w:id="29" w:author="Lahti Ville" w:date="2022-10-17T10:09:00Z" w:initials="LV">
    <w:p w14:paraId="21804CFC" w14:textId="791A3F32" w:rsidR="00656E59" w:rsidRDefault="00656E59">
      <w:pPr>
        <w:pStyle w:val="CommentText"/>
      </w:pPr>
      <w:r>
        <w:t xml:space="preserve">Lisätty: </w:t>
      </w:r>
      <w:r>
        <w:rPr>
          <w:rStyle w:val="CommentReference"/>
        </w:rPr>
        <w:annotationRef/>
      </w:r>
      <w:r>
        <w:t xml:space="preserve">Korostetaan eheyttä ja saatavuutta </w:t>
      </w:r>
    </w:p>
  </w:comment>
  <w:comment w:id="30" w:author="Lahti Ville" w:date="2022-07-12T09:23:00Z" w:initials="LV">
    <w:p w14:paraId="38513531" w14:textId="6D3F9F68" w:rsidR="00EC6E2B" w:rsidRDefault="00EC6E2B">
      <w:pPr>
        <w:pStyle w:val="CommentText"/>
      </w:pPr>
      <w:r>
        <w:rPr>
          <w:rStyle w:val="CommentReference"/>
        </w:rPr>
        <w:annotationRef/>
      </w:r>
      <w:r w:rsidR="00210896">
        <w:t>Vuoden 2020 suositus</w:t>
      </w:r>
      <w:r>
        <w:t xml:space="preserve"> säilytetty, vaikka ei suoraan ole kybermittarissa.</w:t>
      </w:r>
    </w:p>
  </w:comment>
  <w:comment w:id="33" w:author="Lahti Ville" w:date="2022-10-17T11:08:00Z" w:initials="LV">
    <w:p w14:paraId="60085084" w14:textId="553EF927" w:rsidR="004411A7" w:rsidRDefault="004411A7">
      <w:pPr>
        <w:pStyle w:val="CommentText"/>
      </w:pPr>
      <w:r>
        <w:rPr>
          <w:rStyle w:val="CommentReference"/>
        </w:rPr>
        <w:annotationRef/>
      </w:r>
      <w:r>
        <w:t>Kappale päivitettävä ennen suosituksen lopullista julkaisua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8F4A1" w15:done="0"/>
  <w15:commentEx w15:paraId="36D8AB04" w15:done="0"/>
  <w15:commentEx w15:paraId="0CB7144E" w15:done="0"/>
  <w15:commentEx w15:paraId="6A88BD9F" w15:done="0"/>
  <w15:commentEx w15:paraId="39AA2198" w15:done="0"/>
  <w15:commentEx w15:paraId="0D57E2E5" w15:done="0"/>
  <w15:commentEx w15:paraId="31AF89BB" w15:done="0"/>
  <w15:commentEx w15:paraId="600244E9" w15:done="0"/>
  <w15:commentEx w15:paraId="6E265E25" w15:paraIdParent="600244E9" w15:done="0"/>
  <w15:commentEx w15:paraId="6F5DADBC" w15:done="0"/>
  <w15:commentEx w15:paraId="0B390DD2" w15:done="0"/>
  <w15:commentEx w15:paraId="21804CFC" w15:done="0"/>
  <w15:commentEx w15:paraId="38513531" w15:done="0"/>
  <w15:commentEx w15:paraId="600850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DD60" w14:textId="77777777" w:rsidR="00EC6E2B" w:rsidRDefault="00EC6E2B" w:rsidP="00E578A9">
      <w:pPr>
        <w:spacing w:after="0" w:line="240" w:lineRule="auto"/>
      </w:pPr>
      <w:r>
        <w:separator/>
      </w:r>
    </w:p>
  </w:endnote>
  <w:endnote w:type="continuationSeparator" w:id="0">
    <w:p w14:paraId="3EF9CE60" w14:textId="77777777" w:rsidR="00EC6E2B" w:rsidRDefault="00EC6E2B" w:rsidP="00E578A9">
      <w:pPr>
        <w:spacing w:after="0" w:line="240" w:lineRule="auto"/>
      </w:pPr>
      <w:r>
        <w:continuationSeparator/>
      </w:r>
    </w:p>
  </w:endnote>
  <w:endnote w:type="continuationNotice" w:id="1">
    <w:p w14:paraId="1227B165" w14:textId="77777777" w:rsidR="00EC6E2B" w:rsidRDefault="00EC6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6" w14:textId="77777777" w:rsidR="00EC6E2B" w:rsidRPr="004F132E" w:rsidRDefault="00EC6E2B" w:rsidP="0E054CB5">
    <w:pPr>
      <w:pStyle w:val="Footer"/>
      <w:spacing w:line="276" w:lineRule="auto"/>
      <w:rPr>
        <w:b/>
        <w:bCs/>
      </w:rPr>
    </w:pPr>
    <w:r w:rsidRPr="00765D0E">
      <w:t>Liikenne- ja viestintävirasto Traficom</w:t>
    </w:r>
    <w:r w:rsidRPr="0E091B0B">
      <w:t xml:space="preserve"> </w:t>
    </w:r>
    <w:r>
      <w:t>▪</w:t>
    </w:r>
    <w:r w:rsidRPr="00765D0E">
      <w:t xml:space="preserve"> PL 320, 00059 TRAFICOM </w:t>
    </w:r>
    <w:r>
      <w:br/>
    </w:r>
    <w:r w:rsidRPr="00765D0E">
      <w:t xml:space="preserve">p. 029 534 5000 </w:t>
    </w:r>
    <w:r>
      <w:t>▪</w:t>
    </w:r>
    <w:r w:rsidRPr="00765D0E">
      <w:t xml:space="preserve"> Y-tunnus 2924753-3</w:t>
    </w:r>
    <w:r w:rsidRPr="0E091B0B">
      <w:t xml:space="preserve"> </w:t>
    </w:r>
    <w:r>
      <w:tab/>
    </w:r>
    <w:r>
      <w:tab/>
    </w:r>
    <w:r w:rsidRPr="7BB17E1D">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ECD5D" w14:textId="77777777" w:rsidR="00EC6E2B" w:rsidRDefault="00EC6E2B" w:rsidP="00E578A9">
      <w:pPr>
        <w:spacing w:after="0" w:line="240" w:lineRule="auto"/>
      </w:pPr>
      <w:r>
        <w:separator/>
      </w:r>
    </w:p>
  </w:footnote>
  <w:footnote w:type="continuationSeparator" w:id="0">
    <w:p w14:paraId="37B8C8E7" w14:textId="77777777" w:rsidR="00EC6E2B" w:rsidRDefault="00EC6E2B" w:rsidP="00E578A9">
      <w:pPr>
        <w:spacing w:after="0" w:line="240" w:lineRule="auto"/>
      </w:pPr>
      <w:r>
        <w:continuationSeparator/>
      </w:r>
    </w:p>
  </w:footnote>
  <w:footnote w:type="continuationNotice" w:id="1">
    <w:p w14:paraId="685103DB" w14:textId="77777777" w:rsidR="00EC6E2B" w:rsidRDefault="00EC6E2B">
      <w:pPr>
        <w:spacing w:after="0" w:line="240" w:lineRule="auto"/>
      </w:pPr>
    </w:p>
  </w:footnote>
  <w:footnote w:id="2">
    <w:p w14:paraId="622A11A1" w14:textId="617D4BCA" w:rsidR="00EC6E2B" w:rsidRPr="00101A52" w:rsidRDefault="00EC6E2B">
      <w:pPr>
        <w:pStyle w:val="FootnoteText"/>
      </w:pPr>
      <w:r>
        <w:rPr>
          <w:rStyle w:val="FootnoteReference"/>
        </w:rPr>
        <w:footnoteRef/>
      </w:r>
      <w:r w:rsidRPr="00101A52">
        <w:t xml:space="preserve"> Taulukon</w:t>
      </w:r>
      <w:r>
        <w:t xml:space="preserve"> 1</w:t>
      </w:r>
      <w:r w:rsidRPr="00101A52">
        <w:t xml:space="preserve"> määritelmät ovat pääosin Turvallisuuskomitean kyberturvallisuussanastosta, mutta osaa niistä on täydennetty UK:n raideliikenteen kyberturvallisuu</w:t>
      </w:r>
      <w:r>
        <w:t>s</w:t>
      </w:r>
      <w:r w:rsidRPr="00101A52">
        <w:t>strategiassa käytetyillä määritelmillä</w:t>
      </w:r>
      <w:r>
        <w:t xml:space="preserve"> sekä muokattu raideliikenteeseen soveltuvammaksi</w:t>
      </w:r>
      <w:r w:rsidRPr="39940DFD">
        <w:t xml:space="preserve"> (</w:t>
      </w:r>
      <w:r>
        <w:t>ks. luku 5. Lisätietoja ja tiedon lähteitä)</w:t>
      </w:r>
    </w:p>
  </w:footnote>
  <w:footnote w:id="3">
    <w:p w14:paraId="4860BC8C" w14:textId="508252AC" w:rsidR="00EC6E2B" w:rsidRDefault="00EC6E2B">
      <w:pPr>
        <w:pStyle w:val="FootnoteText"/>
      </w:pPr>
      <w:r>
        <w:rPr>
          <w:rStyle w:val="FootnoteReference"/>
        </w:rPr>
        <w:footnoteRef/>
      </w:r>
      <w:r>
        <w:t xml:space="preserve"> </w:t>
      </w:r>
      <w:r w:rsidRPr="00060604">
        <w:t>https://eur-lex.europa.eu/legal-content/FI/TXT/PDF/?uri=CELEX:32016L1148&amp;from=FI</w:t>
      </w:r>
    </w:p>
  </w:footnote>
  <w:footnote w:id="4">
    <w:p w14:paraId="7B6318A9" w14:textId="2573CC72" w:rsidR="00EC6E2B" w:rsidRDefault="00EC6E2B">
      <w:pPr>
        <w:pStyle w:val="FootnoteText"/>
      </w:pPr>
      <w:r>
        <w:rPr>
          <w:rStyle w:val="FootnoteReference"/>
        </w:rPr>
        <w:footnoteRef/>
      </w:r>
      <w:r>
        <w:t xml:space="preserve"> </w:t>
      </w:r>
      <w:r w:rsidRPr="00060604">
        <w:t>https://digital-strategy.ec.europa.eu/en/library/eu-toolbox-5g-security</w:t>
      </w:r>
    </w:p>
  </w:footnote>
  <w:footnote w:id="5">
    <w:p w14:paraId="3BC44BA4" w14:textId="6BB7C5B3" w:rsidR="00EC6E2B" w:rsidRDefault="00EC6E2B">
      <w:pPr>
        <w:pStyle w:val="FootnoteText"/>
      </w:pPr>
      <w:r>
        <w:rPr>
          <w:rStyle w:val="FootnoteReference"/>
        </w:rPr>
        <w:footnoteRef/>
      </w:r>
      <w:r>
        <w:t xml:space="preserve"> </w:t>
      </w:r>
      <w:hyperlink r:id="rId1" w:history="1">
        <w:r w:rsidRPr="00CB3195">
          <w:rPr>
            <w:rStyle w:val="Hyperlink"/>
          </w:rPr>
          <w:t>https://www.traficom.fi/fi/saadokset/ohje-valmiussuunnitelman-laatimiseksi-raideliikenteessa</w:t>
        </w:r>
      </w:hyperlink>
    </w:p>
  </w:footnote>
  <w:footnote w:id="6">
    <w:p w14:paraId="219D8DD0" w14:textId="055C2C8D" w:rsidR="00EC6E2B" w:rsidRDefault="00EC6E2B">
      <w:pPr>
        <w:pStyle w:val="FootnoteText"/>
      </w:pPr>
      <w:r>
        <w:rPr>
          <w:rStyle w:val="FootnoteReference"/>
        </w:rPr>
        <w:footnoteRef/>
      </w:r>
      <w:r>
        <w:t xml:space="preserve"> </w:t>
      </w:r>
      <w:r w:rsidRPr="007206A9">
        <w:t>https://valtioneuvosto.fi/paatokset/paatos?decisionId=0900908f80732d82</w:t>
      </w:r>
    </w:p>
  </w:footnote>
  <w:footnote w:id="7">
    <w:p w14:paraId="3ECCF37A" w14:textId="13DB50A0" w:rsidR="00EC6E2B" w:rsidRDefault="00EC6E2B" w:rsidP="0046122F">
      <w:pPr>
        <w:pStyle w:val="FootnoteText"/>
      </w:pPr>
      <w:r>
        <w:rPr>
          <w:rStyle w:val="FootnoteReference"/>
        </w:rPr>
        <w:footnoteRef/>
      </w:r>
      <w:r w:rsidRPr="0E091B0B">
        <w:t xml:space="preserve"> </w:t>
      </w:r>
      <w:r>
        <w:t xml:space="preserve">Taulukko pohjautuu </w:t>
      </w:r>
      <w:proofErr w:type="spellStart"/>
      <w:r>
        <w:t>Cebula</w:t>
      </w:r>
      <w:proofErr w:type="spellEnd"/>
      <w:r>
        <w:t xml:space="preserve"> &amp; Youngin (2010) operationaalisten kyberriskien taulukkoon.</w:t>
      </w:r>
    </w:p>
  </w:footnote>
  <w:footnote w:id="8">
    <w:p w14:paraId="0A9D026B" w14:textId="23A733A4" w:rsidR="00135D27" w:rsidRDefault="00135D27">
      <w:pPr>
        <w:pStyle w:val="FootnoteText"/>
      </w:pPr>
      <w:r>
        <w:rPr>
          <w:rStyle w:val="FootnoteReference"/>
        </w:rPr>
        <w:footnoteRef/>
      </w:r>
      <w:r>
        <w:t xml:space="preserve"> Traficomilla ei ole toimivaltaa vaatia toimijoilta ISO/IEC 27001 sertifiointia, vaikka esimerkiksi Tanskassa sertifiointivaatimus on olemassa. Traficom kohdistaa toimijoihin valvontaa riskiperustaisesti ja sertifikaatin hankkimisella olisi Traficomin valvonnan tarvetta vähentävä vaikutus.</w:t>
      </w:r>
    </w:p>
  </w:footnote>
  <w:footnote w:id="9">
    <w:p w14:paraId="0403EEB2" w14:textId="4FAC6E71" w:rsidR="00EC6E2B" w:rsidRDefault="00EC6E2B">
      <w:pPr>
        <w:pStyle w:val="FootnoteText"/>
      </w:pPr>
      <w:r>
        <w:rPr>
          <w:rStyle w:val="FootnoteReference"/>
        </w:rPr>
        <w:footnoteRef/>
      </w:r>
      <w:r>
        <w:t xml:space="preserve"> </w:t>
      </w:r>
      <w:r w:rsidRPr="00D65E1F">
        <w:t>https://www.kyberturvallisuuskeskus.fi/fi/palvelumme/tilannekuva-ja-verkostot/kybermittari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0696" w14:textId="065E3377" w:rsidR="00EC6E2B" w:rsidRDefault="00151460">
    <w:pPr>
      <w:pStyle w:val="Header"/>
    </w:pPr>
    <w:r>
      <w:rPr>
        <w:noProof/>
      </w:rPr>
      <w:pict w14:anchorId="167AF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1438" o:spid="_x0000_s45058" type="#_x0000_t136" style="position:absolute;margin-left:0;margin-top:0;width:475.55pt;height:203.8pt;rotation:315;z-index:-251654143;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C946" w14:textId="36EDC177" w:rsidR="00EC6E2B" w:rsidRDefault="00151460" w:rsidP="00271646">
    <w:pPr>
      <w:pStyle w:val="Header"/>
    </w:pPr>
    <w:r>
      <w:rPr>
        <w:noProof/>
      </w:rPr>
      <w:pict w14:anchorId="79D33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1439" o:spid="_x0000_s45059" type="#_x0000_t136" style="position:absolute;margin-left:0;margin-top:0;width:475.55pt;height:203.8pt;rotation:315;z-index:-251652095;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r w:rsidR="00EC6E2B">
      <w:rPr>
        <w:noProof/>
        <w:lang w:eastAsia="fi-FI"/>
      </w:rPr>
      <w:drawing>
        <wp:anchor distT="0" distB="0" distL="114300" distR="114300" simplePos="0" relativeHeight="251658241" behindDoc="0" locked="0" layoutInCell="1" allowOverlap="1" wp14:anchorId="0DEC1CB6" wp14:editId="3616316F">
          <wp:simplePos x="0" y="0"/>
          <wp:positionH relativeFrom="page">
            <wp:posOffset>720090</wp:posOffset>
          </wp:positionH>
          <wp:positionV relativeFrom="page">
            <wp:posOffset>402664</wp:posOffset>
          </wp:positionV>
          <wp:extent cx="2160000" cy="468000"/>
          <wp:effectExtent l="0" t="0" r="0" b="8255"/>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57E6609D" w14:textId="553D4F41" w:rsidR="00EC6E2B" w:rsidRDefault="00EC6E2B" w:rsidP="00271646">
    <w:pPr>
      <w:pStyle w:val="Header"/>
      <w:tabs>
        <w:tab w:val="clear" w:pos="4819"/>
        <w:tab w:val="clear" w:pos="9638"/>
      </w:tabs>
      <w:spacing w:line="240" w:lineRule="exact"/>
      <w:jc w:val="right"/>
    </w:pPr>
    <w:r w:rsidRPr="0E054CB5">
      <w:rPr>
        <w:b/>
        <w:bCs/>
      </w:rPr>
      <w:t>Suositus</w:t>
    </w:r>
    <w:r w:rsidR="00507BB8">
      <w:rPr>
        <w:b/>
        <w:bCs/>
      </w:rPr>
      <w:t xml:space="preserve"> (luonnos)</w:t>
    </w:r>
  </w:p>
  <w:p w14:paraId="3C154D3D" w14:textId="78D80767" w:rsidR="00EC6E2B" w:rsidRDefault="00EC6E2B" w:rsidP="00271646">
    <w:pPr>
      <w:pStyle w:val="Header"/>
      <w:jc w:val="right"/>
    </w:pPr>
    <w:r w:rsidRPr="0E054CB5">
      <w:rPr>
        <w:rStyle w:val="PageNumber"/>
        <w:noProof/>
      </w:rPr>
      <w:fldChar w:fldCharType="begin"/>
    </w:r>
    <w:r w:rsidRPr="0E054CB5">
      <w:rPr>
        <w:rStyle w:val="PageNumber"/>
        <w:noProof/>
      </w:rPr>
      <w:instrText xml:space="preserve"> PAGE </w:instrText>
    </w:r>
    <w:r w:rsidRPr="0E054CB5">
      <w:rPr>
        <w:rStyle w:val="PageNumber"/>
        <w:noProof/>
      </w:rPr>
      <w:fldChar w:fldCharType="separate"/>
    </w:r>
    <w:r w:rsidR="00151460">
      <w:rPr>
        <w:rStyle w:val="PageNumber"/>
        <w:noProof/>
      </w:rPr>
      <w:t>16</w:t>
    </w:r>
    <w:r w:rsidRPr="0E054CB5">
      <w:rPr>
        <w:rStyle w:val="PageNumber"/>
        <w:noProof/>
      </w:rPr>
      <w:fldChar w:fldCharType="end"/>
    </w:r>
    <w:r>
      <w:t xml:space="preserve"> (</w:t>
    </w:r>
    <w:r w:rsidRPr="0E054CB5">
      <w:rPr>
        <w:rStyle w:val="PageNumber"/>
        <w:noProof/>
      </w:rPr>
      <w:fldChar w:fldCharType="begin"/>
    </w:r>
    <w:r w:rsidRPr="0E054CB5">
      <w:rPr>
        <w:rStyle w:val="PageNumber"/>
        <w:noProof/>
      </w:rPr>
      <w:instrText xml:space="preserve"> NUMPAGES </w:instrText>
    </w:r>
    <w:r w:rsidRPr="0E054CB5">
      <w:rPr>
        <w:rStyle w:val="PageNumber"/>
        <w:noProof/>
      </w:rPr>
      <w:fldChar w:fldCharType="separate"/>
    </w:r>
    <w:r w:rsidR="00151460">
      <w:rPr>
        <w:rStyle w:val="PageNumber"/>
        <w:noProof/>
      </w:rPr>
      <w:t>19</w:t>
    </w:r>
    <w:r w:rsidRPr="0E054CB5">
      <w:rPr>
        <w:rStyle w:val="PageNumber"/>
        <w:noProof/>
      </w:rPr>
      <w:fldChar w:fldCharType="end"/>
    </w:r>
    <w:r>
      <w:t>)</w:t>
    </w:r>
  </w:p>
  <w:p w14:paraId="1840EDB6" w14:textId="567C1EEA" w:rsidR="00EC6E2B" w:rsidRDefault="00EC6E2B" w:rsidP="00271646">
    <w:pPr>
      <w:pStyle w:val="Header"/>
      <w:jc w:val="right"/>
    </w:pPr>
    <w:r>
      <w:t>TRAFICOM/167875/03.04.02.01/2020</w:t>
    </w:r>
  </w:p>
  <w:p w14:paraId="507661D7" w14:textId="77777777" w:rsidR="00EC6E2B" w:rsidRDefault="00E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105" w14:textId="65EF5E2C" w:rsidR="00EC6E2B" w:rsidRDefault="00151460">
    <w:pPr>
      <w:pStyle w:val="Header"/>
    </w:pPr>
    <w:r>
      <w:rPr>
        <w:noProof/>
      </w:rPr>
      <w:pict w14:anchorId="72774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61437" o:spid="_x0000_s45057" type="#_x0000_t136" style="position:absolute;margin-left:0;margin-top:0;width:475.55pt;height:203.8pt;rotation:315;z-index:-251656191;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r w:rsidR="00EC6E2B">
      <w:rPr>
        <w:noProof/>
        <w:lang w:eastAsia="fi-FI"/>
      </w:rPr>
      <w:drawing>
        <wp:anchor distT="0" distB="0" distL="114300" distR="114300" simplePos="0" relativeHeight="251658240" behindDoc="0" locked="0" layoutInCell="1" allowOverlap="1" wp14:anchorId="011B33DA" wp14:editId="41C1DB47">
          <wp:simplePos x="0" y="0"/>
          <wp:positionH relativeFrom="page">
            <wp:posOffset>720090</wp:posOffset>
          </wp:positionH>
          <wp:positionV relativeFrom="page">
            <wp:posOffset>402664</wp:posOffset>
          </wp:positionV>
          <wp:extent cx="2160000" cy="468000"/>
          <wp:effectExtent l="0" t="0" r="0" b="8255"/>
          <wp:wrapNone/>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p w14:paraId="72953770" w14:textId="1728E573" w:rsidR="00EC6E2B" w:rsidRDefault="00EC6E2B" w:rsidP="00FF1FD4">
    <w:pPr>
      <w:pStyle w:val="Header"/>
      <w:tabs>
        <w:tab w:val="clear" w:pos="4819"/>
        <w:tab w:val="clear" w:pos="9638"/>
      </w:tabs>
      <w:spacing w:line="240" w:lineRule="exact"/>
      <w:jc w:val="right"/>
    </w:pPr>
    <w:r w:rsidRPr="0E054CB5">
      <w:rPr>
        <w:b/>
        <w:bCs/>
      </w:rPr>
      <w:t>Suositus</w:t>
    </w:r>
    <w:r w:rsidR="00C60FBA">
      <w:rPr>
        <w:b/>
        <w:bCs/>
      </w:rPr>
      <w:t xml:space="preserve"> (luonnos)</w:t>
    </w:r>
  </w:p>
  <w:p w14:paraId="5CD06233" w14:textId="6F21C6DA" w:rsidR="00EC6E2B" w:rsidRDefault="00EC6E2B" w:rsidP="00FF1FD4">
    <w:pPr>
      <w:pStyle w:val="Header"/>
      <w:jc w:val="right"/>
    </w:pPr>
    <w:r w:rsidRPr="0E054CB5">
      <w:rPr>
        <w:rStyle w:val="PageNumber"/>
        <w:noProof/>
      </w:rPr>
      <w:fldChar w:fldCharType="begin"/>
    </w:r>
    <w:r w:rsidRPr="0E054CB5">
      <w:rPr>
        <w:rStyle w:val="PageNumber"/>
        <w:noProof/>
      </w:rPr>
      <w:instrText xml:space="preserve"> PAGE </w:instrText>
    </w:r>
    <w:r w:rsidRPr="0E054CB5">
      <w:rPr>
        <w:rStyle w:val="PageNumber"/>
        <w:noProof/>
      </w:rPr>
      <w:fldChar w:fldCharType="separate"/>
    </w:r>
    <w:r w:rsidR="00151460">
      <w:rPr>
        <w:rStyle w:val="PageNumber"/>
        <w:noProof/>
      </w:rPr>
      <w:t>1</w:t>
    </w:r>
    <w:r w:rsidRPr="0E054CB5">
      <w:rPr>
        <w:rStyle w:val="PageNumber"/>
        <w:noProof/>
      </w:rPr>
      <w:fldChar w:fldCharType="end"/>
    </w:r>
    <w:r>
      <w:t xml:space="preserve"> (</w:t>
    </w:r>
    <w:r w:rsidRPr="0E054CB5">
      <w:rPr>
        <w:rStyle w:val="PageNumber"/>
        <w:noProof/>
      </w:rPr>
      <w:fldChar w:fldCharType="begin"/>
    </w:r>
    <w:r w:rsidRPr="0E054CB5">
      <w:rPr>
        <w:rStyle w:val="PageNumber"/>
        <w:noProof/>
      </w:rPr>
      <w:instrText xml:space="preserve"> NUMPAGES </w:instrText>
    </w:r>
    <w:r w:rsidRPr="0E054CB5">
      <w:rPr>
        <w:rStyle w:val="PageNumber"/>
        <w:noProof/>
      </w:rPr>
      <w:fldChar w:fldCharType="separate"/>
    </w:r>
    <w:r w:rsidR="00151460">
      <w:rPr>
        <w:rStyle w:val="PageNumber"/>
        <w:noProof/>
      </w:rPr>
      <w:t>19</w:t>
    </w:r>
    <w:r w:rsidRPr="0E054CB5">
      <w:rPr>
        <w:rStyle w:val="PageNumber"/>
        <w:noProof/>
      </w:rPr>
      <w:fldChar w:fldCharType="end"/>
    </w:r>
    <w:r>
      <w:t>)</w:t>
    </w:r>
    <w:r>
      <w:br/>
      <w:t>TRAFICOM</w:t>
    </w:r>
    <w:r w:rsidR="00C60FBA">
      <w:t xml:space="preserve"> VIITE PÄIVITETTÄVÄ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28BC0E"/>
    <w:lvl w:ilvl="0">
      <w:start w:val="1"/>
      <w:numFmt w:val="decimal"/>
      <w:pStyle w:val="ListNumber"/>
      <w:lvlText w:val="%1."/>
      <w:lvlJc w:val="left"/>
      <w:pPr>
        <w:tabs>
          <w:tab w:val="num" w:pos="360"/>
        </w:tabs>
        <w:ind w:left="360" w:hanging="360"/>
      </w:pPr>
    </w:lvl>
  </w:abstractNum>
  <w:abstractNum w:abstractNumId="1" w15:restartNumberingAfterBreak="0">
    <w:nsid w:val="059A0661"/>
    <w:multiLevelType w:val="hybridMultilevel"/>
    <w:tmpl w:val="F076A5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6047D"/>
    <w:multiLevelType w:val="hybridMultilevel"/>
    <w:tmpl w:val="B24A5C9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AC370C8"/>
    <w:multiLevelType w:val="hybridMultilevel"/>
    <w:tmpl w:val="1048FE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CC97591"/>
    <w:multiLevelType w:val="multilevel"/>
    <w:tmpl w:val="3C0E3FC0"/>
    <w:lvl w:ilvl="0">
      <w:start w:val="1"/>
      <w:numFmt w:val="bullet"/>
      <w:pStyle w:val="List"/>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4A3E32"/>
    <w:multiLevelType w:val="hybridMultilevel"/>
    <w:tmpl w:val="738ACE16"/>
    <w:lvl w:ilvl="0" w:tplc="FFFFFFFF">
      <w:start w:val="1"/>
      <w:numFmt w:val="bullet"/>
      <w:lvlText w:val=""/>
      <w:lvlJc w:val="left"/>
      <w:pPr>
        <w:tabs>
          <w:tab w:val="num" w:pos="720"/>
        </w:tabs>
        <w:ind w:left="720" w:hanging="360"/>
      </w:pPr>
      <w:rPr>
        <w:rFonts w:ascii="Symbol" w:hAnsi="Symbol" w:hint="default"/>
      </w:rPr>
    </w:lvl>
    <w:lvl w:ilvl="1" w:tplc="8AB26526">
      <w:start w:val="174"/>
      <w:numFmt w:val="bullet"/>
      <w:lvlText w:val="›"/>
      <w:lvlJc w:val="left"/>
      <w:pPr>
        <w:tabs>
          <w:tab w:val="num" w:pos="1440"/>
        </w:tabs>
        <w:ind w:left="1440" w:hanging="360"/>
      </w:pPr>
      <w:rPr>
        <w:rFonts w:ascii="Verdana" w:hAnsi="Verdana" w:hint="default"/>
      </w:rPr>
    </w:lvl>
    <w:lvl w:ilvl="2" w:tplc="BE56826C">
      <w:start w:val="174"/>
      <w:numFmt w:val="bullet"/>
      <w:lvlText w:val="•"/>
      <w:lvlJc w:val="left"/>
      <w:pPr>
        <w:tabs>
          <w:tab w:val="num" w:pos="2160"/>
        </w:tabs>
        <w:ind w:left="2160" w:hanging="360"/>
      </w:pPr>
      <w:rPr>
        <w:rFonts w:ascii="Arial" w:hAnsi="Arial" w:hint="default"/>
      </w:rPr>
    </w:lvl>
    <w:lvl w:ilvl="3" w:tplc="0A002606" w:tentative="1">
      <w:start w:val="1"/>
      <w:numFmt w:val="bullet"/>
      <w:lvlText w:val="›"/>
      <w:lvlJc w:val="left"/>
      <w:pPr>
        <w:tabs>
          <w:tab w:val="num" w:pos="2880"/>
        </w:tabs>
        <w:ind w:left="2880" w:hanging="360"/>
      </w:pPr>
      <w:rPr>
        <w:rFonts w:ascii="Verdana" w:hAnsi="Verdana" w:hint="default"/>
      </w:rPr>
    </w:lvl>
    <w:lvl w:ilvl="4" w:tplc="2B2CA2D8" w:tentative="1">
      <w:start w:val="1"/>
      <w:numFmt w:val="bullet"/>
      <w:lvlText w:val="›"/>
      <w:lvlJc w:val="left"/>
      <w:pPr>
        <w:tabs>
          <w:tab w:val="num" w:pos="3600"/>
        </w:tabs>
        <w:ind w:left="3600" w:hanging="360"/>
      </w:pPr>
      <w:rPr>
        <w:rFonts w:ascii="Verdana" w:hAnsi="Verdana" w:hint="default"/>
      </w:rPr>
    </w:lvl>
    <w:lvl w:ilvl="5" w:tplc="BE126B5A" w:tentative="1">
      <w:start w:val="1"/>
      <w:numFmt w:val="bullet"/>
      <w:lvlText w:val="›"/>
      <w:lvlJc w:val="left"/>
      <w:pPr>
        <w:tabs>
          <w:tab w:val="num" w:pos="4320"/>
        </w:tabs>
        <w:ind w:left="4320" w:hanging="360"/>
      </w:pPr>
      <w:rPr>
        <w:rFonts w:ascii="Verdana" w:hAnsi="Verdana" w:hint="default"/>
      </w:rPr>
    </w:lvl>
    <w:lvl w:ilvl="6" w:tplc="BE36D43E" w:tentative="1">
      <w:start w:val="1"/>
      <w:numFmt w:val="bullet"/>
      <w:lvlText w:val="›"/>
      <w:lvlJc w:val="left"/>
      <w:pPr>
        <w:tabs>
          <w:tab w:val="num" w:pos="5040"/>
        </w:tabs>
        <w:ind w:left="5040" w:hanging="360"/>
      </w:pPr>
      <w:rPr>
        <w:rFonts w:ascii="Verdana" w:hAnsi="Verdana" w:hint="default"/>
      </w:rPr>
    </w:lvl>
    <w:lvl w:ilvl="7" w:tplc="0624DA76" w:tentative="1">
      <w:start w:val="1"/>
      <w:numFmt w:val="bullet"/>
      <w:lvlText w:val="›"/>
      <w:lvlJc w:val="left"/>
      <w:pPr>
        <w:tabs>
          <w:tab w:val="num" w:pos="5760"/>
        </w:tabs>
        <w:ind w:left="5760" w:hanging="360"/>
      </w:pPr>
      <w:rPr>
        <w:rFonts w:ascii="Verdana" w:hAnsi="Verdana" w:hint="default"/>
      </w:rPr>
    </w:lvl>
    <w:lvl w:ilvl="8" w:tplc="975C499A"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8" w15:restartNumberingAfterBreak="0">
    <w:nsid w:val="33AC0767"/>
    <w:multiLevelType w:val="hybridMultilevel"/>
    <w:tmpl w:val="6B7C116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3BF2C97"/>
    <w:multiLevelType w:val="multilevel"/>
    <w:tmpl w:val="03D426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7421E"/>
    <w:multiLevelType w:val="hybridMultilevel"/>
    <w:tmpl w:val="9814B54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5060362E"/>
    <w:multiLevelType w:val="hybridMultilevel"/>
    <w:tmpl w:val="90A2F8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0D54C2B"/>
    <w:multiLevelType w:val="hybridMultilevel"/>
    <w:tmpl w:val="C186B9F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18C1BCA"/>
    <w:multiLevelType w:val="hybridMultilevel"/>
    <w:tmpl w:val="BA4ECA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417382F"/>
    <w:multiLevelType w:val="hybridMultilevel"/>
    <w:tmpl w:val="2FCE6AE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CF90DA5"/>
    <w:multiLevelType w:val="hybridMultilevel"/>
    <w:tmpl w:val="605E8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4ED1D51"/>
    <w:multiLevelType w:val="hybridMultilevel"/>
    <w:tmpl w:val="A300A04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8CD40E4"/>
    <w:multiLevelType w:val="hybridMultilevel"/>
    <w:tmpl w:val="E494B556"/>
    <w:lvl w:ilvl="0" w:tplc="CD48F094">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A807A87"/>
    <w:multiLevelType w:val="hybridMultilevel"/>
    <w:tmpl w:val="B9AEC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2167AD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310222"/>
    <w:multiLevelType w:val="hybridMultilevel"/>
    <w:tmpl w:val="F00E010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7E9F759E"/>
    <w:multiLevelType w:val="hybridMultilevel"/>
    <w:tmpl w:val="E55826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9"/>
  </w:num>
  <w:num w:numId="7">
    <w:abstractNumId w:val="21"/>
  </w:num>
  <w:num w:numId="8">
    <w:abstractNumId w:val="17"/>
  </w:num>
  <w:num w:numId="9">
    <w:abstractNumId w:val="9"/>
  </w:num>
  <w:num w:numId="10">
    <w:abstractNumId w:val="15"/>
  </w:num>
  <w:num w:numId="11">
    <w:abstractNumId w:val="3"/>
  </w:num>
  <w:num w:numId="12">
    <w:abstractNumId w:val="4"/>
  </w:num>
  <w:num w:numId="13">
    <w:abstractNumId w:val="10"/>
  </w:num>
  <w:num w:numId="14">
    <w:abstractNumId w:val="12"/>
  </w:num>
  <w:num w:numId="15">
    <w:abstractNumId w:val="11"/>
  </w:num>
  <w:num w:numId="16">
    <w:abstractNumId w:val="16"/>
  </w:num>
  <w:num w:numId="17">
    <w:abstractNumId w:val="20"/>
  </w:num>
  <w:num w:numId="18">
    <w:abstractNumId w:val="1"/>
  </w:num>
  <w:num w:numId="19">
    <w:abstractNumId w:val="13"/>
  </w:num>
  <w:num w:numId="20">
    <w:abstractNumId w:val="14"/>
  </w:num>
  <w:num w:numId="21">
    <w:abstractNumId w:val="8"/>
  </w:num>
  <w:num w:numId="22">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hti Ville">
    <w15:presenceInfo w15:providerId="None" w15:userId="Lahti V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5060"/>
    <o:shapelayout v:ext="edit">
      <o:idmap v:ext="edit" data="4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9"/>
    <w:rsid w:val="000109F5"/>
    <w:rsid w:val="00010AA4"/>
    <w:rsid w:val="00012535"/>
    <w:rsid w:val="00034D56"/>
    <w:rsid w:val="00034E29"/>
    <w:rsid w:val="00041308"/>
    <w:rsid w:val="000429A7"/>
    <w:rsid w:val="00051242"/>
    <w:rsid w:val="00053591"/>
    <w:rsid w:val="00054D57"/>
    <w:rsid w:val="00060604"/>
    <w:rsid w:val="000648DA"/>
    <w:rsid w:val="00065028"/>
    <w:rsid w:val="00070106"/>
    <w:rsid w:val="000724A8"/>
    <w:rsid w:val="00081008"/>
    <w:rsid w:val="00083C09"/>
    <w:rsid w:val="00085D32"/>
    <w:rsid w:val="00097C31"/>
    <w:rsid w:val="000B0690"/>
    <w:rsid w:val="000B1074"/>
    <w:rsid w:val="000C11CB"/>
    <w:rsid w:val="000C7415"/>
    <w:rsid w:val="000D279D"/>
    <w:rsid w:val="000D397C"/>
    <w:rsid w:val="000E79BD"/>
    <w:rsid w:val="000F6581"/>
    <w:rsid w:val="000F7ED7"/>
    <w:rsid w:val="00101A52"/>
    <w:rsid w:val="0010596F"/>
    <w:rsid w:val="0011449B"/>
    <w:rsid w:val="001263AE"/>
    <w:rsid w:val="00126A69"/>
    <w:rsid w:val="00135D27"/>
    <w:rsid w:val="00135E93"/>
    <w:rsid w:val="001508D6"/>
    <w:rsid w:val="00151460"/>
    <w:rsid w:val="00151C1A"/>
    <w:rsid w:val="00160BA0"/>
    <w:rsid w:val="00180274"/>
    <w:rsid w:val="00184016"/>
    <w:rsid w:val="00190E19"/>
    <w:rsid w:val="0019604C"/>
    <w:rsid w:val="001A3DDA"/>
    <w:rsid w:val="001B3D26"/>
    <w:rsid w:val="001B786B"/>
    <w:rsid w:val="001D1F68"/>
    <w:rsid w:val="001E2AEE"/>
    <w:rsid w:val="001E49CF"/>
    <w:rsid w:val="001F3961"/>
    <w:rsid w:val="001F71A1"/>
    <w:rsid w:val="00202859"/>
    <w:rsid w:val="0020417B"/>
    <w:rsid w:val="00207BD8"/>
    <w:rsid w:val="00210896"/>
    <w:rsid w:val="0021220D"/>
    <w:rsid w:val="002161EA"/>
    <w:rsid w:val="002250AC"/>
    <w:rsid w:val="0023029B"/>
    <w:rsid w:val="002361F7"/>
    <w:rsid w:val="00240B2E"/>
    <w:rsid w:val="00245275"/>
    <w:rsid w:val="002519F0"/>
    <w:rsid w:val="00264486"/>
    <w:rsid w:val="00271646"/>
    <w:rsid w:val="00274D74"/>
    <w:rsid w:val="002754B3"/>
    <w:rsid w:val="002776FC"/>
    <w:rsid w:val="002809C6"/>
    <w:rsid w:val="002929EB"/>
    <w:rsid w:val="00292F4C"/>
    <w:rsid w:val="00294241"/>
    <w:rsid w:val="00294983"/>
    <w:rsid w:val="002952FA"/>
    <w:rsid w:val="002A1CE8"/>
    <w:rsid w:val="002A3FA9"/>
    <w:rsid w:val="002A4061"/>
    <w:rsid w:val="002B0963"/>
    <w:rsid w:val="002B62C5"/>
    <w:rsid w:val="002B7972"/>
    <w:rsid w:val="002C082F"/>
    <w:rsid w:val="002C3FBE"/>
    <w:rsid w:val="002C4CE0"/>
    <w:rsid w:val="002E0F8A"/>
    <w:rsid w:val="002E1592"/>
    <w:rsid w:val="002F3084"/>
    <w:rsid w:val="002F3FB9"/>
    <w:rsid w:val="002F4C6A"/>
    <w:rsid w:val="002F6451"/>
    <w:rsid w:val="00303ECB"/>
    <w:rsid w:val="00304893"/>
    <w:rsid w:val="00310B58"/>
    <w:rsid w:val="00312BAB"/>
    <w:rsid w:val="003311B7"/>
    <w:rsid w:val="00333E42"/>
    <w:rsid w:val="00342297"/>
    <w:rsid w:val="00346367"/>
    <w:rsid w:val="003467FD"/>
    <w:rsid w:val="00347694"/>
    <w:rsid w:val="00347A14"/>
    <w:rsid w:val="00362D61"/>
    <w:rsid w:val="00365E26"/>
    <w:rsid w:val="00370063"/>
    <w:rsid w:val="00370480"/>
    <w:rsid w:val="003736F6"/>
    <w:rsid w:val="00376954"/>
    <w:rsid w:val="00386C3A"/>
    <w:rsid w:val="003965F1"/>
    <w:rsid w:val="00397DAB"/>
    <w:rsid w:val="003A25E8"/>
    <w:rsid w:val="003A4013"/>
    <w:rsid w:val="003B01A1"/>
    <w:rsid w:val="003B1FAF"/>
    <w:rsid w:val="003C023B"/>
    <w:rsid w:val="003C0CA4"/>
    <w:rsid w:val="003C2377"/>
    <w:rsid w:val="003C2B28"/>
    <w:rsid w:val="003C5F3C"/>
    <w:rsid w:val="003C769A"/>
    <w:rsid w:val="003D147A"/>
    <w:rsid w:val="003D284A"/>
    <w:rsid w:val="003E70AB"/>
    <w:rsid w:val="003F764B"/>
    <w:rsid w:val="0040546B"/>
    <w:rsid w:val="004104BB"/>
    <w:rsid w:val="00414AC6"/>
    <w:rsid w:val="00415CDB"/>
    <w:rsid w:val="00423466"/>
    <w:rsid w:val="0042370B"/>
    <w:rsid w:val="004335AA"/>
    <w:rsid w:val="00434BF3"/>
    <w:rsid w:val="004365B9"/>
    <w:rsid w:val="004411A7"/>
    <w:rsid w:val="00445E31"/>
    <w:rsid w:val="00450115"/>
    <w:rsid w:val="0046122F"/>
    <w:rsid w:val="00467610"/>
    <w:rsid w:val="00474885"/>
    <w:rsid w:val="00484ED6"/>
    <w:rsid w:val="00487A70"/>
    <w:rsid w:val="00494678"/>
    <w:rsid w:val="004A0734"/>
    <w:rsid w:val="004A3813"/>
    <w:rsid w:val="004B3650"/>
    <w:rsid w:val="004B79D0"/>
    <w:rsid w:val="004C24AC"/>
    <w:rsid w:val="004D5097"/>
    <w:rsid w:val="004D6E61"/>
    <w:rsid w:val="004E04CD"/>
    <w:rsid w:val="004E4F20"/>
    <w:rsid w:val="004F132E"/>
    <w:rsid w:val="004F1F73"/>
    <w:rsid w:val="004F1FFD"/>
    <w:rsid w:val="004F2F35"/>
    <w:rsid w:val="004F53C7"/>
    <w:rsid w:val="0050058D"/>
    <w:rsid w:val="005025B0"/>
    <w:rsid w:val="0050581E"/>
    <w:rsid w:val="00505D47"/>
    <w:rsid w:val="0050628F"/>
    <w:rsid w:val="00507BB8"/>
    <w:rsid w:val="005113E8"/>
    <w:rsid w:val="005123A2"/>
    <w:rsid w:val="00515E38"/>
    <w:rsid w:val="005211F0"/>
    <w:rsid w:val="005212C1"/>
    <w:rsid w:val="005401AD"/>
    <w:rsid w:val="00540DDB"/>
    <w:rsid w:val="005529E2"/>
    <w:rsid w:val="00563E4E"/>
    <w:rsid w:val="00564796"/>
    <w:rsid w:val="005662BD"/>
    <w:rsid w:val="0057069D"/>
    <w:rsid w:val="0057301B"/>
    <w:rsid w:val="00580691"/>
    <w:rsid w:val="005824D2"/>
    <w:rsid w:val="0058262E"/>
    <w:rsid w:val="00584C69"/>
    <w:rsid w:val="0058623F"/>
    <w:rsid w:val="00593694"/>
    <w:rsid w:val="005A6857"/>
    <w:rsid w:val="005B2A8F"/>
    <w:rsid w:val="005B4AC5"/>
    <w:rsid w:val="005D1DA2"/>
    <w:rsid w:val="005D73D6"/>
    <w:rsid w:val="005E46A0"/>
    <w:rsid w:val="005E4BD5"/>
    <w:rsid w:val="005F4158"/>
    <w:rsid w:val="005F4CA2"/>
    <w:rsid w:val="005F72B4"/>
    <w:rsid w:val="00602A35"/>
    <w:rsid w:val="00603C0A"/>
    <w:rsid w:val="006044E4"/>
    <w:rsid w:val="00604D12"/>
    <w:rsid w:val="00612976"/>
    <w:rsid w:val="00630F74"/>
    <w:rsid w:val="0063400D"/>
    <w:rsid w:val="00634434"/>
    <w:rsid w:val="00635625"/>
    <w:rsid w:val="00640F6E"/>
    <w:rsid w:val="00644C34"/>
    <w:rsid w:val="00650E61"/>
    <w:rsid w:val="0065303F"/>
    <w:rsid w:val="00656E59"/>
    <w:rsid w:val="0065767A"/>
    <w:rsid w:val="00664820"/>
    <w:rsid w:val="00664B9D"/>
    <w:rsid w:val="006701C5"/>
    <w:rsid w:val="006728BE"/>
    <w:rsid w:val="00682344"/>
    <w:rsid w:val="00685850"/>
    <w:rsid w:val="00686188"/>
    <w:rsid w:val="00686CA9"/>
    <w:rsid w:val="006919E4"/>
    <w:rsid w:val="00694F76"/>
    <w:rsid w:val="00696C51"/>
    <w:rsid w:val="006A38E3"/>
    <w:rsid w:val="006A6E2C"/>
    <w:rsid w:val="006B3A38"/>
    <w:rsid w:val="006C7E9C"/>
    <w:rsid w:val="006D4C5F"/>
    <w:rsid w:val="006E041A"/>
    <w:rsid w:val="006F5D27"/>
    <w:rsid w:val="006F5D9D"/>
    <w:rsid w:val="006F6AD0"/>
    <w:rsid w:val="00705857"/>
    <w:rsid w:val="00707D96"/>
    <w:rsid w:val="007119C6"/>
    <w:rsid w:val="007206A9"/>
    <w:rsid w:val="00733B72"/>
    <w:rsid w:val="00740D28"/>
    <w:rsid w:val="00742FE7"/>
    <w:rsid w:val="007448D5"/>
    <w:rsid w:val="00745BA3"/>
    <w:rsid w:val="00755C7C"/>
    <w:rsid w:val="007731B6"/>
    <w:rsid w:val="00775DC6"/>
    <w:rsid w:val="007849E3"/>
    <w:rsid w:val="00784D65"/>
    <w:rsid w:val="00785F7A"/>
    <w:rsid w:val="00794429"/>
    <w:rsid w:val="007A09C1"/>
    <w:rsid w:val="007A40C7"/>
    <w:rsid w:val="007A62A0"/>
    <w:rsid w:val="007A726A"/>
    <w:rsid w:val="007B2612"/>
    <w:rsid w:val="007C464A"/>
    <w:rsid w:val="007D11E6"/>
    <w:rsid w:val="007D2A41"/>
    <w:rsid w:val="007D2BF7"/>
    <w:rsid w:val="007E1100"/>
    <w:rsid w:val="007E2360"/>
    <w:rsid w:val="007E30B8"/>
    <w:rsid w:val="007E359D"/>
    <w:rsid w:val="00800A79"/>
    <w:rsid w:val="008132A5"/>
    <w:rsid w:val="00822F2C"/>
    <w:rsid w:val="00833709"/>
    <w:rsid w:val="00843E05"/>
    <w:rsid w:val="008447E6"/>
    <w:rsid w:val="008449B8"/>
    <w:rsid w:val="00846E1E"/>
    <w:rsid w:val="008618D4"/>
    <w:rsid w:val="00866441"/>
    <w:rsid w:val="00866EF8"/>
    <w:rsid w:val="00873AFC"/>
    <w:rsid w:val="008836D5"/>
    <w:rsid w:val="00891DFB"/>
    <w:rsid w:val="0089201F"/>
    <w:rsid w:val="008927D5"/>
    <w:rsid w:val="00892F1A"/>
    <w:rsid w:val="00894A23"/>
    <w:rsid w:val="008A1881"/>
    <w:rsid w:val="008B49DA"/>
    <w:rsid w:val="008C5082"/>
    <w:rsid w:val="008C596D"/>
    <w:rsid w:val="008D689A"/>
    <w:rsid w:val="008D7588"/>
    <w:rsid w:val="008E15C5"/>
    <w:rsid w:val="008E17FD"/>
    <w:rsid w:val="008E2075"/>
    <w:rsid w:val="008F0CCA"/>
    <w:rsid w:val="008F1700"/>
    <w:rsid w:val="00900E21"/>
    <w:rsid w:val="00901167"/>
    <w:rsid w:val="00903103"/>
    <w:rsid w:val="00910129"/>
    <w:rsid w:val="0091108D"/>
    <w:rsid w:val="00911681"/>
    <w:rsid w:val="00913805"/>
    <w:rsid w:val="0091382F"/>
    <w:rsid w:val="0092345D"/>
    <w:rsid w:val="0093624B"/>
    <w:rsid w:val="009424C3"/>
    <w:rsid w:val="00943646"/>
    <w:rsid w:val="009453E6"/>
    <w:rsid w:val="00950CB4"/>
    <w:rsid w:val="00955C9E"/>
    <w:rsid w:val="00961C47"/>
    <w:rsid w:val="0097355E"/>
    <w:rsid w:val="0097633B"/>
    <w:rsid w:val="009919B8"/>
    <w:rsid w:val="00992297"/>
    <w:rsid w:val="00993313"/>
    <w:rsid w:val="009933D1"/>
    <w:rsid w:val="009A23E6"/>
    <w:rsid w:val="009A4DFC"/>
    <w:rsid w:val="009A7A61"/>
    <w:rsid w:val="009C51D5"/>
    <w:rsid w:val="009D66AF"/>
    <w:rsid w:val="009D7F0E"/>
    <w:rsid w:val="009E0CB8"/>
    <w:rsid w:val="009E34F2"/>
    <w:rsid w:val="009E3CD0"/>
    <w:rsid w:val="009E4B8E"/>
    <w:rsid w:val="009E7DA8"/>
    <w:rsid w:val="009F1D74"/>
    <w:rsid w:val="009F1F89"/>
    <w:rsid w:val="00A0399E"/>
    <w:rsid w:val="00A04B72"/>
    <w:rsid w:val="00A1676B"/>
    <w:rsid w:val="00A22B0E"/>
    <w:rsid w:val="00A36546"/>
    <w:rsid w:val="00A36A31"/>
    <w:rsid w:val="00A40F06"/>
    <w:rsid w:val="00A42962"/>
    <w:rsid w:val="00A50A13"/>
    <w:rsid w:val="00A55C33"/>
    <w:rsid w:val="00A63542"/>
    <w:rsid w:val="00A667A8"/>
    <w:rsid w:val="00A720FE"/>
    <w:rsid w:val="00A73137"/>
    <w:rsid w:val="00A73DD3"/>
    <w:rsid w:val="00A74C1F"/>
    <w:rsid w:val="00A851F8"/>
    <w:rsid w:val="00A86AAA"/>
    <w:rsid w:val="00A96F4C"/>
    <w:rsid w:val="00AA249F"/>
    <w:rsid w:val="00AA54A9"/>
    <w:rsid w:val="00AB1593"/>
    <w:rsid w:val="00AB413B"/>
    <w:rsid w:val="00AB7A83"/>
    <w:rsid w:val="00AC02A0"/>
    <w:rsid w:val="00AC10BB"/>
    <w:rsid w:val="00AC1EE8"/>
    <w:rsid w:val="00AC21C3"/>
    <w:rsid w:val="00AC75FF"/>
    <w:rsid w:val="00ACAF7E"/>
    <w:rsid w:val="00AD1CBD"/>
    <w:rsid w:val="00AD1FA6"/>
    <w:rsid w:val="00AD363C"/>
    <w:rsid w:val="00AD7226"/>
    <w:rsid w:val="00AE6D76"/>
    <w:rsid w:val="00AF1F8A"/>
    <w:rsid w:val="00AF3E9A"/>
    <w:rsid w:val="00B023B7"/>
    <w:rsid w:val="00B072C8"/>
    <w:rsid w:val="00B242CB"/>
    <w:rsid w:val="00B24698"/>
    <w:rsid w:val="00B31ED1"/>
    <w:rsid w:val="00B37887"/>
    <w:rsid w:val="00B40A39"/>
    <w:rsid w:val="00B459AE"/>
    <w:rsid w:val="00B45E39"/>
    <w:rsid w:val="00B50B7F"/>
    <w:rsid w:val="00B571C1"/>
    <w:rsid w:val="00B611F1"/>
    <w:rsid w:val="00B6290B"/>
    <w:rsid w:val="00B63B0A"/>
    <w:rsid w:val="00B66871"/>
    <w:rsid w:val="00B73A8D"/>
    <w:rsid w:val="00B74FAE"/>
    <w:rsid w:val="00B90F36"/>
    <w:rsid w:val="00BA3B9F"/>
    <w:rsid w:val="00BC4E91"/>
    <w:rsid w:val="00BC7ACB"/>
    <w:rsid w:val="00BD4C72"/>
    <w:rsid w:val="00BD53B0"/>
    <w:rsid w:val="00BE0A93"/>
    <w:rsid w:val="00BE77BB"/>
    <w:rsid w:val="00BE7E2C"/>
    <w:rsid w:val="00BF32FD"/>
    <w:rsid w:val="00C02F47"/>
    <w:rsid w:val="00C128A1"/>
    <w:rsid w:val="00C12F1E"/>
    <w:rsid w:val="00C1369E"/>
    <w:rsid w:val="00C228F6"/>
    <w:rsid w:val="00C24CA0"/>
    <w:rsid w:val="00C255A9"/>
    <w:rsid w:val="00C270E4"/>
    <w:rsid w:val="00C3158D"/>
    <w:rsid w:val="00C33F16"/>
    <w:rsid w:val="00C40806"/>
    <w:rsid w:val="00C4261C"/>
    <w:rsid w:val="00C516DE"/>
    <w:rsid w:val="00C534CF"/>
    <w:rsid w:val="00C551DF"/>
    <w:rsid w:val="00C60FBA"/>
    <w:rsid w:val="00C61444"/>
    <w:rsid w:val="00C62A89"/>
    <w:rsid w:val="00C6588C"/>
    <w:rsid w:val="00C924FE"/>
    <w:rsid w:val="00CA0172"/>
    <w:rsid w:val="00CA070B"/>
    <w:rsid w:val="00CA5AD5"/>
    <w:rsid w:val="00CA6E6F"/>
    <w:rsid w:val="00CB6E96"/>
    <w:rsid w:val="00CE4177"/>
    <w:rsid w:val="00CE7D3E"/>
    <w:rsid w:val="00CF151A"/>
    <w:rsid w:val="00CF31D7"/>
    <w:rsid w:val="00D02789"/>
    <w:rsid w:val="00D0465E"/>
    <w:rsid w:val="00D1098F"/>
    <w:rsid w:val="00D215D8"/>
    <w:rsid w:val="00D30D56"/>
    <w:rsid w:val="00D32EE1"/>
    <w:rsid w:val="00D335CB"/>
    <w:rsid w:val="00D4011B"/>
    <w:rsid w:val="00D419E1"/>
    <w:rsid w:val="00D43B07"/>
    <w:rsid w:val="00D44CBA"/>
    <w:rsid w:val="00D53D5D"/>
    <w:rsid w:val="00D6135C"/>
    <w:rsid w:val="00D649DE"/>
    <w:rsid w:val="00D65E1F"/>
    <w:rsid w:val="00D71A88"/>
    <w:rsid w:val="00D765C2"/>
    <w:rsid w:val="00D77243"/>
    <w:rsid w:val="00D9383A"/>
    <w:rsid w:val="00DA1563"/>
    <w:rsid w:val="00DC3497"/>
    <w:rsid w:val="00DC48E5"/>
    <w:rsid w:val="00DD047B"/>
    <w:rsid w:val="00DD1B38"/>
    <w:rsid w:val="00DD6D29"/>
    <w:rsid w:val="00DE454F"/>
    <w:rsid w:val="00DF5A1B"/>
    <w:rsid w:val="00DF6542"/>
    <w:rsid w:val="00DF7FFA"/>
    <w:rsid w:val="00E0635C"/>
    <w:rsid w:val="00E13EB4"/>
    <w:rsid w:val="00E2066A"/>
    <w:rsid w:val="00E258AC"/>
    <w:rsid w:val="00E25E9E"/>
    <w:rsid w:val="00E27588"/>
    <w:rsid w:val="00E30481"/>
    <w:rsid w:val="00E36454"/>
    <w:rsid w:val="00E36B7C"/>
    <w:rsid w:val="00E370E4"/>
    <w:rsid w:val="00E4481B"/>
    <w:rsid w:val="00E578A9"/>
    <w:rsid w:val="00E61093"/>
    <w:rsid w:val="00E61FF9"/>
    <w:rsid w:val="00E64467"/>
    <w:rsid w:val="00E7325F"/>
    <w:rsid w:val="00E77A4C"/>
    <w:rsid w:val="00E85545"/>
    <w:rsid w:val="00E90199"/>
    <w:rsid w:val="00E92C91"/>
    <w:rsid w:val="00E96A99"/>
    <w:rsid w:val="00EA0161"/>
    <w:rsid w:val="00EA0DE7"/>
    <w:rsid w:val="00EA2D62"/>
    <w:rsid w:val="00EA4CE5"/>
    <w:rsid w:val="00EA7AAB"/>
    <w:rsid w:val="00EB2D75"/>
    <w:rsid w:val="00EC062D"/>
    <w:rsid w:val="00EC2CF8"/>
    <w:rsid w:val="00EC6E2B"/>
    <w:rsid w:val="00EC75DF"/>
    <w:rsid w:val="00EC791B"/>
    <w:rsid w:val="00ED0494"/>
    <w:rsid w:val="00ED524D"/>
    <w:rsid w:val="00EE47DB"/>
    <w:rsid w:val="00EE509E"/>
    <w:rsid w:val="00EE50BC"/>
    <w:rsid w:val="00EF2E21"/>
    <w:rsid w:val="00EF3249"/>
    <w:rsid w:val="00EF36B9"/>
    <w:rsid w:val="00EF3E6A"/>
    <w:rsid w:val="00EF439F"/>
    <w:rsid w:val="00F01330"/>
    <w:rsid w:val="00F03669"/>
    <w:rsid w:val="00F16D8D"/>
    <w:rsid w:val="00F234B8"/>
    <w:rsid w:val="00F25547"/>
    <w:rsid w:val="00F26123"/>
    <w:rsid w:val="00F26D69"/>
    <w:rsid w:val="00F31138"/>
    <w:rsid w:val="00F42DF3"/>
    <w:rsid w:val="00F52353"/>
    <w:rsid w:val="00F602EB"/>
    <w:rsid w:val="00F60C7D"/>
    <w:rsid w:val="00F67A85"/>
    <w:rsid w:val="00F7338F"/>
    <w:rsid w:val="00F75BC4"/>
    <w:rsid w:val="00F75D0F"/>
    <w:rsid w:val="00F85F5B"/>
    <w:rsid w:val="00F96417"/>
    <w:rsid w:val="00F97EEB"/>
    <w:rsid w:val="00FA160F"/>
    <w:rsid w:val="00FC1ED0"/>
    <w:rsid w:val="00FC602F"/>
    <w:rsid w:val="00FD5A76"/>
    <w:rsid w:val="00FE36D7"/>
    <w:rsid w:val="00FE44B9"/>
    <w:rsid w:val="00FF1A3C"/>
    <w:rsid w:val="00FF1FD4"/>
    <w:rsid w:val="00FF6C60"/>
    <w:rsid w:val="01BFBA76"/>
    <w:rsid w:val="04C7FFD6"/>
    <w:rsid w:val="050F891C"/>
    <w:rsid w:val="05C2B335"/>
    <w:rsid w:val="0713D5C3"/>
    <w:rsid w:val="0756A1A3"/>
    <w:rsid w:val="075A7CEF"/>
    <w:rsid w:val="076773B6"/>
    <w:rsid w:val="086418D8"/>
    <w:rsid w:val="087EFB0F"/>
    <w:rsid w:val="0BCD511E"/>
    <w:rsid w:val="0BF5BF36"/>
    <w:rsid w:val="0C2970B6"/>
    <w:rsid w:val="0C2E9ABA"/>
    <w:rsid w:val="0C6C79FF"/>
    <w:rsid w:val="0C76B8D7"/>
    <w:rsid w:val="0D1E3A60"/>
    <w:rsid w:val="0DEF176B"/>
    <w:rsid w:val="0E02B69D"/>
    <w:rsid w:val="0E054CB5"/>
    <w:rsid w:val="0E091B0B"/>
    <w:rsid w:val="0EA95BCF"/>
    <w:rsid w:val="10872EC2"/>
    <w:rsid w:val="108D87B6"/>
    <w:rsid w:val="11C5DCF1"/>
    <w:rsid w:val="11CED033"/>
    <w:rsid w:val="1282EA57"/>
    <w:rsid w:val="134DB656"/>
    <w:rsid w:val="13557BBC"/>
    <w:rsid w:val="1453EDC1"/>
    <w:rsid w:val="1526EA48"/>
    <w:rsid w:val="156D8AF9"/>
    <w:rsid w:val="160FCF75"/>
    <w:rsid w:val="17436A2E"/>
    <w:rsid w:val="1797CAB1"/>
    <w:rsid w:val="1799EA2D"/>
    <w:rsid w:val="1804BB61"/>
    <w:rsid w:val="1829FF29"/>
    <w:rsid w:val="18AEC208"/>
    <w:rsid w:val="18E72B93"/>
    <w:rsid w:val="1954A467"/>
    <w:rsid w:val="19BFDB3D"/>
    <w:rsid w:val="19C1AC3D"/>
    <w:rsid w:val="19D8E5F9"/>
    <w:rsid w:val="1C10D096"/>
    <w:rsid w:val="1CAB6C6B"/>
    <w:rsid w:val="1CC9DB72"/>
    <w:rsid w:val="1CEF5110"/>
    <w:rsid w:val="1E24F9EF"/>
    <w:rsid w:val="1E4D75F8"/>
    <w:rsid w:val="1ED6AFB8"/>
    <w:rsid w:val="1EFD3E1B"/>
    <w:rsid w:val="202CF1B2"/>
    <w:rsid w:val="20F28EAE"/>
    <w:rsid w:val="220B77C8"/>
    <w:rsid w:val="227CB81B"/>
    <w:rsid w:val="22AC7E9F"/>
    <w:rsid w:val="24113E01"/>
    <w:rsid w:val="279ED320"/>
    <w:rsid w:val="27E596F2"/>
    <w:rsid w:val="28277BE3"/>
    <w:rsid w:val="2866B156"/>
    <w:rsid w:val="28B54133"/>
    <w:rsid w:val="295CB729"/>
    <w:rsid w:val="29708AA8"/>
    <w:rsid w:val="2A13D2B9"/>
    <w:rsid w:val="2A66AD21"/>
    <w:rsid w:val="2AFB2032"/>
    <w:rsid w:val="2D03555E"/>
    <w:rsid w:val="2D757BA5"/>
    <w:rsid w:val="2D8855A6"/>
    <w:rsid w:val="2E6AB59C"/>
    <w:rsid w:val="2EEDDA39"/>
    <w:rsid w:val="2F64BC40"/>
    <w:rsid w:val="300B7380"/>
    <w:rsid w:val="303BC42A"/>
    <w:rsid w:val="314D59F0"/>
    <w:rsid w:val="32A95E61"/>
    <w:rsid w:val="32C20476"/>
    <w:rsid w:val="33564757"/>
    <w:rsid w:val="339E3E36"/>
    <w:rsid w:val="33D3B523"/>
    <w:rsid w:val="340EBE57"/>
    <w:rsid w:val="34B76B34"/>
    <w:rsid w:val="36014347"/>
    <w:rsid w:val="3673CF30"/>
    <w:rsid w:val="3716546E"/>
    <w:rsid w:val="37FA0A7F"/>
    <w:rsid w:val="385C7873"/>
    <w:rsid w:val="38682A1F"/>
    <w:rsid w:val="38D81BBA"/>
    <w:rsid w:val="39940DFD"/>
    <w:rsid w:val="39B90B27"/>
    <w:rsid w:val="3A254656"/>
    <w:rsid w:val="3B3E47F9"/>
    <w:rsid w:val="3B722F6C"/>
    <w:rsid w:val="3BFF611E"/>
    <w:rsid w:val="3C875E6F"/>
    <w:rsid w:val="3CE2CF2E"/>
    <w:rsid w:val="3D0350BB"/>
    <w:rsid w:val="3D740BA4"/>
    <w:rsid w:val="3D806478"/>
    <w:rsid w:val="3DFCB467"/>
    <w:rsid w:val="3E494FE0"/>
    <w:rsid w:val="3E83DFBE"/>
    <w:rsid w:val="3ECA2243"/>
    <w:rsid w:val="3FFCFD08"/>
    <w:rsid w:val="40209B2B"/>
    <w:rsid w:val="429AC4C8"/>
    <w:rsid w:val="43E60FAF"/>
    <w:rsid w:val="4439C6EF"/>
    <w:rsid w:val="44697C60"/>
    <w:rsid w:val="44B73F53"/>
    <w:rsid w:val="492B77E4"/>
    <w:rsid w:val="49CECE67"/>
    <w:rsid w:val="4A091A61"/>
    <w:rsid w:val="4A519908"/>
    <w:rsid w:val="4AB61148"/>
    <w:rsid w:val="4B88F546"/>
    <w:rsid w:val="4B98E165"/>
    <w:rsid w:val="4C6318A6"/>
    <w:rsid w:val="4C765B28"/>
    <w:rsid w:val="4D557737"/>
    <w:rsid w:val="4D5A1139"/>
    <w:rsid w:val="4E0351B4"/>
    <w:rsid w:val="4FE64413"/>
    <w:rsid w:val="5031BDD5"/>
    <w:rsid w:val="50B26659"/>
    <w:rsid w:val="51772E74"/>
    <w:rsid w:val="51BC3758"/>
    <w:rsid w:val="530CDBD4"/>
    <w:rsid w:val="536AB224"/>
    <w:rsid w:val="554966EE"/>
    <w:rsid w:val="5576BC21"/>
    <w:rsid w:val="5653566B"/>
    <w:rsid w:val="565B1120"/>
    <w:rsid w:val="569FA68A"/>
    <w:rsid w:val="57FA3EA2"/>
    <w:rsid w:val="59CC28FB"/>
    <w:rsid w:val="59EFE2C9"/>
    <w:rsid w:val="5AAFDF0C"/>
    <w:rsid w:val="5AF83A92"/>
    <w:rsid w:val="5B6DA4AD"/>
    <w:rsid w:val="5C44C57C"/>
    <w:rsid w:val="5C6A9946"/>
    <w:rsid w:val="5CCD34F3"/>
    <w:rsid w:val="5E5D4F8B"/>
    <w:rsid w:val="5FB101CF"/>
    <w:rsid w:val="5FF07F43"/>
    <w:rsid w:val="6082326E"/>
    <w:rsid w:val="60F7F01D"/>
    <w:rsid w:val="61EDBC61"/>
    <w:rsid w:val="6239B9E7"/>
    <w:rsid w:val="6239ECB8"/>
    <w:rsid w:val="626D5FD4"/>
    <w:rsid w:val="62D48470"/>
    <w:rsid w:val="62DC3F25"/>
    <w:rsid w:val="63C93D07"/>
    <w:rsid w:val="6414FD24"/>
    <w:rsid w:val="64246D76"/>
    <w:rsid w:val="64297BCF"/>
    <w:rsid w:val="653D5690"/>
    <w:rsid w:val="654B9D0A"/>
    <w:rsid w:val="65FCDC1E"/>
    <w:rsid w:val="660405D6"/>
    <w:rsid w:val="662CA6BF"/>
    <w:rsid w:val="66850394"/>
    <w:rsid w:val="66B7F563"/>
    <w:rsid w:val="6908543F"/>
    <w:rsid w:val="691D1AEB"/>
    <w:rsid w:val="6A5E921C"/>
    <w:rsid w:val="6A91ECAF"/>
    <w:rsid w:val="6AF46894"/>
    <w:rsid w:val="6C5FA031"/>
    <w:rsid w:val="6D374A44"/>
    <w:rsid w:val="6DE6E3B3"/>
    <w:rsid w:val="6E166653"/>
    <w:rsid w:val="6E1B0055"/>
    <w:rsid w:val="6F382E7A"/>
    <w:rsid w:val="6FE1C4E7"/>
    <w:rsid w:val="707E8BCB"/>
    <w:rsid w:val="70A482B6"/>
    <w:rsid w:val="71119FBC"/>
    <w:rsid w:val="71E545C9"/>
    <w:rsid w:val="72CE5234"/>
    <w:rsid w:val="73A5565D"/>
    <w:rsid w:val="73DBD401"/>
    <w:rsid w:val="73E5B9C5"/>
    <w:rsid w:val="73EC9501"/>
    <w:rsid w:val="747A7DF3"/>
    <w:rsid w:val="74E54F27"/>
    <w:rsid w:val="75344880"/>
    <w:rsid w:val="75434898"/>
    <w:rsid w:val="783472A1"/>
    <w:rsid w:val="784B9DA8"/>
    <w:rsid w:val="7A8E7F58"/>
    <w:rsid w:val="7B10B799"/>
    <w:rsid w:val="7B84340E"/>
    <w:rsid w:val="7BB17E1D"/>
    <w:rsid w:val="7CE28034"/>
    <w:rsid w:val="7D43F209"/>
    <w:rsid w:val="7F2B2360"/>
    <w:rsid w:val="7FA5E4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74"/>
  </w:style>
  <w:style w:type="paragraph" w:styleId="Heading1">
    <w:name w:val="heading 1"/>
    <w:basedOn w:val="Normal"/>
    <w:next w:val="Normal"/>
    <w:link w:val="Heading1Char"/>
    <w:uiPriority w:val="9"/>
    <w:qFormat/>
    <w:rsid w:val="009F1D7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F1D7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F1D7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F1D7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9F1D7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9F1D7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9F1D7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1D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F1D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uiPriority w:val="9"/>
    <w:rsid w:val="009F1D7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F1D7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F1D7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F1D7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9F1D7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9F1D74"/>
    <w:rPr>
      <w:rFonts w:asciiTheme="majorHAnsi" w:eastAsiaTheme="majorEastAsia" w:hAnsiTheme="majorHAnsi" w:cstheme="majorBidi"/>
    </w:rPr>
  </w:style>
  <w:style w:type="paragraph" w:customStyle="1" w:styleId="TrafiAsiaotsikko">
    <w:name w:val="Trafi_Asiaotsikko"/>
    <w:next w:val="Normal"/>
    <w:semiHidden/>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ED524D"/>
    <w:pPr>
      <w:numPr>
        <w:numId w:val="2"/>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rsid w:val="00BC7ACB"/>
    <w:pPr>
      <w:numPr>
        <w:numId w:val="1"/>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9F1D74"/>
    <w:pPr>
      <w:outlineLvl w:val="9"/>
    </w:pPr>
  </w:style>
  <w:style w:type="paragraph" w:styleId="TOC1">
    <w:name w:val="toc 1"/>
    <w:basedOn w:val="Normal"/>
    <w:next w:val="Normal"/>
    <w:autoRedefine/>
    <w:uiPriority w:val="39"/>
    <w:unhideWhenUsed/>
    <w:rsid w:val="002809C6"/>
    <w:pPr>
      <w:tabs>
        <w:tab w:val="left" w:pos="426"/>
        <w:tab w:val="left" w:pos="1560"/>
        <w:tab w:val="right" w:leader="dot" w:pos="9639"/>
      </w:tabs>
      <w:spacing w:after="100"/>
      <w:ind w:left="426" w:hanging="426"/>
    </w:pPr>
    <w:rPr>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563C1"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Caption">
    <w:name w:val="caption"/>
    <w:basedOn w:val="Normal"/>
    <w:next w:val="Normal"/>
    <w:link w:val="CaptionChar"/>
    <w:uiPriority w:val="35"/>
    <w:unhideWhenUsed/>
    <w:qFormat/>
    <w:rsid w:val="009F1D7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D4C72"/>
    <w:pPr>
      <w:tabs>
        <w:tab w:val="right" w:pos="992"/>
        <w:tab w:val="right" w:leader="dot" w:pos="9639"/>
      </w:tabs>
      <w:spacing w:after="0"/>
      <w:ind w:left="1417" w:hanging="992"/>
    </w:pPr>
    <w:rPr>
      <w:i/>
    </w:rPr>
  </w:style>
  <w:style w:type="paragraph" w:styleId="IndexHeading">
    <w:name w:val="index heading"/>
    <w:basedOn w:val="Normal"/>
    <w:next w:val="Normal"/>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rsid w:val="00A63542"/>
    <w:pPr>
      <w:numPr>
        <w:numId w:val="4"/>
      </w:numPr>
      <w:tabs>
        <w:tab w:val="clear" w:pos="2552"/>
        <w:tab w:val="left" w:pos="993"/>
      </w:tabs>
      <w:ind w:left="993" w:hanging="993"/>
    </w:pPr>
    <w:rPr>
      <w:b/>
      <w:i w:val="0"/>
    </w:rPr>
  </w:style>
  <w:style w:type="paragraph" w:styleId="ListParagraph">
    <w:name w:val="List Paragraph"/>
    <w:basedOn w:val="Normal"/>
    <w:uiPriority w:val="34"/>
    <w:qFormat/>
    <w:rsid w:val="00ED524D"/>
    <w:pPr>
      <w:ind w:left="720"/>
      <w:contextualSpacing/>
    </w:pPr>
  </w:style>
  <w:style w:type="character" w:customStyle="1" w:styleId="LiiteotsikkoChar">
    <w:name w:val="Liiteotsikko Char"/>
    <w:basedOn w:val="DefaultParagraphFont"/>
    <w:link w:val="Liiteotsikko"/>
    <w:rsid w:val="00A63542"/>
    <w:rPr>
      <w:b/>
      <w:iCs/>
      <w:color w:val="44546A" w:themeColor="text2"/>
      <w:sz w:val="18"/>
      <w:szCs w:val="18"/>
    </w:rPr>
  </w:style>
  <w:style w:type="paragraph" w:customStyle="1" w:styleId="Taulukko-otsikko">
    <w:name w:val="Taulukko-otsikko"/>
    <w:basedOn w:val="Caption"/>
    <w:link w:val="Taulukko-otsikkoChar"/>
    <w:rsid w:val="00BE7E2C"/>
    <w:pPr>
      <w:numPr>
        <w:numId w:val="3"/>
      </w:numPr>
      <w:tabs>
        <w:tab w:val="left" w:pos="2552"/>
      </w:tabs>
      <w:ind w:left="1134" w:firstLine="0"/>
    </w:pPr>
  </w:style>
  <w:style w:type="character" w:customStyle="1" w:styleId="CaptionChar">
    <w:name w:val="Caption Char"/>
    <w:basedOn w:val="BodyTextChar"/>
    <w:link w:val="Caption"/>
    <w:uiPriority w:val="35"/>
    <w:rsid w:val="00A63542"/>
    <w:rPr>
      <w:rFonts w:ascii="Verdana" w:eastAsia="Times New Roman" w:hAnsi="Verdana" w:cs="Times New Roman"/>
      <w:i/>
      <w:iCs/>
      <w:color w:val="44546A" w:themeColor="text2"/>
      <w:sz w:val="18"/>
      <w:szCs w:val="18"/>
      <w:lang w:eastAsia="fi-FI"/>
    </w:rPr>
  </w:style>
  <w:style w:type="character" w:customStyle="1" w:styleId="Taulukko-otsikkoChar">
    <w:name w:val="Taulukko-otsikko Char"/>
    <w:basedOn w:val="CaptionChar"/>
    <w:link w:val="Taulukko-otsikko"/>
    <w:rsid w:val="00BE7E2C"/>
    <w:rPr>
      <w:rFonts w:ascii="Verdana" w:eastAsia="Times New Roman" w:hAnsi="Verdana" w:cs="Times New Roman"/>
      <w:i/>
      <w:iCs/>
      <w:color w:val="44546A" w:themeColor="text2"/>
      <w:sz w:val="18"/>
      <w:szCs w:val="18"/>
      <w:lang w:eastAsia="fi-FI"/>
    </w:rPr>
  </w:style>
  <w:style w:type="character" w:customStyle="1" w:styleId="Heading9Char">
    <w:name w:val="Heading 9 Char"/>
    <w:basedOn w:val="DefaultParagraphFont"/>
    <w:link w:val="Heading9"/>
    <w:uiPriority w:val="9"/>
    <w:semiHidden/>
    <w:rsid w:val="009F1D74"/>
    <w:rPr>
      <w:rFonts w:asciiTheme="majorHAnsi" w:eastAsiaTheme="majorEastAsia" w:hAnsiTheme="majorHAnsi" w:cstheme="majorBidi"/>
      <w:i/>
      <w:iCs/>
      <w:color w:val="262626" w:themeColor="text1" w:themeTint="D9"/>
      <w:sz w:val="21"/>
      <w:szCs w:val="21"/>
    </w:rPr>
  </w:style>
  <w:style w:type="character" w:customStyle="1" w:styleId="Heading8Char">
    <w:name w:val="Heading 8 Char"/>
    <w:basedOn w:val="DefaultParagraphFont"/>
    <w:link w:val="Heading8"/>
    <w:uiPriority w:val="9"/>
    <w:semiHidden/>
    <w:rsid w:val="009F1D74"/>
    <w:rPr>
      <w:rFonts w:asciiTheme="majorHAnsi" w:eastAsiaTheme="majorEastAsia" w:hAnsiTheme="majorHAnsi" w:cstheme="majorBidi"/>
      <w:color w:val="262626" w:themeColor="text1" w:themeTint="D9"/>
      <w:sz w:val="21"/>
      <w:szCs w:val="21"/>
    </w:rPr>
  </w:style>
  <w:style w:type="character" w:customStyle="1" w:styleId="Heading7Char">
    <w:name w:val="Heading 7 Char"/>
    <w:basedOn w:val="DefaultParagraphFont"/>
    <w:link w:val="Heading7"/>
    <w:uiPriority w:val="9"/>
    <w:rsid w:val="009F1D74"/>
    <w:rPr>
      <w:rFonts w:asciiTheme="majorHAnsi" w:eastAsiaTheme="majorEastAsia" w:hAnsiTheme="majorHAnsi" w:cstheme="majorBidi"/>
      <w:i/>
      <w:iCs/>
    </w:rPr>
  </w:style>
  <w:style w:type="table" w:styleId="TableGrid">
    <w:name w:val="Table Grid"/>
    <w:basedOn w:val="TableNormal"/>
    <w:uiPriority w:val="39"/>
    <w:rsid w:val="0046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122F"/>
    <w:pPr>
      <w:spacing w:after="0" w:line="240" w:lineRule="auto"/>
    </w:pPr>
    <w:rPr>
      <w:szCs w:val="20"/>
    </w:rPr>
  </w:style>
  <w:style w:type="character" w:customStyle="1" w:styleId="FootnoteTextChar">
    <w:name w:val="Footnote Text Char"/>
    <w:basedOn w:val="DefaultParagraphFont"/>
    <w:link w:val="FootnoteText"/>
    <w:uiPriority w:val="99"/>
    <w:semiHidden/>
    <w:rsid w:val="0046122F"/>
    <w:rPr>
      <w:rFonts w:eastAsiaTheme="minorEastAsia" w:cstheme="minorBidi"/>
      <w:sz w:val="20"/>
      <w:szCs w:val="20"/>
    </w:rPr>
  </w:style>
  <w:style w:type="character" w:styleId="FootnoteReference">
    <w:name w:val="footnote reference"/>
    <w:basedOn w:val="DefaultParagraphFont"/>
    <w:uiPriority w:val="99"/>
    <w:semiHidden/>
    <w:unhideWhenUsed/>
    <w:rsid w:val="0046122F"/>
    <w:rPr>
      <w:vertAlign w:val="superscript"/>
    </w:rPr>
  </w:style>
  <w:style w:type="paragraph" w:styleId="CommentText">
    <w:name w:val="annotation text"/>
    <w:basedOn w:val="Normal"/>
    <w:link w:val="CommentTextChar"/>
    <w:uiPriority w:val="99"/>
    <w:semiHidden/>
    <w:unhideWhenUsed/>
    <w:rsid w:val="0046122F"/>
    <w:pPr>
      <w:spacing w:line="240" w:lineRule="auto"/>
    </w:pPr>
    <w:rPr>
      <w:szCs w:val="20"/>
    </w:rPr>
  </w:style>
  <w:style w:type="character" w:customStyle="1" w:styleId="CommentTextChar">
    <w:name w:val="Comment Text Char"/>
    <w:basedOn w:val="DefaultParagraphFont"/>
    <w:link w:val="CommentText"/>
    <w:uiPriority w:val="99"/>
    <w:semiHidden/>
    <w:rsid w:val="0046122F"/>
    <w:rPr>
      <w:rFonts w:eastAsiaTheme="minorEastAsia" w:cstheme="minorBidi"/>
      <w:sz w:val="20"/>
      <w:szCs w:val="20"/>
    </w:rPr>
  </w:style>
  <w:style w:type="character" w:styleId="CommentReference">
    <w:name w:val="annotation reference"/>
    <w:basedOn w:val="DefaultParagraphFont"/>
    <w:uiPriority w:val="99"/>
    <w:semiHidden/>
    <w:unhideWhenUsed/>
    <w:rsid w:val="0046122F"/>
    <w:rPr>
      <w:sz w:val="16"/>
      <w:szCs w:val="16"/>
    </w:rPr>
  </w:style>
  <w:style w:type="paragraph" w:styleId="BalloonText">
    <w:name w:val="Balloon Text"/>
    <w:basedOn w:val="Normal"/>
    <w:link w:val="BalloonTextChar"/>
    <w:uiPriority w:val="99"/>
    <w:semiHidden/>
    <w:unhideWhenUsed/>
    <w:rsid w:val="0046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2F"/>
    <w:rPr>
      <w:rFonts w:ascii="Segoe UI" w:hAnsi="Segoe UI" w:cs="Segoe UI"/>
      <w:sz w:val="18"/>
      <w:szCs w:val="18"/>
    </w:rPr>
  </w:style>
  <w:style w:type="paragraph" w:styleId="Title">
    <w:name w:val="Title"/>
    <w:basedOn w:val="Normal"/>
    <w:next w:val="Normal"/>
    <w:link w:val="TitleChar"/>
    <w:uiPriority w:val="10"/>
    <w:qFormat/>
    <w:rsid w:val="009F1D7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F1D7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F1D7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F1D74"/>
    <w:rPr>
      <w:color w:val="5A5A5A" w:themeColor="text1" w:themeTint="A5"/>
      <w:spacing w:val="15"/>
    </w:rPr>
  </w:style>
  <w:style w:type="character" w:styleId="Strong">
    <w:name w:val="Strong"/>
    <w:basedOn w:val="DefaultParagraphFont"/>
    <w:uiPriority w:val="22"/>
    <w:qFormat/>
    <w:rsid w:val="009F1D74"/>
    <w:rPr>
      <w:b/>
      <w:bCs/>
      <w:color w:val="auto"/>
    </w:rPr>
  </w:style>
  <w:style w:type="character" w:styleId="Emphasis">
    <w:name w:val="Emphasis"/>
    <w:basedOn w:val="DefaultParagraphFont"/>
    <w:uiPriority w:val="20"/>
    <w:qFormat/>
    <w:rsid w:val="009F1D74"/>
    <w:rPr>
      <w:i/>
      <w:iCs/>
      <w:color w:val="auto"/>
    </w:rPr>
  </w:style>
  <w:style w:type="paragraph" w:styleId="NoSpacing">
    <w:name w:val="No Spacing"/>
    <w:uiPriority w:val="1"/>
    <w:qFormat/>
    <w:rsid w:val="009F1D74"/>
    <w:pPr>
      <w:spacing w:after="0" w:line="240" w:lineRule="auto"/>
    </w:pPr>
  </w:style>
  <w:style w:type="paragraph" w:styleId="Quote">
    <w:name w:val="Quote"/>
    <w:basedOn w:val="Normal"/>
    <w:next w:val="Normal"/>
    <w:link w:val="QuoteChar"/>
    <w:uiPriority w:val="29"/>
    <w:qFormat/>
    <w:rsid w:val="009F1D7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1D74"/>
    <w:rPr>
      <w:i/>
      <w:iCs/>
      <w:color w:val="404040" w:themeColor="text1" w:themeTint="BF"/>
    </w:rPr>
  </w:style>
  <w:style w:type="paragraph" w:styleId="IntenseQuote">
    <w:name w:val="Intense Quote"/>
    <w:basedOn w:val="Normal"/>
    <w:next w:val="Normal"/>
    <w:link w:val="IntenseQuoteChar"/>
    <w:uiPriority w:val="30"/>
    <w:qFormat/>
    <w:rsid w:val="009F1D7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F1D74"/>
    <w:rPr>
      <w:i/>
      <w:iCs/>
      <w:color w:val="404040" w:themeColor="text1" w:themeTint="BF"/>
    </w:rPr>
  </w:style>
  <w:style w:type="character" w:styleId="SubtleEmphasis">
    <w:name w:val="Subtle Emphasis"/>
    <w:basedOn w:val="DefaultParagraphFont"/>
    <w:uiPriority w:val="19"/>
    <w:qFormat/>
    <w:rsid w:val="009F1D74"/>
    <w:rPr>
      <w:i/>
      <w:iCs/>
      <w:color w:val="404040" w:themeColor="text1" w:themeTint="BF"/>
    </w:rPr>
  </w:style>
  <w:style w:type="character" w:styleId="IntenseEmphasis">
    <w:name w:val="Intense Emphasis"/>
    <w:basedOn w:val="DefaultParagraphFont"/>
    <w:uiPriority w:val="21"/>
    <w:qFormat/>
    <w:rsid w:val="009F1D74"/>
    <w:rPr>
      <w:b/>
      <w:bCs/>
      <w:i/>
      <w:iCs/>
      <w:color w:val="auto"/>
    </w:rPr>
  </w:style>
  <w:style w:type="character" w:styleId="SubtleReference">
    <w:name w:val="Subtle Reference"/>
    <w:basedOn w:val="DefaultParagraphFont"/>
    <w:uiPriority w:val="31"/>
    <w:qFormat/>
    <w:rsid w:val="009F1D74"/>
    <w:rPr>
      <w:smallCaps/>
      <w:color w:val="404040" w:themeColor="text1" w:themeTint="BF"/>
    </w:rPr>
  </w:style>
  <w:style w:type="character" w:styleId="IntenseReference">
    <w:name w:val="Intense Reference"/>
    <w:basedOn w:val="DefaultParagraphFont"/>
    <w:uiPriority w:val="32"/>
    <w:qFormat/>
    <w:rsid w:val="009F1D74"/>
    <w:rPr>
      <w:b/>
      <w:bCs/>
      <w:smallCaps/>
      <w:color w:val="404040" w:themeColor="text1" w:themeTint="BF"/>
      <w:spacing w:val="5"/>
    </w:rPr>
  </w:style>
  <w:style w:type="character" w:styleId="BookTitle">
    <w:name w:val="Book Title"/>
    <w:basedOn w:val="DefaultParagraphFont"/>
    <w:uiPriority w:val="33"/>
    <w:qFormat/>
    <w:rsid w:val="009F1D74"/>
    <w:rPr>
      <w:b/>
      <w:bCs/>
      <w:i/>
      <w:iCs/>
      <w:spacing w:val="5"/>
    </w:rPr>
  </w:style>
  <w:style w:type="character" w:styleId="FollowedHyperlink">
    <w:name w:val="FollowedHyperlink"/>
    <w:basedOn w:val="DefaultParagraphFont"/>
    <w:uiPriority w:val="99"/>
    <w:semiHidden/>
    <w:unhideWhenUsed/>
    <w:rsid w:val="00E77A4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36B7C"/>
    <w:rPr>
      <w:b/>
      <w:bCs/>
      <w:sz w:val="20"/>
    </w:rPr>
  </w:style>
  <w:style w:type="character" w:customStyle="1" w:styleId="CommentSubjectChar">
    <w:name w:val="Comment Subject Char"/>
    <w:basedOn w:val="CommentTextChar"/>
    <w:link w:val="CommentSubject"/>
    <w:uiPriority w:val="99"/>
    <w:semiHidden/>
    <w:rsid w:val="00E36B7C"/>
    <w:rPr>
      <w:rFonts w:eastAsiaTheme="minorEastAsia" w:cstheme="minorBidi"/>
      <w:b/>
      <w:bCs/>
      <w:sz w:val="20"/>
      <w:szCs w:val="20"/>
    </w:rPr>
  </w:style>
  <w:style w:type="paragraph" w:customStyle="1" w:styleId="Default">
    <w:name w:val="Default"/>
    <w:rsid w:val="002776FC"/>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7A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5407">
      <w:bodyDiv w:val="1"/>
      <w:marLeft w:val="0"/>
      <w:marRight w:val="0"/>
      <w:marTop w:val="0"/>
      <w:marBottom w:val="0"/>
      <w:divBdr>
        <w:top w:val="none" w:sz="0" w:space="0" w:color="auto"/>
        <w:left w:val="none" w:sz="0" w:space="0" w:color="auto"/>
        <w:bottom w:val="none" w:sz="0" w:space="0" w:color="auto"/>
        <w:right w:val="none" w:sz="0" w:space="0" w:color="auto"/>
      </w:divBdr>
    </w:div>
    <w:div w:id="285817120">
      <w:bodyDiv w:val="1"/>
      <w:marLeft w:val="0"/>
      <w:marRight w:val="0"/>
      <w:marTop w:val="0"/>
      <w:marBottom w:val="0"/>
      <w:divBdr>
        <w:top w:val="none" w:sz="0" w:space="0" w:color="auto"/>
        <w:left w:val="none" w:sz="0" w:space="0" w:color="auto"/>
        <w:bottom w:val="none" w:sz="0" w:space="0" w:color="auto"/>
        <w:right w:val="none" w:sz="0" w:space="0" w:color="auto"/>
      </w:divBdr>
    </w:div>
    <w:div w:id="405029490">
      <w:bodyDiv w:val="1"/>
      <w:marLeft w:val="0"/>
      <w:marRight w:val="0"/>
      <w:marTop w:val="0"/>
      <w:marBottom w:val="0"/>
      <w:divBdr>
        <w:top w:val="none" w:sz="0" w:space="0" w:color="auto"/>
        <w:left w:val="none" w:sz="0" w:space="0" w:color="auto"/>
        <w:bottom w:val="none" w:sz="0" w:space="0" w:color="auto"/>
        <w:right w:val="none" w:sz="0" w:space="0" w:color="auto"/>
      </w:divBdr>
    </w:div>
    <w:div w:id="439299641">
      <w:bodyDiv w:val="1"/>
      <w:marLeft w:val="0"/>
      <w:marRight w:val="0"/>
      <w:marTop w:val="0"/>
      <w:marBottom w:val="0"/>
      <w:divBdr>
        <w:top w:val="none" w:sz="0" w:space="0" w:color="auto"/>
        <w:left w:val="none" w:sz="0" w:space="0" w:color="auto"/>
        <w:bottom w:val="none" w:sz="0" w:space="0" w:color="auto"/>
        <w:right w:val="none" w:sz="0" w:space="0" w:color="auto"/>
      </w:divBdr>
    </w:div>
    <w:div w:id="450323803">
      <w:bodyDiv w:val="1"/>
      <w:marLeft w:val="0"/>
      <w:marRight w:val="0"/>
      <w:marTop w:val="0"/>
      <w:marBottom w:val="0"/>
      <w:divBdr>
        <w:top w:val="none" w:sz="0" w:space="0" w:color="auto"/>
        <w:left w:val="none" w:sz="0" w:space="0" w:color="auto"/>
        <w:bottom w:val="none" w:sz="0" w:space="0" w:color="auto"/>
        <w:right w:val="none" w:sz="0" w:space="0" w:color="auto"/>
      </w:divBdr>
    </w:div>
    <w:div w:id="533615840">
      <w:bodyDiv w:val="1"/>
      <w:marLeft w:val="0"/>
      <w:marRight w:val="0"/>
      <w:marTop w:val="0"/>
      <w:marBottom w:val="0"/>
      <w:divBdr>
        <w:top w:val="none" w:sz="0" w:space="0" w:color="auto"/>
        <w:left w:val="none" w:sz="0" w:space="0" w:color="auto"/>
        <w:bottom w:val="none" w:sz="0" w:space="0" w:color="auto"/>
        <w:right w:val="none" w:sz="0" w:space="0" w:color="auto"/>
      </w:divBdr>
    </w:div>
    <w:div w:id="540552591">
      <w:bodyDiv w:val="1"/>
      <w:marLeft w:val="0"/>
      <w:marRight w:val="0"/>
      <w:marTop w:val="0"/>
      <w:marBottom w:val="0"/>
      <w:divBdr>
        <w:top w:val="none" w:sz="0" w:space="0" w:color="auto"/>
        <w:left w:val="none" w:sz="0" w:space="0" w:color="auto"/>
        <w:bottom w:val="none" w:sz="0" w:space="0" w:color="auto"/>
        <w:right w:val="none" w:sz="0" w:space="0" w:color="auto"/>
      </w:divBdr>
    </w:div>
    <w:div w:id="631793962">
      <w:bodyDiv w:val="1"/>
      <w:marLeft w:val="0"/>
      <w:marRight w:val="0"/>
      <w:marTop w:val="0"/>
      <w:marBottom w:val="0"/>
      <w:divBdr>
        <w:top w:val="none" w:sz="0" w:space="0" w:color="auto"/>
        <w:left w:val="none" w:sz="0" w:space="0" w:color="auto"/>
        <w:bottom w:val="none" w:sz="0" w:space="0" w:color="auto"/>
        <w:right w:val="none" w:sz="0" w:space="0" w:color="auto"/>
      </w:divBdr>
    </w:div>
    <w:div w:id="730154648">
      <w:bodyDiv w:val="1"/>
      <w:marLeft w:val="0"/>
      <w:marRight w:val="0"/>
      <w:marTop w:val="0"/>
      <w:marBottom w:val="0"/>
      <w:divBdr>
        <w:top w:val="none" w:sz="0" w:space="0" w:color="auto"/>
        <w:left w:val="none" w:sz="0" w:space="0" w:color="auto"/>
        <w:bottom w:val="none" w:sz="0" w:space="0" w:color="auto"/>
        <w:right w:val="none" w:sz="0" w:space="0" w:color="auto"/>
      </w:divBdr>
    </w:div>
    <w:div w:id="794182796">
      <w:bodyDiv w:val="1"/>
      <w:marLeft w:val="0"/>
      <w:marRight w:val="0"/>
      <w:marTop w:val="0"/>
      <w:marBottom w:val="0"/>
      <w:divBdr>
        <w:top w:val="none" w:sz="0" w:space="0" w:color="auto"/>
        <w:left w:val="none" w:sz="0" w:space="0" w:color="auto"/>
        <w:bottom w:val="none" w:sz="0" w:space="0" w:color="auto"/>
        <w:right w:val="none" w:sz="0" w:space="0" w:color="auto"/>
      </w:divBdr>
    </w:div>
    <w:div w:id="816806187">
      <w:bodyDiv w:val="1"/>
      <w:marLeft w:val="0"/>
      <w:marRight w:val="0"/>
      <w:marTop w:val="0"/>
      <w:marBottom w:val="0"/>
      <w:divBdr>
        <w:top w:val="none" w:sz="0" w:space="0" w:color="auto"/>
        <w:left w:val="none" w:sz="0" w:space="0" w:color="auto"/>
        <w:bottom w:val="none" w:sz="0" w:space="0" w:color="auto"/>
        <w:right w:val="none" w:sz="0" w:space="0" w:color="auto"/>
      </w:divBdr>
    </w:div>
    <w:div w:id="1500926612">
      <w:bodyDiv w:val="1"/>
      <w:marLeft w:val="0"/>
      <w:marRight w:val="0"/>
      <w:marTop w:val="0"/>
      <w:marBottom w:val="0"/>
      <w:divBdr>
        <w:top w:val="none" w:sz="0" w:space="0" w:color="auto"/>
        <w:left w:val="none" w:sz="0" w:space="0" w:color="auto"/>
        <w:bottom w:val="none" w:sz="0" w:space="0" w:color="auto"/>
        <w:right w:val="none" w:sz="0" w:space="0" w:color="auto"/>
      </w:divBdr>
    </w:div>
    <w:div w:id="1511678708">
      <w:bodyDiv w:val="1"/>
      <w:marLeft w:val="0"/>
      <w:marRight w:val="0"/>
      <w:marTop w:val="0"/>
      <w:marBottom w:val="0"/>
      <w:divBdr>
        <w:top w:val="none" w:sz="0" w:space="0" w:color="auto"/>
        <w:left w:val="none" w:sz="0" w:space="0" w:color="auto"/>
        <w:bottom w:val="none" w:sz="0" w:space="0" w:color="auto"/>
        <w:right w:val="none" w:sz="0" w:space="0" w:color="auto"/>
      </w:divBdr>
    </w:div>
    <w:div w:id="1738433478">
      <w:bodyDiv w:val="1"/>
      <w:marLeft w:val="0"/>
      <w:marRight w:val="0"/>
      <w:marTop w:val="0"/>
      <w:marBottom w:val="0"/>
      <w:divBdr>
        <w:top w:val="none" w:sz="0" w:space="0" w:color="auto"/>
        <w:left w:val="none" w:sz="0" w:space="0" w:color="auto"/>
        <w:bottom w:val="none" w:sz="0" w:space="0" w:color="auto"/>
        <w:right w:val="none" w:sz="0" w:space="0" w:color="auto"/>
      </w:divBdr>
    </w:div>
    <w:div w:id="1743477947">
      <w:bodyDiv w:val="1"/>
      <w:marLeft w:val="0"/>
      <w:marRight w:val="0"/>
      <w:marTop w:val="0"/>
      <w:marBottom w:val="0"/>
      <w:divBdr>
        <w:top w:val="none" w:sz="0" w:space="0" w:color="auto"/>
        <w:left w:val="none" w:sz="0" w:space="0" w:color="auto"/>
        <w:bottom w:val="none" w:sz="0" w:space="0" w:color="auto"/>
        <w:right w:val="none" w:sz="0" w:space="0" w:color="auto"/>
      </w:divBdr>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
    <w:div w:id="1826776498">
      <w:bodyDiv w:val="1"/>
      <w:marLeft w:val="0"/>
      <w:marRight w:val="0"/>
      <w:marTop w:val="0"/>
      <w:marBottom w:val="0"/>
      <w:divBdr>
        <w:top w:val="none" w:sz="0" w:space="0" w:color="auto"/>
        <w:left w:val="none" w:sz="0" w:space="0" w:color="auto"/>
        <w:bottom w:val="none" w:sz="0" w:space="0" w:color="auto"/>
        <w:right w:val="none" w:sz="0" w:space="0" w:color="auto"/>
      </w:divBdr>
    </w:div>
    <w:div w:id="1939872602">
      <w:bodyDiv w:val="1"/>
      <w:marLeft w:val="0"/>
      <w:marRight w:val="0"/>
      <w:marTop w:val="0"/>
      <w:marBottom w:val="0"/>
      <w:divBdr>
        <w:top w:val="none" w:sz="0" w:space="0" w:color="auto"/>
        <w:left w:val="none" w:sz="0" w:space="0" w:color="auto"/>
        <w:bottom w:val="none" w:sz="0" w:space="0" w:color="auto"/>
        <w:right w:val="none" w:sz="0" w:space="0" w:color="auto"/>
      </w:divBdr>
    </w:div>
    <w:div w:id="1963807706">
      <w:bodyDiv w:val="1"/>
      <w:marLeft w:val="0"/>
      <w:marRight w:val="0"/>
      <w:marTop w:val="0"/>
      <w:marBottom w:val="0"/>
      <w:divBdr>
        <w:top w:val="none" w:sz="0" w:space="0" w:color="auto"/>
        <w:left w:val="none" w:sz="0" w:space="0" w:color="auto"/>
        <w:bottom w:val="none" w:sz="0" w:space="0" w:color="auto"/>
        <w:right w:val="none" w:sz="0" w:space="0" w:color="auto"/>
      </w:divBdr>
    </w:div>
    <w:div w:id="2061130722">
      <w:bodyDiv w:val="1"/>
      <w:marLeft w:val="0"/>
      <w:marRight w:val="0"/>
      <w:marTop w:val="0"/>
      <w:marBottom w:val="0"/>
      <w:divBdr>
        <w:top w:val="none" w:sz="0" w:space="0" w:color="auto"/>
        <w:left w:val="none" w:sz="0" w:space="0" w:color="auto"/>
        <w:bottom w:val="none" w:sz="0" w:space="0" w:color="auto"/>
        <w:right w:val="none" w:sz="0" w:space="0" w:color="auto"/>
      </w:divBdr>
    </w:div>
    <w:div w:id="21147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traficom.fi/fi/ajankohtaista/uusi-maarays-valmiussuunnittelun-jarjestaminen-liikennejarjestelmassa" TargetMode="External"/><Relationship Id="rId26" Type="http://schemas.openxmlformats.org/officeDocument/2006/relationships/hyperlink" Target="https://www.kyberturvallisuuskeskus.fi/fi/ohjee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ec.ch/ords/f?p=103:14:319535360914374::::FSP_ORG_ID:28802" TargetMode="External"/><Relationship Id="rId34" Type="http://schemas.openxmlformats.org/officeDocument/2006/relationships/hyperlink" Target="https://csrc.nist.gov/publications/detail/sp/800-82/rev-2/final"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traficom.fi/sites/default/files/media/regulation/H%C3%A4iri%C3%B6ilmoitusohje%20valmis.pdf" TargetMode="External"/><Relationship Id="rId25" Type="http://schemas.openxmlformats.org/officeDocument/2006/relationships/hyperlink" Target="https://www.kyberturvallisuuskeskus.fi/fi/" TargetMode="External"/><Relationship Id="rId33" Type="http://schemas.openxmlformats.org/officeDocument/2006/relationships/hyperlink" Target="https://www.nist.gov/cyberframework" TargetMode="External"/><Relationship Id="rId38" Type="http://schemas.openxmlformats.org/officeDocument/2006/relationships/hyperlink" Target="https://www.raildeliverygroup.com/component/arkhive/?task=file.download&amp;id=469772253" TargetMode="External"/><Relationship Id="rId2" Type="http://schemas.openxmlformats.org/officeDocument/2006/relationships/customXml" Target="../customXml/item2.xml"/><Relationship Id="rId16" Type="http://schemas.openxmlformats.org/officeDocument/2006/relationships/hyperlink" Target="https://finlex.fi/fi/laki/ajantasa/2014/20140917" TargetMode="External"/><Relationship Id="rId20" Type="http://schemas.openxmlformats.org/officeDocument/2006/relationships/hyperlink" Target="https://sales.sfs.fi/fi/index/tuotteet/SFSsahko/CENELEC/ID5/5/1012872.html.stx" TargetMode="External"/><Relationship Id="rId29" Type="http://schemas.openxmlformats.org/officeDocument/2006/relationships/hyperlink" Target="https://www.enisa.europa.eu/publications/enisa-threat-landscape-report-201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yberturvallisuuskeskus.fi/fi/palvelumme/tilannekuva-ja-verkostot/kybermittari" TargetMode="External"/><Relationship Id="rId32" Type="http://schemas.openxmlformats.org/officeDocument/2006/relationships/hyperlink" Target="https://www.cenelec.eu/" TargetMode="External"/><Relationship Id="rId37" Type="http://schemas.openxmlformats.org/officeDocument/2006/relationships/hyperlink" Target="https://cyrail.eu/IMG/pdf/final_recommendations_cyrail.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FI/TXT/PDF/?uri=CELEX:32016L1148&amp;from=FI" TargetMode="External"/><Relationship Id="rId23" Type="http://schemas.openxmlformats.org/officeDocument/2006/relationships/hyperlink" Target="https://cyrail.eu/IMG/pdf/final_recommendations_cyrail.pdf" TargetMode="External"/><Relationship Id="rId28" Type="http://schemas.openxmlformats.org/officeDocument/2006/relationships/hyperlink" Target="https://www.enisa.europa.eu/" TargetMode="External"/><Relationship Id="rId36" Type="http://schemas.openxmlformats.org/officeDocument/2006/relationships/hyperlink" Target="https://cyrail.eu/" TargetMode="External"/><Relationship Id="rId10" Type="http://schemas.openxmlformats.org/officeDocument/2006/relationships/footnotes" Target="footnotes.xml"/><Relationship Id="rId19" Type="http://schemas.openxmlformats.org/officeDocument/2006/relationships/hyperlink" Target="https://data.consilium.europa.eu/doc/document/ST-10193-2022-INIT/x/pdf" TargetMode="External"/><Relationship Id="rId31" Type="http://schemas.openxmlformats.org/officeDocument/2006/relationships/hyperlink" Target="https://www.cyber-europe.e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urvallisuuskomitea.fi/wp-content/uploads/2018/06/Kyberturvallisuuden-sanasto.pdf" TargetMode="External"/><Relationship Id="rId22" Type="http://schemas.openxmlformats.org/officeDocument/2006/relationships/hyperlink" Target="https://er.isacs.eu/" TargetMode="External"/><Relationship Id="rId27" Type="http://schemas.openxmlformats.org/officeDocument/2006/relationships/hyperlink" Target="https://www.kyberturvallisuuskeskus.fi/fi/kybermittari" TargetMode="External"/><Relationship Id="rId30" Type="http://schemas.openxmlformats.org/officeDocument/2006/relationships/hyperlink" Target="https://www.enisa.europa.eu/publications/enisa-threat-landscape-for-5g-networks" TargetMode="External"/><Relationship Id="rId35" Type="http://schemas.openxmlformats.org/officeDocument/2006/relationships/hyperlink" Target="https://www.energy.gov/sites/prod/files/2019/10/f67/C2M2%20v2.0%2006202019%20DOE%20for%20Comment%20%28Draft%29.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ficom.fi/fi/saadokset/ohje-valmiussuunnitelman-laatimiseksi-raideliikentee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C6166C88CDA8D4DBED6A9D036EDFD33" ma:contentTypeVersion="44" ma:contentTypeDescription="" ma:contentTypeScope="" ma:versionID="6d42551c108e74a86fe5e464d4dc4556">
  <xsd:schema xmlns:xsd="http://www.w3.org/2001/XMLSchema" xmlns:xs="http://www.w3.org/2001/XMLSchema" xmlns:p="http://schemas.microsoft.com/office/2006/metadata/properties" xmlns:ns2="1fe20826-dad2-4b0b-9fb8-2bbcfcf24808" xmlns:ns3="986746b9-21ea-4a10-94d5-c7e2d54bbe5a" targetNamespace="http://schemas.microsoft.com/office/2006/metadata/properties" ma:root="true" ma:fieldsID="e06cd0329ca51c29137312614998133c" ns2:_="" ns3:_="">
    <xsd:import namespace="1fe20826-dad2-4b0b-9fb8-2bbcfcf24808"/>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20826-dad2-4b0b-9fb8-2bbcfcf2480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ddce2b3-25c2-4fbc-b24a-2ea6b87cc917}" ma:internalName="TaxCatchAll" ma:showField="CatchAllData"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ddce2b3-25c2-4fbc-b24a-2ea6b87cc917}" ma:internalName="TaxCatchAllLabel" ma:readOnly="true" ma:showField="CatchAllDataLabel"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1</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Id xmlns="1fe20826-dad2-4b0b-9fb8-2bbcfcf24808" xsi:nil="true"/>
    <SaTyTosDocumentType xmlns="1fe20826-dad2-4b0b-9fb8-2bbcfcf24808">mallipohja</SaTyTosDocumentType>
    <SaTyTosDocumentTypeId xmlns="1fe20826-dad2-4b0b-9fb8-2bbcfcf24808" xsi:nil="true"/>
    <SaTyTosIssueGroup xmlns="1fe20826-dad2-4b0b-9fb8-2bbcfcf24808"/>
    <SaTyDocumentArchive xmlns="1fe20826-dad2-4b0b-9fb8-2bbcfcf24808">false</SaTyDocumentArchive>
    <SaTyTosPublicity xmlns="1fe20826-dad2-4b0b-9fb8-2bbcfcf24808">Julkinen</SaTyTosPublicity>
    <SaTyDocumentYear xmlns="1fe20826-dad2-4b0b-9fb8-2bbcfcf24808">2019</SaTyDocumentYear>
    <SaTyDocumentStatus xmlns="1fe20826-dad2-4b0b-9fb8-2bbcfcf24808">Luonnos</SaTyDocumentStatus>
    <SaTyTosTaskGroup xmlns="1fe20826-dad2-4b0b-9fb8-2bbcfcf24808"/>
    <SaTyTosPreservation xmlns="1fe20826-dad2-4b0b-9fb8-2bbcfcf24808">3 v</SaTyTosPreservation>
    <SaTyDocumentUserData xmlns="1fe20826-dad2-4b0b-9fb8-2bbcfcf24808">false</SaTyDocumentUserData>
    <SaTyTosTaskGroupId xmlns="1fe20826-dad2-4b0b-9fb8-2bbcfcf24808" xsi:nil="true"/>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D762-D36F-4638-955C-73CD0B9D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20826-dad2-4b0b-9fb8-2bbcfcf2480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257DC-F125-4104-9648-8ABDAF6EEE50}">
  <ds:schemaRefs>
    <ds:schemaRef ds:uri="Microsoft.SharePoint.Taxonomy.ContentTypeSync"/>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4.xml><?xml version="1.0" encoding="utf-8"?>
<ds:datastoreItem xmlns:ds="http://schemas.openxmlformats.org/officeDocument/2006/customXml" ds:itemID="{37BE8FA3-0F7C-4CB8-BF17-97ED56333533}">
  <ds:schemaRefs>
    <ds:schemaRef ds:uri="1fe20826-dad2-4b0b-9fb8-2bbcfcf24808"/>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81678B8-CAE3-4BF0-AAD8-664C676E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5663</Words>
  <Characters>54877</Characters>
  <Application>Microsoft Office Word</Application>
  <DocSecurity>0</DocSecurity>
  <Lines>1076</Lines>
  <Paragraphs>438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Lahti</dc:creator>
  <cp:keywords/>
  <dc:description/>
  <cp:lastModifiedBy>Lahti Ville</cp:lastModifiedBy>
  <cp:revision>5</cp:revision>
  <cp:lastPrinted>2022-10-17T12:35:00Z</cp:lastPrinted>
  <dcterms:created xsi:type="dcterms:W3CDTF">2022-10-17T12:09:00Z</dcterms:created>
  <dcterms:modified xsi:type="dcterms:W3CDTF">2022-10-17T12:39:00Z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0x0101000EC482A17D284AEE8290D09FC0D2D6D200C589622A2BFC49F09A63EB8A0400625000BC6166C88CDA8D4DBED6A9D036EDFD33</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Language">
    <vt:lpwstr>1;#Suomi|88d960e6-e76c-48a2-b607-f1600797b640</vt:lpwstr>
  </property>
  <property fmtid="{D5CDD505-2E9C-101B-9397-08002B2CF9AE}" pid="7" name="SaTyTosKeywords">
    <vt:lpwstr/>
  </property>
  <property fmtid="{D5CDD505-2E9C-101B-9397-08002B2CF9AE}" pid="8" name="SaTyDocumentOtherTag">
    <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