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AE7F2" w14:textId="77777777" w:rsidR="003C4DCC" w:rsidRDefault="003C4DCC" w:rsidP="000A06A9"/>
    <w:p w14:paraId="48B0D607" w14:textId="77777777" w:rsidR="00EF3AF3" w:rsidRDefault="00EF3AF3" w:rsidP="00536F30">
      <w:pPr>
        <w:pStyle w:val="LLEsityksennimi"/>
      </w:pPr>
      <w:bookmarkStart w:id="0" w:name="_GoBack"/>
      <w:r>
        <w:t xml:space="preserve">Hallituksen esitys eduskunnalle </w:t>
      </w:r>
      <w:r w:rsidR="002E7FE5" w:rsidRPr="002E7FE5">
        <w:t>laiksi ikääntyneen väestön toimintakyvyn tukemisesta sekä iäkkäiden sosiaali- ja terveyspalveluista annetun lain muuttamisesta annetun lain voimaantulosäännöksen muuttamisesta</w:t>
      </w:r>
    </w:p>
    <w:bookmarkEnd w:id="0" w:displacedByCustomXml="next"/>
    <w:bookmarkStart w:id="1" w:name="_Toc119005711" w:displacedByCustomXml="next"/>
    <w:bookmarkStart w:id="2" w:name="_Toc118814256" w:displacedByCustomXml="next"/>
    <w:bookmarkStart w:id="3" w:name="_Toc118796202" w:displacedByCustomXml="next"/>
    <w:sdt>
      <w:sdtPr>
        <w:alias w:val="Otsikko"/>
        <w:tag w:val="CCOtsikko"/>
        <w:id w:val="-717274869"/>
        <w:lock w:val="sdtLocked"/>
        <w:placeholder>
          <w:docPart w:val="681132CBB95B44E1940E0900344FAD89"/>
        </w:placeholder>
        <w15:color w:val="00CCFF"/>
      </w:sdtPr>
      <w:sdtEndPr/>
      <w:sdtContent>
        <w:p w14:paraId="430F9D57" w14:textId="77777777" w:rsidR="005A0584" w:rsidRDefault="005A0584" w:rsidP="005A0584">
          <w:pPr>
            <w:pStyle w:val="LLPasiallinensislt"/>
          </w:pPr>
          <w:r>
            <w:t>Esityksen pääasiallinen sisältö</w:t>
          </w:r>
        </w:p>
      </w:sdtContent>
    </w:sdt>
    <w:bookmarkEnd w:id="1" w:displacedByCustomXml="prev"/>
    <w:bookmarkEnd w:id="2" w:displacedByCustomXml="prev"/>
    <w:bookmarkEnd w:id="3" w:displacedByCustomXml="prev"/>
    <w:sdt>
      <w:sdtPr>
        <w:alias w:val="Pääasiallinen sisältö"/>
        <w:tag w:val="CCPaaasiallinensisalto"/>
        <w:id w:val="773754789"/>
        <w:lock w:val="sdtLocked"/>
        <w:placeholder>
          <w:docPart w:val="D13964D0939B4A2583BA106A02DC45E4"/>
        </w:placeholder>
        <w15:color w:val="00CCFF"/>
      </w:sdtPr>
      <w:sdtEndPr/>
      <w:sdtContent>
        <w:p w14:paraId="4913E16E" w14:textId="77777777" w:rsidR="002E7FE5" w:rsidRDefault="002E7FE5" w:rsidP="002E7FE5">
          <w:pPr>
            <w:pStyle w:val="LLPerustelujenkappalejako"/>
          </w:pPr>
          <w:r>
            <w:t>Esityksessä ehdotetaan muutettavaksi ikääntyneen väestön toimintakyvyn tukemisesta sekä iäkkäiden sosiaali- ja terveyspalveluista annetun lain muuttamisesta annetun lain voimaantulosäännöstä.</w:t>
          </w:r>
        </w:p>
        <w:p w14:paraId="1ABC1619" w14:textId="77777777" w:rsidR="008A2DC5" w:rsidRDefault="002E7FE5" w:rsidP="002E7FE5">
          <w:pPr>
            <w:pStyle w:val="LLPerustelujenkappalejako"/>
          </w:pPr>
          <w:r>
            <w:t xml:space="preserve">Laissa säädettyä iäkkäiden henkilöiden </w:t>
          </w:r>
          <w:r w:rsidR="005A5839" w:rsidRPr="00C73E54">
            <w:t xml:space="preserve">ympärivuorokautisen </w:t>
          </w:r>
          <w:r w:rsidRPr="00C73E54">
            <w:t xml:space="preserve">palveluasumisen </w:t>
          </w:r>
          <w:r>
            <w:t xml:space="preserve">toimintayksiköissä </w:t>
          </w:r>
          <w:r w:rsidR="001A69B9">
            <w:t xml:space="preserve">asiakasta kohti </w:t>
          </w:r>
          <w:r>
            <w:t xml:space="preserve">noudatettavan </w:t>
          </w:r>
          <w:r w:rsidR="001A69B9">
            <w:t xml:space="preserve">0,7 työntekijän </w:t>
          </w:r>
          <w:r>
            <w:t xml:space="preserve">henkilöstömitoituksen siirtymäaikaa </w:t>
          </w:r>
          <w:r w:rsidR="001A69B9">
            <w:t xml:space="preserve">jatkettaisiin </w:t>
          </w:r>
          <w:r w:rsidR="005A5839" w:rsidRPr="00C73E54">
            <w:t>1</w:t>
          </w:r>
          <w:r w:rsidR="001A69B9" w:rsidRPr="002E316A">
            <w:t>.1.</w:t>
          </w:r>
          <w:r w:rsidR="005A5839" w:rsidRPr="002E316A">
            <w:t>202</w:t>
          </w:r>
          <w:r w:rsidR="005321A3" w:rsidRPr="002E316A">
            <w:t>8</w:t>
          </w:r>
          <w:r w:rsidR="001A69B9" w:rsidRPr="00C73E54">
            <w:t xml:space="preserve"> </w:t>
          </w:r>
          <w:r w:rsidRPr="00C73E54">
            <w:t>saakka</w:t>
          </w:r>
          <w:r>
            <w:t>.</w:t>
          </w:r>
          <w:r w:rsidR="002B15E9">
            <w:t xml:space="preserve"> </w:t>
          </w:r>
          <w:r w:rsidR="002B15E9" w:rsidRPr="002B15E9">
            <w:t xml:space="preserve">Ennen </w:t>
          </w:r>
          <w:r w:rsidR="002A68C3">
            <w:t xml:space="preserve">sitä </w:t>
          </w:r>
          <w:r w:rsidR="002B15E9" w:rsidRPr="002B15E9">
            <w:t>edellytettäisiin vähintään 0,65 työntekijän hen</w:t>
          </w:r>
          <w:r w:rsidR="002B15E9">
            <w:t>kilöstömitoitusta kyseisiin teh</w:t>
          </w:r>
          <w:r w:rsidR="002B15E9" w:rsidRPr="002B15E9">
            <w:t>täviin voimassa olevan lain mukaisesti.</w:t>
          </w:r>
        </w:p>
        <w:p w14:paraId="3CA88E74" w14:textId="77777777" w:rsidR="005A0584" w:rsidRPr="00BC6172" w:rsidRDefault="002E7FE5" w:rsidP="00BC6172">
          <w:pPr>
            <w:pStyle w:val="LLPerustelujenkappalejako"/>
          </w:pPr>
          <w:r>
            <w:t xml:space="preserve">Laki on tarkoitettu tulemaan voimaan </w:t>
          </w:r>
          <w:r w:rsidR="0013355C">
            <w:t>ennen</w:t>
          </w:r>
          <w:r>
            <w:t xml:space="preserve"> </w:t>
          </w:r>
          <w:r w:rsidRPr="00C73E54">
            <w:t>1.</w:t>
          </w:r>
          <w:r w:rsidR="005A5839" w:rsidRPr="00C73E54">
            <w:t>12</w:t>
          </w:r>
          <w:r w:rsidR="00960C8E">
            <w:t xml:space="preserve">.2023. </w:t>
          </w:r>
        </w:p>
      </w:sdtContent>
    </w:sdt>
    <w:p w14:paraId="296DDC06" w14:textId="77777777" w:rsidR="005A0584" w:rsidRPr="000852C2" w:rsidRDefault="0076114C" w:rsidP="00612C71">
      <w:pPr>
        <w:pStyle w:val="LLNormaali"/>
        <w:jc w:val="center"/>
      </w:pPr>
      <w:r w:rsidRPr="0076114C">
        <w:t>—————</w:t>
      </w:r>
      <w:r w:rsidR="005A0584" w:rsidRPr="000852C2">
        <w:br w:type="page"/>
      </w:r>
    </w:p>
    <w:p w14:paraId="769E8A86" w14:textId="77777777" w:rsidR="00095BC2" w:rsidRPr="00153366" w:rsidRDefault="00095BC2" w:rsidP="00612C71">
      <w:pPr>
        <w:pStyle w:val="LLSisllys"/>
      </w:pPr>
      <w:r w:rsidRPr="00153366">
        <w:lastRenderedPageBreak/>
        <w:t>Sisällys</w:t>
      </w:r>
    </w:p>
    <w:p w14:paraId="3B35274C" w14:textId="77777777" w:rsidR="006A4A8F"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19005711" w:history="1">
        <w:r w:rsidR="006A4A8F" w:rsidRPr="00F962FC">
          <w:rPr>
            <w:rStyle w:val="Hyperlinkki"/>
            <w:noProof/>
          </w:rPr>
          <w:t>Esityksen pääasiallinen sisältö</w:t>
        </w:r>
        <w:r w:rsidR="006A4A8F">
          <w:rPr>
            <w:noProof/>
            <w:webHidden/>
          </w:rPr>
          <w:tab/>
        </w:r>
        <w:r w:rsidR="006A4A8F">
          <w:rPr>
            <w:noProof/>
            <w:webHidden/>
          </w:rPr>
          <w:fldChar w:fldCharType="begin"/>
        </w:r>
        <w:r w:rsidR="006A4A8F">
          <w:rPr>
            <w:noProof/>
            <w:webHidden/>
          </w:rPr>
          <w:instrText xml:space="preserve"> PAGEREF _Toc119005711 \h </w:instrText>
        </w:r>
        <w:r w:rsidR="006A4A8F">
          <w:rPr>
            <w:noProof/>
            <w:webHidden/>
          </w:rPr>
        </w:r>
        <w:r w:rsidR="006A4A8F">
          <w:rPr>
            <w:noProof/>
            <w:webHidden/>
          </w:rPr>
          <w:fldChar w:fldCharType="separate"/>
        </w:r>
        <w:r w:rsidR="006A4A8F">
          <w:rPr>
            <w:noProof/>
            <w:webHidden/>
          </w:rPr>
          <w:t>1</w:t>
        </w:r>
        <w:r w:rsidR="006A4A8F">
          <w:rPr>
            <w:noProof/>
            <w:webHidden/>
          </w:rPr>
          <w:fldChar w:fldCharType="end"/>
        </w:r>
      </w:hyperlink>
    </w:p>
    <w:p w14:paraId="013168C1" w14:textId="77777777" w:rsidR="006A4A8F" w:rsidRDefault="00AF7BD0">
      <w:pPr>
        <w:pStyle w:val="Sisluet1"/>
        <w:rPr>
          <w:rFonts w:asciiTheme="minorHAnsi" w:eastAsiaTheme="minorEastAsia" w:hAnsiTheme="minorHAnsi" w:cstheme="minorBidi"/>
          <w:bCs w:val="0"/>
          <w:caps w:val="0"/>
          <w:noProof/>
          <w:szCs w:val="22"/>
        </w:rPr>
      </w:pPr>
      <w:hyperlink w:anchor="_Toc119005712" w:history="1">
        <w:r w:rsidR="006A4A8F" w:rsidRPr="00F962FC">
          <w:rPr>
            <w:rStyle w:val="Hyperlinkki"/>
            <w:noProof/>
          </w:rPr>
          <w:t>PERUSTELUT</w:t>
        </w:r>
        <w:r w:rsidR="006A4A8F">
          <w:rPr>
            <w:noProof/>
            <w:webHidden/>
          </w:rPr>
          <w:tab/>
        </w:r>
        <w:r w:rsidR="006A4A8F">
          <w:rPr>
            <w:noProof/>
            <w:webHidden/>
          </w:rPr>
          <w:fldChar w:fldCharType="begin"/>
        </w:r>
        <w:r w:rsidR="006A4A8F">
          <w:rPr>
            <w:noProof/>
            <w:webHidden/>
          </w:rPr>
          <w:instrText xml:space="preserve"> PAGEREF _Toc119005712 \h </w:instrText>
        </w:r>
        <w:r w:rsidR="006A4A8F">
          <w:rPr>
            <w:noProof/>
            <w:webHidden/>
          </w:rPr>
        </w:r>
        <w:r w:rsidR="006A4A8F">
          <w:rPr>
            <w:noProof/>
            <w:webHidden/>
          </w:rPr>
          <w:fldChar w:fldCharType="separate"/>
        </w:r>
        <w:r w:rsidR="006A4A8F">
          <w:rPr>
            <w:noProof/>
            <w:webHidden/>
          </w:rPr>
          <w:t>3</w:t>
        </w:r>
        <w:r w:rsidR="006A4A8F">
          <w:rPr>
            <w:noProof/>
            <w:webHidden/>
          </w:rPr>
          <w:fldChar w:fldCharType="end"/>
        </w:r>
      </w:hyperlink>
    </w:p>
    <w:p w14:paraId="5F8C54EE" w14:textId="77777777" w:rsidR="006A4A8F" w:rsidRDefault="00AF7BD0">
      <w:pPr>
        <w:pStyle w:val="Sisluet2"/>
        <w:rPr>
          <w:rFonts w:asciiTheme="minorHAnsi" w:eastAsiaTheme="minorEastAsia" w:hAnsiTheme="minorHAnsi" w:cstheme="minorBidi"/>
          <w:szCs w:val="22"/>
        </w:rPr>
      </w:pPr>
      <w:hyperlink w:anchor="_Toc119005713" w:history="1">
        <w:r w:rsidR="006A4A8F" w:rsidRPr="00F962FC">
          <w:rPr>
            <w:rStyle w:val="Hyperlinkki"/>
          </w:rPr>
          <w:t>1 Asian tausta ja valmistelu</w:t>
        </w:r>
        <w:r w:rsidR="006A4A8F">
          <w:rPr>
            <w:webHidden/>
          </w:rPr>
          <w:tab/>
        </w:r>
        <w:r w:rsidR="006A4A8F">
          <w:rPr>
            <w:webHidden/>
          </w:rPr>
          <w:fldChar w:fldCharType="begin"/>
        </w:r>
        <w:r w:rsidR="006A4A8F">
          <w:rPr>
            <w:webHidden/>
          </w:rPr>
          <w:instrText xml:space="preserve"> PAGEREF _Toc119005713 \h </w:instrText>
        </w:r>
        <w:r w:rsidR="006A4A8F">
          <w:rPr>
            <w:webHidden/>
          </w:rPr>
        </w:r>
        <w:r w:rsidR="006A4A8F">
          <w:rPr>
            <w:webHidden/>
          </w:rPr>
          <w:fldChar w:fldCharType="separate"/>
        </w:r>
        <w:r w:rsidR="006A4A8F">
          <w:rPr>
            <w:webHidden/>
          </w:rPr>
          <w:t>3</w:t>
        </w:r>
        <w:r w:rsidR="006A4A8F">
          <w:rPr>
            <w:webHidden/>
          </w:rPr>
          <w:fldChar w:fldCharType="end"/>
        </w:r>
      </w:hyperlink>
    </w:p>
    <w:p w14:paraId="25A31DBC" w14:textId="77777777" w:rsidR="006A4A8F" w:rsidRDefault="00AF7BD0">
      <w:pPr>
        <w:pStyle w:val="Sisluet3"/>
        <w:rPr>
          <w:rFonts w:asciiTheme="minorHAnsi" w:eastAsiaTheme="minorEastAsia" w:hAnsiTheme="minorHAnsi" w:cstheme="minorBidi"/>
          <w:noProof/>
          <w:szCs w:val="22"/>
        </w:rPr>
      </w:pPr>
      <w:hyperlink w:anchor="_Toc119005714" w:history="1">
        <w:r w:rsidR="006A4A8F" w:rsidRPr="00F962FC">
          <w:rPr>
            <w:rStyle w:val="Hyperlinkki"/>
            <w:noProof/>
          </w:rPr>
          <w:t>1.1 Tausta</w:t>
        </w:r>
        <w:r w:rsidR="006A4A8F">
          <w:rPr>
            <w:noProof/>
            <w:webHidden/>
          </w:rPr>
          <w:tab/>
        </w:r>
        <w:r w:rsidR="006A4A8F">
          <w:rPr>
            <w:noProof/>
            <w:webHidden/>
          </w:rPr>
          <w:fldChar w:fldCharType="begin"/>
        </w:r>
        <w:r w:rsidR="006A4A8F">
          <w:rPr>
            <w:noProof/>
            <w:webHidden/>
          </w:rPr>
          <w:instrText xml:space="preserve"> PAGEREF _Toc119005714 \h </w:instrText>
        </w:r>
        <w:r w:rsidR="006A4A8F">
          <w:rPr>
            <w:noProof/>
            <w:webHidden/>
          </w:rPr>
        </w:r>
        <w:r w:rsidR="006A4A8F">
          <w:rPr>
            <w:noProof/>
            <w:webHidden/>
          </w:rPr>
          <w:fldChar w:fldCharType="separate"/>
        </w:r>
        <w:r w:rsidR="006A4A8F">
          <w:rPr>
            <w:noProof/>
            <w:webHidden/>
          </w:rPr>
          <w:t>3</w:t>
        </w:r>
        <w:r w:rsidR="006A4A8F">
          <w:rPr>
            <w:noProof/>
            <w:webHidden/>
          </w:rPr>
          <w:fldChar w:fldCharType="end"/>
        </w:r>
      </w:hyperlink>
    </w:p>
    <w:p w14:paraId="7DB86A1E" w14:textId="77777777" w:rsidR="006A4A8F" w:rsidRDefault="00AF7BD0">
      <w:pPr>
        <w:pStyle w:val="Sisluet3"/>
        <w:rPr>
          <w:rFonts w:asciiTheme="minorHAnsi" w:eastAsiaTheme="minorEastAsia" w:hAnsiTheme="minorHAnsi" w:cstheme="minorBidi"/>
          <w:noProof/>
          <w:szCs w:val="22"/>
        </w:rPr>
      </w:pPr>
      <w:hyperlink w:anchor="_Toc119005715" w:history="1">
        <w:r w:rsidR="006A4A8F" w:rsidRPr="00F962FC">
          <w:rPr>
            <w:rStyle w:val="Hyperlinkki"/>
            <w:noProof/>
          </w:rPr>
          <w:t>1.2 Valmistelu</w:t>
        </w:r>
        <w:r w:rsidR="006A4A8F">
          <w:rPr>
            <w:noProof/>
            <w:webHidden/>
          </w:rPr>
          <w:tab/>
        </w:r>
        <w:r w:rsidR="006A4A8F">
          <w:rPr>
            <w:noProof/>
            <w:webHidden/>
          </w:rPr>
          <w:fldChar w:fldCharType="begin"/>
        </w:r>
        <w:r w:rsidR="006A4A8F">
          <w:rPr>
            <w:noProof/>
            <w:webHidden/>
          </w:rPr>
          <w:instrText xml:space="preserve"> PAGEREF _Toc119005715 \h </w:instrText>
        </w:r>
        <w:r w:rsidR="006A4A8F">
          <w:rPr>
            <w:noProof/>
            <w:webHidden/>
          </w:rPr>
        </w:r>
        <w:r w:rsidR="006A4A8F">
          <w:rPr>
            <w:noProof/>
            <w:webHidden/>
          </w:rPr>
          <w:fldChar w:fldCharType="separate"/>
        </w:r>
        <w:r w:rsidR="006A4A8F">
          <w:rPr>
            <w:noProof/>
            <w:webHidden/>
          </w:rPr>
          <w:t>3</w:t>
        </w:r>
        <w:r w:rsidR="006A4A8F">
          <w:rPr>
            <w:noProof/>
            <w:webHidden/>
          </w:rPr>
          <w:fldChar w:fldCharType="end"/>
        </w:r>
      </w:hyperlink>
    </w:p>
    <w:p w14:paraId="26CC0347" w14:textId="77777777" w:rsidR="006A4A8F" w:rsidRDefault="00AF7BD0">
      <w:pPr>
        <w:pStyle w:val="Sisluet2"/>
        <w:rPr>
          <w:rFonts w:asciiTheme="minorHAnsi" w:eastAsiaTheme="minorEastAsia" w:hAnsiTheme="minorHAnsi" w:cstheme="minorBidi"/>
          <w:szCs w:val="22"/>
        </w:rPr>
      </w:pPr>
      <w:hyperlink w:anchor="_Toc119005716" w:history="1">
        <w:r w:rsidR="006A4A8F" w:rsidRPr="00F962FC">
          <w:rPr>
            <w:rStyle w:val="Hyperlinkki"/>
          </w:rPr>
          <w:t>2 Nykytila ja sen arviointi</w:t>
        </w:r>
        <w:r w:rsidR="006A4A8F">
          <w:rPr>
            <w:webHidden/>
          </w:rPr>
          <w:tab/>
        </w:r>
        <w:r w:rsidR="006A4A8F">
          <w:rPr>
            <w:webHidden/>
          </w:rPr>
          <w:fldChar w:fldCharType="begin"/>
        </w:r>
        <w:r w:rsidR="006A4A8F">
          <w:rPr>
            <w:webHidden/>
          </w:rPr>
          <w:instrText xml:space="preserve"> PAGEREF _Toc119005716 \h </w:instrText>
        </w:r>
        <w:r w:rsidR="006A4A8F">
          <w:rPr>
            <w:webHidden/>
          </w:rPr>
        </w:r>
        <w:r w:rsidR="006A4A8F">
          <w:rPr>
            <w:webHidden/>
          </w:rPr>
          <w:fldChar w:fldCharType="separate"/>
        </w:r>
        <w:r w:rsidR="006A4A8F">
          <w:rPr>
            <w:webHidden/>
          </w:rPr>
          <w:t>3</w:t>
        </w:r>
        <w:r w:rsidR="006A4A8F">
          <w:rPr>
            <w:webHidden/>
          </w:rPr>
          <w:fldChar w:fldCharType="end"/>
        </w:r>
      </w:hyperlink>
    </w:p>
    <w:p w14:paraId="7BA6705D" w14:textId="77777777" w:rsidR="006A4A8F" w:rsidRDefault="00AF7BD0">
      <w:pPr>
        <w:pStyle w:val="Sisluet2"/>
        <w:rPr>
          <w:rFonts w:asciiTheme="minorHAnsi" w:eastAsiaTheme="minorEastAsia" w:hAnsiTheme="minorHAnsi" w:cstheme="minorBidi"/>
          <w:szCs w:val="22"/>
        </w:rPr>
      </w:pPr>
      <w:hyperlink w:anchor="_Toc119005717" w:history="1">
        <w:r w:rsidR="006A4A8F" w:rsidRPr="00F962FC">
          <w:rPr>
            <w:rStyle w:val="Hyperlinkki"/>
          </w:rPr>
          <w:t>3 Ehdotus ja sen vaikutukset</w:t>
        </w:r>
        <w:r w:rsidR="006A4A8F">
          <w:rPr>
            <w:webHidden/>
          </w:rPr>
          <w:tab/>
        </w:r>
        <w:r w:rsidR="006A4A8F">
          <w:rPr>
            <w:webHidden/>
          </w:rPr>
          <w:fldChar w:fldCharType="begin"/>
        </w:r>
        <w:r w:rsidR="006A4A8F">
          <w:rPr>
            <w:webHidden/>
          </w:rPr>
          <w:instrText xml:space="preserve"> PAGEREF _Toc119005717 \h </w:instrText>
        </w:r>
        <w:r w:rsidR="006A4A8F">
          <w:rPr>
            <w:webHidden/>
          </w:rPr>
        </w:r>
        <w:r w:rsidR="006A4A8F">
          <w:rPr>
            <w:webHidden/>
          </w:rPr>
          <w:fldChar w:fldCharType="separate"/>
        </w:r>
        <w:r w:rsidR="006A4A8F">
          <w:rPr>
            <w:webHidden/>
          </w:rPr>
          <w:t>7</w:t>
        </w:r>
        <w:r w:rsidR="006A4A8F">
          <w:rPr>
            <w:webHidden/>
          </w:rPr>
          <w:fldChar w:fldCharType="end"/>
        </w:r>
      </w:hyperlink>
    </w:p>
    <w:p w14:paraId="3B319B1E" w14:textId="77777777" w:rsidR="006A4A8F" w:rsidRDefault="00AF7BD0">
      <w:pPr>
        <w:pStyle w:val="Sisluet3"/>
        <w:rPr>
          <w:rFonts w:asciiTheme="minorHAnsi" w:eastAsiaTheme="minorEastAsia" w:hAnsiTheme="minorHAnsi" w:cstheme="minorBidi"/>
          <w:noProof/>
          <w:szCs w:val="22"/>
        </w:rPr>
      </w:pPr>
      <w:hyperlink w:anchor="_Toc119005718" w:history="1">
        <w:r w:rsidR="006A4A8F" w:rsidRPr="00F962FC">
          <w:rPr>
            <w:rStyle w:val="Hyperlinkki"/>
            <w:noProof/>
          </w:rPr>
          <w:t>3.1 Ehdotus</w:t>
        </w:r>
        <w:r w:rsidR="006A4A8F">
          <w:rPr>
            <w:noProof/>
            <w:webHidden/>
          </w:rPr>
          <w:tab/>
        </w:r>
        <w:r w:rsidR="006A4A8F">
          <w:rPr>
            <w:noProof/>
            <w:webHidden/>
          </w:rPr>
          <w:fldChar w:fldCharType="begin"/>
        </w:r>
        <w:r w:rsidR="006A4A8F">
          <w:rPr>
            <w:noProof/>
            <w:webHidden/>
          </w:rPr>
          <w:instrText xml:space="preserve"> PAGEREF _Toc119005718 \h </w:instrText>
        </w:r>
        <w:r w:rsidR="006A4A8F">
          <w:rPr>
            <w:noProof/>
            <w:webHidden/>
          </w:rPr>
        </w:r>
        <w:r w:rsidR="006A4A8F">
          <w:rPr>
            <w:noProof/>
            <w:webHidden/>
          </w:rPr>
          <w:fldChar w:fldCharType="separate"/>
        </w:r>
        <w:r w:rsidR="006A4A8F">
          <w:rPr>
            <w:noProof/>
            <w:webHidden/>
          </w:rPr>
          <w:t>7</w:t>
        </w:r>
        <w:r w:rsidR="006A4A8F">
          <w:rPr>
            <w:noProof/>
            <w:webHidden/>
          </w:rPr>
          <w:fldChar w:fldCharType="end"/>
        </w:r>
      </w:hyperlink>
    </w:p>
    <w:p w14:paraId="7918A723" w14:textId="77777777" w:rsidR="006A4A8F" w:rsidRDefault="00AF7BD0">
      <w:pPr>
        <w:pStyle w:val="Sisluet3"/>
        <w:rPr>
          <w:rFonts w:asciiTheme="minorHAnsi" w:eastAsiaTheme="minorEastAsia" w:hAnsiTheme="minorHAnsi" w:cstheme="minorBidi"/>
          <w:noProof/>
          <w:szCs w:val="22"/>
        </w:rPr>
      </w:pPr>
      <w:hyperlink w:anchor="_Toc119005719" w:history="1">
        <w:r w:rsidR="006A4A8F" w:rsidRPr="00F962FC">
          <w:rPr>
            <w:rStyle w:val="Hyperlinkki"/>
            <w:noProof/>
          </w:rPr>
          <w:t>3.2 Pääasialliset vaikutukset</w:t>
        </w:r>
        <w:r w:rsidR="006A4A8F">
          <w:rPr>
            <w:noProof/>
            <w:webHidden/>
          </w:rPr>
          <w:tab/>
        </w:r>
        <w:r w:rsidR="006A4A8F">
          <w:rPr>
            <w:noProof/>
            <w:webHidden/>
          </w:rPr>
          <w:fldChar w:fldCharType="begin"/>
        </w:r>
        <w:r w:rsidR="006A4A8F">
          <w:rPr>
            <w:noProof/>
            <w:webHidden/>
          </w:rPr>
          <w:instrText xml:space="preserve"> PAGEREF _Toc119005719 \h </w:instrText>
        </w:r>
        <w:r w:rsidR="006A4A8F">
          <w:rPr>
            <w:noProof/>
            <w:webHidden/>
          </w:rPr>
        </w:r>
        <w:r w:rsidR="006A4A8F">
          <w:rPr>
            <w:noProof/>
            <w:webHidden/>
          </w:rPr>
          <w:fldChar w:fldCharType="separate"/>
        </w:r>
        <w:r w:rsidR="006A4A8F">
          <w:rPr>
            <w:noProof/>
            <w:webHidden/>
          </w:rPr>
          <w:t>7</w:t>
        </w:r>
        <w:r w:rsidR="006A4A8F">
          <w:rPr>
            <w:noProof/>
            <w:webHidden/>
          </w:rPr>
          <w:fldChar w:fldCharType="end"/>
        </w:r>
      </w:hyperlink>
    </w:p>
    <w:p w14:paraId="41D0D05E" w14:textId="77777777" w:rsidR="006A4A8F" w:rsidRDefault="00AF7BD0">
      <w:pPr>
        <w:pStyle w:val="Sisluet3"/>
        <w:rPr>
          <w:rFonts w:asciiTheme="minorHAnsi" w:eastAsiaTheme="minorEastAsia" w:hAnsiTheme="minorHAnsi" w:cstheme="minorBidi"/>
          <w:noProof/>
          <w:szCs w:val="22"/>
        </w:rPr>
      </w:pPr>
      <w:hyperlink w:anchor="_Toc119005720" w:history="1">
        <w:r w:rsidR="006A4A8F" w:rsidRPr="00F962FC">
          <w:rPr>
            <w:rStyle w:val="Hyperlinkki"/>
            <w:noProof/>
          </w:rPr>
          <w:t>3.2.1 Taloudelliset vaikutukset</w:t>
        </w:r>
        <w:r w:rsidR="006A4A8F">
          <w:rPr>
            <w:noProof/>
            <w:webHidden/>
          </w:rPr>
          <w:tab/>
        </w:r>
        <w:r w:rsidR="006A4A8F">
          <w:rPr>
            <w:noProof/>
            <w:webHidden/>
          </w:rPr>
          <w:fldChar w:fldCharType="begin"/>
        </w:r>
        <w:r w:rsidR="006A4A8F">
          <w:rPr>
            <w:noProof/>
            <w:webHidden/>
          </w:rPr>
          <w:instrText xml:space="preserve"> PAGEREF _Toc119005720 \h </w:instrText>
        </w:r>
        <w:r w:rsidR="006A4A8F">
          <w:rPr>
            <w:noProof/>
            <w:webHidden/>
          </w:rPr>
        </w:r>
        <w:r w:rsidR="006A4A8F">
          <w:rPr>
            <w:noProof/>
            <w:webHidden/>
          </w:rPr>
          <w:fldChar w:fldCharType="separate"/>
        </w:r>
        <w:r w:rsidR="006A4A8F">
          <w:rPr>
            <w:noProof/>
            <w:webHidden/>
          </w:rPr>
          <w:t>7</w:t>
        </w:r>
        <w:r w:rsidR="006A4A8F">
          <w:rPr>
            <w:noProof/>
            <w:webHidden/>
          </w:rPr>
          <w:fldChar w:fldCharType="end"/>
        </w:r>
      </w:hyperlink>
    </w:p>
    <w:p w14:paraId="02D67A4C" w14:textId="77777777" w:rsidR="006A4A8F" w:rsidRDefault="00AF7BD0">
      <w:pPr>
        <w:pStyle w:val="Sisluet3"/>
        <w:rPr>
          <w:rFonts w:asciiTheme="minorHAnsi" w:eastAsiaTheme="minorEastAsia" w:hAnsiTheme="minorHAnsi" w:cstheme="minorBidi"/>
          <w:noProof/>
          <w:szCs w:val="22"/>
        </w:rPr>
      </w:pPr>
      <w:hyperlink w:anchor="_Toc119005721" w:history="1">
        <w:r w:rsidR="006A4A8F" w:rsidRPr="00F962FC">
          <w:rPr>
            <w:rStyle w:val="Hyperlinkki"/>
            <w:noProof/>
          </w:rPr>
          <w:t>3.2.2 Työllisyysvaikutukset</w:t>
        </w:r>
        <w:r w:rsidR="006A4A8F">
          <w:rPr>
            <w:noProof/>
            <w:webHidden/>
          </w:rPr>
          <w:tab/>
        </w:r>
        <w:r w:rsidR="006A4A8F">
          <w:rPr>
            <w:noProof/>
            <w:webHidden/>
          </w:rPr>
          <w:fldChar w:fldCharType="begin"/>
        </w:r>
        <w:r w:rsidR="006A4A8F">
          <w:rPr>
            <w:noProof/>
            <w:webHidden/>
          </w:rPr>
          <w:instrText xml:space="preserve"> PAGEREF _Toc119005721 \h </w:instrText>
        </w:r>
        <w:r w:rsidR="006A4A8F">
          <w:rPr>
            <w:noProof/>
            <w:webHidden/>
          </w:rPr>
        </w:r>
        <w:r w:rsidR="006A4A8F">
          <w:rPr>
            <w:noProof/>
            <w:webHidden/>
          </w:rPr>
          <w:fldChar w:fldCharType="separate"/>
        </w:r>
        <w:r w:rsidR="006A4A8F">
          <w:rPr>
            <w:noProof/>
            <w:webHidden/>
          </w:rPr>
          <w:t>13</w:t>
        </w:r>
        <w:r w:rsidR="006A4A8F">
          <w:rPr>
            <w:noProof/>
            <w:webHidden/>
          </w:rPr>
          <w:fldChar w:fldCharType="end"/>
        </w:r>
      </w:hyperlink>
    </w:p>
    <w:p w14:paraId="791E6868" w14:textId="77777777" w:rsidR="006A4A8F" w:rsidRDefault="00AF7BD0">
      <w:pPr>
        <w:pStyle w:val="Sisluet3"/>
        <w:rPr>
          <w:rFonts w:asciiTheme="minorHAnsi" w:eastAsiaTheme="minorEastAsia" w:hAnsiTheme="minorHAnsi" w:cstheme="minorBidi"/>
          <w:noProof/>
          <w:szCs w:val="22"/>
        </w:rPr>
      </w:pPr>
      <w:hyperlink w:anchor="_Toc119005722" w:history="1">
        <w:r w:rsidR="006A4A8F" w:rsidRPr="00F962FC">
          <w:rPr>
            <w:rStyle w:val="Hyperlinkki"/>
            <w:noProof/>
          </w:rPr>
          <w:t>3.2.3 Yritysvaikutukset</w:t>
        </w:r>
        <w:r w:rsidR="006A4A8F">
          <w:rPr>
            <w:noProof/>
            <w:webHidden/>
          </w:rPr>
          <w:tab/>
        </w:r>
        <w:r w:rsidR="006A4A8F">
          <w:rPr>
            <w:noProof/>
            <w:webHidden/>
          </w:rPr>
          <w:fldChar w:fldCharType="begin"/>
        </w:r>
        <w:r w:rsidR="006A4A8F">
          <w:rPr>
            <w:noProof/>
            <w:webHidden/>
          </w:rPr>
          <w:instrText xml:space="preserve"> PAGEREF _Toc119005722 \h </w:instrText>
        </w:r>
        <w:r w:rsidR="006A4A8F">
          <w:rPr>
            <w:noProof/>
            <w:webHidden/>
          </w:rPr>
        </w:r>
        <w:r w:rsidR="006A4A8F">
          <w:rPr>
            <w:noProof/>
            <w:webHidden/>
          </w:rPr>
          <w:fldChar w:fldCharType="separate"/>
        </w:r>
        <w:r w:rsidR="006A4A8F">
          <w:rPr>
            <w:noProof/>
            <w:webHidden/>
          </w:rPr>
          <w:t>16</w:t>
        </w:r>
        <w:r w:rsidR="006A4A8F">
          <w:rPr>
            <w:noProof/>
            <w:webHidden/>
          </w:rPr>
          <w:fldChar w:fldCharType="end"/>
        </w:r>
      </w:hyperlink>
    </w:p>
    <w:p w14:paraId="1E9863D5" w14:textId="77777777" w:rsidR="006A4A8F" w:rsidRDefault="00AF7BD0">
      <w:pPr>
        <w:pStyle w:val="Sisluet3"/>
        <w:rPr>
          <w:rFonts w:asciiTheme="minorHAnsi" w:eastAsiaTheme="minorEastAsia" w:hAnsiTheme="minorHAnsi" w:cstheme="minorBidi"/>
          <w:noProof/>
          <w:szCs w:val="22"/>
        </w:rPr>
      </w:pPr>
      <w:hyperlink w:anchor="_Toc119005723" w:history="1">
        <w:r w:rsidR="006A4A8F" w:rsidRPr="00F962FC">
          <w:rPr>
            <w:rStyle w:val="Hyperlinkki"/>
            <w:noProof/>
          </w:rPr>
          <w:t>3.2.4 Vaikutukset viranomaisten toimintaan</w:t>
        </w:r>
        <w:r w:rsidR="006A4A8F">
          <w:rPr>
            <w:noProof/>
            <w:webHidden/>
          </w:rPr>
          <w:tab/>
        </w:r>
        <w:r w:rsidR="006A4A8F">
          <w:rPr>
            <w:noProof/>
            <w:webHidden/>
          </w:rPr>
          <w:fldChar w:fldCharType="begin"/>
        </w:r>
        <w:r w:rsidR="006A4A8F">
          <w:rPr>
            <w:noProof/>
            <w:webHidden/>
          </w:rPr>
          <w:instrText xml:space="preserve"> PAGEREF _Toc119005723 \h </w:instrText>
        </w:r>
        <w:r w:rsidR="006A4A8F">
          <w:rPr>
            <w:noProof/>
            <w:webHidden/>
          </w:rPr>
        </w:r>
        <w:r w:rsidR="006A4A8F">
          <w:rPr>
            <w:noProof/>
            <w:webHidden/>
          </w:rPr>
          <w:fldChar w:fldCharType="separate"/>
        </w:r>
        <w:r w:rsidR="006A4A8F">
          <w:rPr>
            <w:noProof/>
            <w:webHidden/>
          </w:rPr>
          <w:t>16</w:t>
        </w:r>
        <w:r w:rsidR="006A4A8F">
          <w:rPr>
            <w:noProof/>
            <w:webHidden/>
          </w:rPr>
          <w:fldChar w:fldCharType="end"/>
        </w:r>
      </w:hyperlink>
    </w:p>
    <w:p w14:paraId="573AAB22" w14:textId="77777777" w:rsidR="006A4A8F" w:rsidRDefault="00AF7BD0">
      <w:pPr>
        <w:pStyle w:val="Sisluet3"/>
        <w:rPr>
          <w:rFonts w:asciiTheme="minorHAnsi" w:eastAsiaTheme="minorEastAsia" w:hAnsiTheme="minorHAnsi" w:cstheme="minorBidi"/>
          <w:noProof/>
          <w:szCs w:val="22"/>
        </w:rPr>
      </w:pPr>
      <w:hyperlink w:anchor="_Toc119005724" w:history="1">
        <w:r w:rsidR="006A4A8F" w:rsidRPr="00F962FC">
          <w:rPr>
            <w:rStyle w:val="Hyperlinkki"/>
            <w:noProof/>
          </w:rPr>
          <w:t>3.2.5 Muut yhteiskunnalliset vaikutukset</w:t>
        </w:r>
        <w:r w:rsidR="006A4A8F">
          <w:rPr>
            <w:noProof/>
            <w:webHidden/>
          </w:rPr>
          <w:tab/>
        </w:r>
        <w:r w:rsidR="006A4A8F">
          <w:rPr>
            <w:noProof/>
            <w:webHidden/>
          </w:rPr>
          <w:fldChar w:fldCharType="begin"/>
        </w:r>
        <w:r w:rsidR="006A4A8F">
          <w:rPr>
            <w:noProof/>
            <w:webHidden/>
          </w:rPr>
          <w:instrText xml:space="preserve"> PAGEREF _Toc119005724 \h </w:instrText>
        </w:r>
        <w:r w:rsidR="006A4A8F">
          <w:rPr>
            <w:noProof/>
            <w:webHidden/>
          </w:rPr>
        </w:r>
        <w:r w:rsidR="006A4A8F">
          <w:rPr>
            <w:noProof/>
            <w:webHidden/>
          </w:rPr>
          <w:fldChar w:fldCharType="separate"/>
        </w:r>
        <w:r w:rsidR="006A4A8F">
          <w:rPr>
            <w:noProof/>
            <w:webHidden/>
          </w:rPr>
          <w:t>17</w:t>
        </w:r>
        <w:r w:rsidR="006A4A8F">
          <w:rPr>
            <w:noProof/>
            <w:webHidden/>
          </w:rPr>
          <w:fldChar w:fldCharType="end"/>
        </w:r>
      </w:hyperlink>
    </w:p>
    <w:p w14:paraId="00C41F82" w14:textId="77777777" w:rsidR="006A4A8F" w:rsidRDefault="00AF7BD0">
      <w:pPr>
        <w:pStyle w:val="Sisluet2"/>
        <w:rPr>
          <w:rFonts w:asciiTheme="minorHAnsi" w:eastAsiaTheme="minorEastAsia" w:hAnsiTheme="minorHAnsi" w:cstheme="minorBidi"/>
          <w:szCs w:val="22"/>
        </w:rPr>
      </w:pPr>
      <w:hyperlink w:anchor="_Toc119005725" w:history="1">
        <w:r w:rsidR="006A4A8F" w:rsidRPr="00F962FC">
          <w:rPr>
            <w:rStyle w:val="Hyperlinkki"/>
          </w:rPr>
          <w:t>4 Muut toteuttamisvaihtoehdot</w:t>
        </w:r>
        <w:r w:rsidR="006A4A8F">
          <w:rPr>
            <w:webHidden/>
          </w:rPr>
          <w:tab/>
        </w:r>
        <w:r w:rsidR="006A4A8F">
          <w:rPr>
            <w:webHidden/>
          </w:rPr>
          <w:fldChar w:fldCharType="begin"/>
        </w:r>
        <w:r w:rsidR="006A4A8F">
          <w:rPr>
            <w:webHidden/>
          </w:rPr>
          <w:instrText xml:space="preserve"> PAGEREF _Toc119005725 \h </w:instrText>
        </w:r>
        <w:r w:rsidR="006A4A8F">
          <w:rPr>
            <w:webHidden/>
          </w:rPr>
        </w:r>
        <w:r w:rsidR="006A4A8F">
          <w:rPr>
            <w:webHidden/>
          </w:rPr>
          <w:fldChar w:fldCharType="separate"/>
        </w:r>
        <w:r w:rsidR="006A4A8F">
          <w:rPr>
            <w:webHidden/>
          </w:rPr>
          <w:t>18</w:t>
        </w:r>
        <w:r w:rsidR="006A4A8F">
          <w:rPr>
            <w:webHidden/>
          </w:rPr>
          <w:fldChar w:fldCharType="end"/>
        </w:r>
      </w:hyperlink>
    </w:p>
    <w:p w14:paraId="7EF95DC5" w14:textId="77777777" w:rsidR="006A4A8F" w:rsidRDefault="00AF7BD0">
      <w:pPr>
        <w:pStyle w:val="Sisluet2"/>
        <w:rPr>
          <w:rFonts w:asciiTheme="minorHAnsi" w:eastAsiaTheme="minorEastAsia" w:hAnsiTheme="minorHAnsi" w:cstheme="minorBidi"/>
          <w:szCs w:val="22"/>
        </w:rPr>
      </w:pPr>
      <w:hyperlink w:anchor="_Toc119005726" w:history="1">
        <w:r w:rsidR="006A4A8F" w:rsidRPr="00F962FC">
          <w:rPr>
            <w:rStyle w:val="Hyperlinkki"/>
          </w:rPr>
          <w:t>5 Lausuntopalaute</w:t>
        </w:r>
        <w:r w:rsidR="006A4A8F">
          <w:rPr>
            <w:webHidden/>
          </w:rPr>
          <w:tab/>
        </w:r>
        <w:r w:rsidR="006A4A8F">
          <w:rPr>
            <w:webHidden/>
          </w:rPr>
          <w:fldChar w:fldCharType="begin"/>
        </w:r>
        <w:r w:rsidR="006A4A8F">
          <w:rPr>
            <w:webHidden/>
          </w:rPr>
          <w:instrText xml:space="preserve"> PAGEREF _Toc119005726 \h </w:instrText>
        </w:r>
        <w:r w:rsidR="006A4A8F">
          <w:rPr>
            <w:webHidden/>
          </w:rPr>
        </w:r>
        <w:r w:rsidR="006A4A8F">
          <w:rPr>
            <w:webHidden/>
          </w:rPr>
          <w:fldChar w:fldCharType="separate"/>
        </w:r>
        <w:r w:rsidR="006A4A8F">
          <w:rPr>
            <w:webHidden/>
          </w:rPr>
          <w:t>19</w:t>
        </w:r>
        <w:r w:rsidR="006A4A8F">
          <w:rPr>
            <w:webHidden/>
          </w:rPr>
          <w:fldChar w:fldCharType="end"/>
        </w:r>
      </w:hyperlink>
    </w:p>
    <w:p w14:paraId="3F8F3A77" w14:textId="77777777" w:rsidR="006A4A8F" w:rsidRDefault="00AF7BD0">
      <w:pPr>
        <w:pStyle w:val="Sisluet2"/>
        <w:rPr>
          <w:rFonts w:asciiTheme="minorHAnsi" w:eastAsiaTheme="minorEastAsia" w:hAnsiTheme="minorHAnsi" w:cstheme="minorBidi"/>
          <w:szCs w:val="22"/>
        </w:rPr>
      </w:pPr>
      <w:hyperlink w:anchor="_Toc119005727" w:history="1">
        <w:r w:rsidR="006A4A8F" w:rsidRPr="00F962FC">
          <w:rPr>
            <w:rStyle w:val="Hyperlinkki"/>
          </w:rPr>
          <w:t>6 Voimaantulo</w:t>
        </w:r>
        <w:r w:rsidR="006A4A8F">
          <w:rPr>
            <w:webHidden/>
          </w:rPr>
          <w:tab/>
        </w:r>
        <w:r w:rsidR="006A4A8F">
          <w:rPr>
            <w:webHidden/>
          </w:rPr>
          <w:fldChar w:fldCharType="begin"/>
        </w:r>
        <w:r w:rsidR="006A4A8F">
          <w:rPr>
            <w:webHidden/>
          </w:rPr>
          <w:instrText xml:space="preserve"> PAGEREF _Toc119005727 \h </w:instrText>
        </w:r>
        <w:r w:rsidR="006A4A8F">
          <w:rPr>
            <w:webHidden/>
          </w:rPr>
        </w:r>
        <w:r w:rsidR="006A4A8F">
          <w:rPr>
            <w:webHidden/>
          </w:rPr>
          <w:fldChar w:fldCharType="separate"/>
        </w:r>
        <w:r w:rsidR="006A4A8F">
          <w:rPr>
            <w:webHidden/>
          </w:rPr>
          <w:t>20</w:t>
        </w:r>
        <w:r w:rsidR="006A4A8F">
          <w:rPr>
            <w:webHidden/>
          </w:rPr>
          <w:fldChar w:fldCharType="end"/>
        </w:r>
      </w:hyperlink>
    </w:p>
    <w:p w14:paraId="74C2BBD2" w14:textId="77777777" w:rsidR="006A4A8F" w:rsidRDefault="00AF7BD0">
      <w:pPr>
        <w:pStyle w:val="Sisluet2"/>
        <w:rPr>
          <w:rFonts w:asciiTheme="minorHAnsi" w:eastAsiaTheme="minorEastAsia" w:hAnsiTheme="minorHAnsi" w:cstheme="minorBidi"/>
          <w:szCs w:val="22"/>
        </w:rPr>
      </w:pPr>
      <w:hyperlink w:anchor="_Toc119005728" w:history="1">
        <w:r w:rsidR="006A4A8F" w:rsidRPr="00F962FC">
          <w:rPr>
            <w:rStyle w:val="Hyperlinkki"/>
          </w:rPr>
          <w:t>7 Toimeenpano ja seuranta</w:t>
        </w:r>
        <w:r w:rsidR="006A4A8F">
          <w:rPr>
            <w:webHidden/>
          </w:rPr>
          <w:tab/>
        </w:r>
        <w:r w:rsidR="006A4A8F">
          <w:rPr>
            <w:webHidden/>
          </w:rPr>
          <w:fldChar w:fldCharType="begin"/>
        </w:r>
        <w:r w:rsidR="006A4A8F">
          <w:rPr>
            <w:webHidden/>
          </w:rPr>
          <w:instrText xml:space="preserve"> PAGEREF _Toc119005728 \h </w:instrText>
        </w:r>
        <w:r w:rsidR="006A4A8F">
          <w:rPr>
            <w:webHidden/>
          </w:rPr>
        </w:r>
        <w:r w:rsidR="006A4A8F">
          <w:rPr>
            <w:webHidden/>
          </w:rPr>
          <w:fldChar w:fldCharType="separate"/>
        </w:r>
        <w:r w:rsidR="006A4A8F">
          <w:rPr>
            <w:webHidden/>
          </w:rPr>
          <w:t>20</w:t>
        </w:r>
        <w:r w:rsidR="006A4A8F">
          <w:rPr>
            <w:webHidden/>
          </w:rPr>
          <w:fldChar w:fldCharType="end"/>
        </w:r>
      </w:hyperlink>
    </w:p>
    <w:p w14:paraId="6DAC6A43" w14:textId="77777777" w:rsidR="006A4A8F" w:rsidRDefault="00AF7BD0">
      <w:pPr>
        <w:pStyle w:val="Sisluet2"/>
        <w:rPr>
          <w:rFonts w:asciiTheme="minorHAnsi" w:eastAsiaTheme="minorEastAsia" w:hAnsiTheme="minorHAnsi" w:cstheme="minorBidi"/>
          <w:szCs w:val="22"/>
        </w:rPr>
      </w:pPr>
      <w:hyperlink w:anchor="_Toc119005729" w:history="1">
        <w:r w:rsidR="006A4A8F" w:rsidRPr="00F962FC">
          <w:rPr>
            <w:rStyle w:val="Hyperlinkki"/>
          </w:rPr>
          <w:t>8 Suhde talousarvioesitykseen</w:t>
        </w:r>
        <w:r w:rsidR="006A4A8F">
          <w:rPr>
            <w:webHidden/>
          </w:rPr>
          <w:tab/>
        </w:r>
        <w:r w:rsidR="006A4A8F">
          <w:rPr>
            <w:webHidden/>
          </w:rPr>
          <w:fldChar w:fldCharType="begin"/>
        </w:r>
        <w:r w:rsidR="006A4A8F">
          <w:rPr>
            <w:webHidden/>
          </w:rPr>
          <w:instrText xml:space="preserve"> PAGEREF _Toc119005729 \h </w:instrText>
        </w:r>
        <w:r w:rsidR="006A4A8F">
          <w:rPr>
            <w:webHidden/>
          </w:rPr>
        </w:r>
        <w:r w:rsidR="006A4A8F">
          <w:rPr>
            <w:webHidden/>
          </w:rPr>
          <w:fldChar w:fldCharType="separate"/>
        </w:r>
        <w:r w:rsidR="006A4A8F">
          <w:rPr>
            <w:webHidden/>
          </w:rPr>
          <w:t>21</w:t>
        </w:r>
        <w:r w:rsidR="006A4A8F">
          <w:rPr>
            <w:webHidden/>
          </w:rPr>
          <w:fldChar w:fldCharType="end"/>
        </w:r>
      </w:hyperlink>
    </w:p>
    <w:p w14:paraId="0A7579AA" w14:textId="77777777" w:rsidR="006A4A8F" w:rsidRDefault="00AF7BD0">
      <w:pPr>
        <w:pStyle w:val="Sisluet2"/>
        <w:rPr>
          <w:rFonts w:asciiTheme="minorHAnsi" w:eastAsiaTheme="minorEastAsia" w:hAnsiTheme="minorHAnsi" w:cstheme="minorBidi"/>
          <w:szCs w:val="22"/>
        </w:rPr>
      </w:pPr>
      <w:hyperlink w:anchor="_Toc119005730" w:history="1">
        <w:r w:rsidR="006A4A8F" w:rsidRPr="00F962FC">
          <w:rPr>
            <w:rStyle w:val="Hyperlinkki"/>
          </w:rPr>
          <w:t>9 Suhde perustuslakiin ja säätämisjärjestys</w:t>
        </w:r>
        <w:r w:rsidR="006A4A8F">
          <w:rPr>
            <w:webHidden/>
          </w:rPr>
          <w:tab/>
        </w:r>
        <w:r w:rsidR="006A4A8F">
          <w:rPr>
            <w:webHidden/>
          </w:rPr>
          <w:fldChar w:fldCharType="begin"/>
        </w:r>
        <w:r w:rsidR="006A4A8F">
          <w:rPr>
            <w:webHidden/>
          </w:rPr>
          <w:instrText xml:space="preserve"> PAGEREF _Toc119005730 \h </w:instrText>
        </w:r>
        <w:r w:rsidR="006A4A8F">
          <w:rPr>
            <w:webHidden/>
          </w:rPr>
        </w:r>
        <w:r w:rsidR="006A4A8F">
          <w:rPr>
            <w:webHidden/>
          </w:rPr>
          <w:fldChar w:fldCharType="separate"/>
        </w:r>
        <w:r w:rsidR="006A4A8F">
          <w:rPr>
            <w:webHidden/>
          </w:rPr>
          <w:t>21</w:t>
        </w:r>
        <w:r w:rsidR="006A4A8F">
          <w:rPr>
            <w:webHidden/>
          </w:rPr>
          <w:fldChar w:fldCharType="end"/>
        </w:r>
      </w:hyperlink>
    </w:p>
    <w:p w14:paraId="57C922D5" w14:textId="77777777" w:rsidR="006A4A8F" w:rsidRDefault="00AF7BD0">
      <w:pPr>
        <w:pStyle w:val="Sisluet1"/>
        <w:rPr>
          <w:rFonts w:asciiTheme="minorHAnsi" w:eastAsiaTheme="minorEastAsia" w:hAnsiTheme="minorHAnsi" w:cstheme="minorBidi"/>
          <w:bCs w:val="0"/>
          <w:caps w:val="0"/>
          <w:noProof/>
          <w:szCs w:val="22"/>
        </w:rPr>
      </w:pPr>
      <w:hyperlink w:anchor="_Toc119005731" w:history="1">
        <w:r w:rsidR="006A4A8F" w:rsidRPr="00F962FC">
          <w:rPr>
            <w:rStyle w:val="Hyperlinkki"/>
            <w:noProof/>
          </w:rPr>
          <w:t>Lakiehdotus</w:t>
        </w:r>
        <w:r w:rsidR="006A4A8F">
          <w:rPr>
            <w:noProof/>
            <w:webHidden/>
          </w:rPr>
          <w:tab/>
        </w:r>
        <w:r w:rsidR="006A4A8F">
          <w:rPr>
            <w:noProof/>
            <w:webHidden/>
          </w:rPr>
          <w:fldChar w:fldCharType="begin"/>
        </w:r>
        <w:r w:rsidR="006A4A8F">
          <w:rPr>
            <w:noProof/>
            <w:webHidden/>
          </w:rPr>
          <w:instrText xml:space="preserve"> PAGEREF _Toc119005731 \h </w:instrText>
        </w:r>
        <w:r w:rsidR="006A4A8F">
          <w:rPr>
            <w:noProof/>
            <w:webHidden/>
          </w:rPr>
        </w:r>
        <w:r w:rsidR="006A4A8F">
          <w:rPr>
            <w:noProof/>
            <w:webHidden/>
          </w:rPr>
          <w:fldChar w:fldCharType="separate"/>
        </w:r>
        <w:r w:rsidR="006A4A8F">
          <w:rPr>
            <w:noProof/>
            <w:webHidden/>
          </w:rPr>
          <w:t>24</w:t>
        </w:r>
        <w:r w:rsidR="006A4A8F">
          <w:rPr>
            <w:noProof/>
            <w:webHidden/>
          </w:rPr>
          <w:fldChar w:fldCharType="end"/>
        </w:r>
      </w:hyperlink>
    </w:p>
    <w:p w14:paraId="5A4A286F" w14:textId="77777777" w:rsidR="006A4A8F" w:rsidRDefault="00AF7BD0">
      <w:pPr>
        <w:pStyle w:val="Sisluet3"/>
        <w:rPr>
          <w:rFonts w:asciiTheme="minorHAnsi" w:eastAsiaTheme="minorEastAsia" w:hAnsiTheme="minorHAnsi" w:cstheme="minorBidi"/>
          <w:noProof/>
          <w:szCs w:val="22"/>
        </w:rPr>
      </w:pPr>
      <w:hyperlink w:anchor="_Toc119005732" w:history="1">
        <w:r w:rsidR="006A4A8F" w:rsidRPr="00F962FC">
          <w:rPr>
            <w:rStyle w:val="Hyperlinkki"/>
            <w:noProof/>
          </w:rPr>
          <w:t>ikääntyneen väestön toimintakyvyn tukemisesta sekä iäkkäiden sosiaali- ja terveyspalveluista annetun lain muuttamisesta annetun lain voimaantulosäännöksen muuttamisesta</w:t>
        </w:r>
        <w:r w:rsidR="006A4A8F">
          <w:rPr>
            <w:noProof/>
            <w:webHidden/>
          </w:rPr>
          <w:tab/>
        </w:r>
        <w:r w:rsidR="006A4A8F">
          <w:rPr>
            <w:noProof/>
            <w:webHidden/>
          </w:rPr>
          <w:fldChar w:fldCharType="begin"/>
        </w:r>
        <w:r w:rsidR="006A4A8F">
          <w:rPr>
            <w:noProof/>
            <w:webHidden/>
          </w:rPr>
          <w:instrText xml:space="preserve"> PAGEREF _Toc119005732 \h </w:instrText>
        </w:r>
        <w:r w:rsidR="006A4A8F">
          <w:rPr>
            <w:noProof/>
            <w:webHidden/>
          </w:rPr>
        </w:r>
        <w:r w:rsidR="006A4A8F">
          <w:rPr>
            <w:noProof/>
            <w:webHidden/>
          </w:rPr>
          <w:fldChar w:fldCharType="separate"/>
        </w:r>
        <w:r w:rsidR="006A4A8F">
          <w:rPr>
            <w:noProof/>
            <w:webHidden/>
          </w:rPr>
          <w:t>24</w:t>
        </w:r>
        <w:r w:rsidR="006A4A8F">
          <w:rPr>
            <w:noProof/>
            <w:webHidden/>
          </w:rPr>
          <w:fldChar w:fldCharType="end"/>
        </w:r>
      </w:hyperlink>
    </w:p>
    <w:p w14:paraId="69FE091B" w14:textId="77777777" w:rsidR="006A4A8F" w:rsidRDefault="00AF7BD0">
      <w:pPr>
        <w:pStyle w:val="Sisluet1"/>
        <w:rPr>
          <w:rFonts w:asciiTheme="minorHAnsi" w:eastAsiaTheme="minorEastAsia" w:hAnsiTheme="minorHAnsi" w:cstheme="minorBidi"/>
          <w:bCs w:val="0"/>
          <w:caps w:val="0"/>
          <w:noProof/>
          <w:szCs w:val="22"/>
        </w:rPr>
      </w:pPr>
      <w:hyperlink w:anchor="_Toc119005733" w:history="1">
        <w:r w:rsidR="006A4A8F" w:rsidRPr="00F962FC">
          <w:rPr>
            <w:rStyle w:val="Hyperlinkki"/>
            <w:noProof/>
          </w:rPr>
          <w:t>Liite</w:t>
        </w:r>
        <w:r w:rsidR="006A4A8F">
          <w:rPr>
            <w:noProof/>
            <w:webHidden/>
          </w:rPr>
          <w:tab/>
        </w:r>
        <w:r w:rsidR="006A4A8F">
          <w:rPr>
            <w:noProof/>
            <w:webHidden/>
          </w:rPr>
          <w:fldChar w:fldCharType="begin"/>
        </w:r>
        <w:r w:rsidR="006A4A8F">
          <w:rPr>
            <w:noProof/>
            <w:webHidden/>
          </w:rPr>
          <w:instrText xml:space="preserve"> PAGEREF _Toc119005733 \h </w:instrText>
        </w:r>
        <w:r w:rsidR="006A4A8F">
          <w:rPr>
            <w:noProof/>
            <w:webHidden/>
          </w:rPr>
        </w:r>
        <w:r w:rsidR="006A4A8F">
          <w:rPr>
            <w:noProof/>
            <w:webHidden/>
          </w:rPr>
          <w:fldChar w:fldCharType="separate"/>
        </w:r>
        <w:r w:rsidR="006A4A8F">
          <w:rPr>
            <w:noProof/>
            <w:webHidden/>
          </w:rPr>
          <w:t>25</w:t>
        </w:r>
        <w:r w:rsidR="006A4A8F">
          <w:rPr>
            <w:noProof/>
            <w:webHidden/>
          </w:rPr>
          <w:fldChar w:fldCharType="end"/>
        </w:r>
      </w:hyperlink>
    </w:p>
    <w:p w14:paraId="51B04865" w14:textId="77777777" w:rsidR="006A4A8F" w:rsidRDefault="00AF7BD0">
      <w:pPr>
        <w:pStyle w:val="Sisluet1"/>
        <w:rPr>
          <w:rFonts w:asciiTheme="minorHAnsi" w:eastAsiaTheme="minorEastAsia" w:hAnsiTheme="minorHAnsi" w:cstheme="minorBidi"/>
          <w:bCs w:val="0"/>
          <w:caps w:val="0"/>
          <w:noProof/>
          <w:szCs w:val="22"/>
        </w:rPr>
      </w:pPr>
      <w:hyperlink w:anchor="_Toc119005734" w:history="1">
        <w:r w:rsidR="006A4A8F" w:rsidRPr="00F962FC">
          <w:rPr>
            <w:rStyle w:val="Hyperlinkki"/>
            <w:noProof/>
            <w:lang w:val="en-US"/>
          </w:rPr>
          <w:t>Rinnakkaisteksti</w:t>
        </w:r>
        <w:r w:rsidR="006A4A8F">
          <w:rPr>
            <w:noProof/>
            <w:webHidden/>
          </w:rPr>
          <w:tab/>
        </w:r>
        <w:r w:rsidR="006A4A8F">
          <w:rPr>
            <w:noProof/>
            <w:webHidden/>
          </w:rPr>
          <w:fldChar w:fldCharType="begin"/>
        </w:r>
        <w:r w:rsidR="006A4A8F">
          <w:rPr>
            <w:noProof/>
            <w:webHidden/>
          </w:rPr>
          <w:instrText xml:space="preserve"> PAGEREF _Toc119005734 \h </w:instrText>
        </w:r>
        <w:r w:rsidR="006A4A8F">
          <w:rPr>
            <w:noProof/>
            <w:webHidden/>
          </w:rPr>
        </w:r>
        <w:r w:rsidR="006A4A8F">
          <w:rPr>
            <w:noProof/>
            <w:webHidden/>
          </w:rPr>
          <w:fldChar w:fldCharType="separate"/>
        </w:r>
        <w:r w:rsidR="006A4A8F">
          <w:rPr>
            <w:noProof/>
            <w:webHidden/>
          </w:rPr>
          <w:t>25</w:t>
        </w:r>
        <w:r w:rsidR="006A4A8F">
          <w:rPr>
            <w:noProof/>
            <w:webHidden/>
          </w:rPr>
          <w:fldChar w:fldCharType="end"/>
        </w:r>
      </w:hyperlink>
    </w:p>
    <w:p w14:paraId="72D620A2" w14:textId="77777777" w:rsidR="006A4A8F" w:rsidRDefault="00AF7BD0">
      <w:pPr>
        <w:pStyle w:val="Sisluet3"/>
        <w:rPr>
          <w:rFonts w:asciiTheme="minorHAnsi" w:eastAsiaTheme="minorEastAsia" w:hAnsiTheme="minorHAnsi" w:cstheme="minorBidi"/>
          <w:noProof/>
          <w:szCs w:val="22"/>
        </w:rPr>
      </w:pPr>
      <w:hyperlink w:anchor="_Toc119005735" w:history="1">
        <w:r w:rsidR="006A4A8F" w:rsidRPr="00F962FC">
          <w:rPr>
            <w:rStyle w:val="Hyperlinkki"/>
            <w:noProof/>
          </w:rPr>
          <w:t>ikääntyneen väestön toimintakyvyn tukemisesta sekä iäkkäiden sosiaali- ja terveyspalveluista annetun lain muuttamisesta annetun lain voimaantulosäännöksen muuttamisesta</w:t>
        </w:r>
        <w:r w:rsidR="006A4A8F">
          <w:rPr>
            <w:noProof/>
            <w:webHidden/>
          </w:rPr>
          <w:tab/>
        </w:r>
        <w:r w:rsidR="006A4A8F">
          <w:rPr>
            <w:noProof/>
            <w:webHidden/>
          </w:rPr>
          <w:fldChar w:fldCharType="begin"/>
        </w:r>
        <w:r w:rsidR="006A4A8F">
          <w:rPr>
            <w:noProof/>
            <w:webHidden/>
          </w:rPr>
          <w:instrText xml:space="preserve"> PAGEREF _Toc119005735 \h </w:instrText>
        </w:r>
        <w:r w:rsidR="006A4A8F">
          <w:rPr>
            <w:noProof/>
            <w:webHidden/>
          </w:rPr>
        </w:r>
        <w:r w:rsidR="006A4A8F">
          <w:rPr>
            <w:noProof/>
            <w:webHidden/>
          </w:rPr>
          <w:fldChar w:fldCharType="separate"/>
        </w:r>
        <w:r w:rsidR="006A4A8F">
          <w:rPr>
            <w:noProof/>
            <w:webHidden/>
          </w:rPr>
          <w:t>25</w:t>
        </w:r>
        <w:r w:rsidR="006A4A8F">
          <w:rPr>
            <w:noProof/>
            <w:webHidden/>
          </w:rPr>
          <w:fldChar w:fldCharType="end"/>
        </w:r>
      </w:hyperlink>
    </w:p>
    <w:p w14:paraId="1BAECDCE" w14:textId="77777777" w:rsidR="00A17195" w:rsidRPr="00A17195" w:rsidRDefault="00095BC2" w:rsidP="00A17195">
      <w:r>
        <w:rPr>
          <w:rFonts w:eastAsia="Times New Roman"/>
          <w:bCs/>
          <w:caps/>
          <w:szCs w:val="20"/>
          <w:lang w:eastAsia="fi-FI"/>
        </w:rPr>
        <w:fldChar w:fldCharType="end"/>
      </w:r>
    </w:p>
    <w:p w14:paraId="1C1A217E" w14:textId="77777777" w:rsidR="006E6F46" w:rsidRDefault="005A0584" w:rsidP="00EB0A9A">
      <w:pPr>
        <w:pStyle w:val="LLNormaali"/>
      </w:pPr>
      <w:r>
        <w:br w:type="page"/>
      </w:r>
    </w:p>
    <w:bookmarkStart w:id="4" w:name="_Toc118796203" w:displacedByCustomXml="next"/>
    <w:bookmarkStart w:id="5" w:name="_Toc118814257" w:displacedByCustomXml="next"/>
    <w:bookmarkStart w:id="6" w:name="_Toc119005712" w:displacedByCustomXml="next"/>
    <w:sdt>
      <w:sdtPr>
        <w:rPr>
          <w:rFonts w:eastAsia="Calibri"/>
          <w:b w:val="0"/>
          <w:caps w:val="0"/>
          <w:sz w:val="22"/>
          <w:szCs w:val="22"/>
          <w:lang w:eastAsia="en-US"/>
        </w:rPr>
        <w:alias w:val="Perustelut"/>
        <w:tag w:val="CCPerustelut"/>
        <w:id w:val="2058971695"/>
        <w:lock w:val="sdtLocked"/>
        <w:placeholder>
          <w:docPart w:val="B3D7273523C840668E5123DCD0D2B8F7"/>
        </w:placeholder>
        <w15:color w:val="33CCCC"/>
      </w:sdtPr>
      <w:sdtEndPr>
        <w:rPr>
          <w:rFonts w:eastAsia="Times New Roman"/>
          <w:szCs w:val="24"/>
          <w:lang w:eastAsia="fi-FI"/>
        </w:rPr>
      </w:sdtEndPr>
      <w:sdtContent>
        <w:p w14:paraId="3183A775" w14:textId="77777777" w:rsidR="008414FE" w:rsidRDefault="004D2778" w:rsidP="008414FE">
          <w:pPr>
            <w:pStyle w:val="LLperustelut"/>
          </w:pPr>
          <w:r>
            <w:t>PERUSTELUT</w:t>
          </w:r>
          <w:bookmarkEnd w:id="6"/>
          <w:bookmarkEnd w:id="5"/>
          <w:bookmarkEnd w:id="4"/>
        </w:p>
        <w:p w14:paraId="22BBEE53" w14:textId="77777777" w:rsidR="0075180F" w:rsidRDefault="0075180F" w:rsidP="0075180F">
          <w:pPr>
            <w:pStyle w:val="LLP1Otsikkotaso"/>
          </w:pPr>
          <w:bookmarkStart w:id="7" w:name="_Toc118796204"/>
          <w:bookmarkStart w:id="8" w:name="_Toc118814258"/>
          <w:bookmarkStart w:id="9" w:name="_Toc119005713"/>
          <w:r>
            <w:t>Asian tausta ja valmistelu</w:t>
          </w:r>
          <w:bookmarkEnd w:id="7"/>
          <w:bookmarkEnd w:id="8"/>
          <w:bookmarkEnd w:id="9"/>
        </w:p>
        <w:p w14:paraId="1EB2B02F" w14:textId="77777777" w:rsidR="004D2778" w:rsidRDefault="007B4171" w:rsidP="008D714A">
          <w:pPr>
            <w:pStyle w:val="LLP2Otsikkotaso"/>
          </w:pPr>
          <w:bookmarkStart w:id="10" w:name="_Toc118796205"/>
          <w:bookmarkStart w:id="11" w:name="_Toc118814259"/>
          <w:bookmarkStart w:id="12" w:name="_Toc119005714"/>
          <w:r>
            <w:t>T</w:t>
          </w:r>
          <w:r w:rsidR="004D2778">
            <w:t>austa</w:t>
          </w:r>
          <w:bookmarkEnd w:id="10"/>
          <w:bookmarkEnd w:id="11"/>
          <w:bookmarkEnd w:id="12"/>
        </w:p>
        <w:p w14:paraId="481DC03C" w14:textId="77777777" w:rsidR="00822078" w:rsidRDefault="00822078" w:rsidP="007B3513">
          <w:pPr>
            <w:pStyle w:val="LLPerustelujenkappalejako"/>
          </w:pPr>
          <w:r w:rsidRPr="00822078">
            <w:t xml:space="preserve">Iäkkäiden henkilöiden palvelujen sääntelyyn </w:t>
          </w:r>
          <w:r>
            <w:t xml:space="preserve">viime hallituskaudella </w:t>
          </w:r>
          <w:r w:rsidRPr="00822078">
            <w:t xml:space="preserve">tehtyjen muutosten tavoitteena on ollut toteuttaa iäkkäiden henkilöiden perustuslain mukaista oikeutta välttämättömään huolenpitoon ja riittäviin sosiaali- ja terveyspalveluihin. Tavoitteena on ollut turvata iäkkäiden ympärivuorokautisen hoidon ja huolenpidon asiakkaille laadukkaat palvelut ja parantaa asiakas- ja potilasturvallisuutta varmistamalla riittävä hoidosta ja huolenpidosta vastaava henkilöstö tehtävien huolelliseen toteuttamiseen. </w:t>
          </w:r>
        </w:p>
        <w:p w14:paraId="38648A60" w14:textId="77777777" w:rsidR="007B3513" w:rsidRDefault="007B3513" w:rsidP="007B3513">
          <w:pPr>
            <w:pStyle w:val="LLPerustelujenkappalejako"/>
          </w:pPr>
          <w:r>
            <w:t xml:space="preserve">Ikääntyneen väestön toimintakyvyn tukemisesta sekä iäkkäiden sosiaali- ja terveyspalveluista annettuun lakiin (980/2012, jäljempänä vanhuspalvelulaki) lisättiin vuonna 2020 muun ohella velvoite vähintään 0,7 työntekijän henkilöstömitoituksesta asiakasta kohti iäkkäiden henkilöiden tehostetun palveluasumisen ja pitkäaikaisen laitoshoidon toimintayksiköissä. Mitoituksessa otetaan huomioon vain välitöntä asiakastyötä tekevä henkilöstö. </w:t>
          </w:r>
        </w:p>
        <w:p w14:paraId="041D50C8" w14:textId="77777777" w:rsidR="004C0D8D" w:rsidRDefault="00FA7D73" w:rsidP="007B3513">
          <w:pPr>
            <w:pStyle w:val="LLPerustelujenkappalejako"/>
          </w:pPr>
          <w:r>
            <w:t>H</w:t>
          </w:r>
          <w:r w:rsidR="007B3513">
            <w:t xml:space="preserve">enkilöstömitoitusta koskeva säännös säädettiin tulevaksi voimaan täysimääräisesti 1.4.2023 päättyvän siirtymäajan jälkeen, jotta kunnilla ja kuntayhtymillä sekä palveluntuottajilla olisi mahdollisuus varautua merkittävään henkilöstötarpeen sekä kustannusten kasvuun. </w:t>
          </w:r>
          <w:r w:rsidR="00DD5A56" w:rsidRPr="00C73E54">
            <w:t xml:space="preserve">Väestön ikääntyessä eläköityminen ja palvelutarpeiden kasvu ovat aiheuttaneet kasvavia vaikeuksia henkilöstön saatavuudelle. </w:t>
          </w:r>
          <w:r w:rsidR="004C0D8D" w:rsidRPr="00C73E54">
            <w:t xml:space="preserve">Toimintaympäristössä tapahtuneiden muutosten vuoksi </w:t>
          </w:r>
          <w:r w:rsidR="002C3E9F">
            <w:t>kävi</w:t>
          </w:r>
          <w:r w:rsidR="004C0D8D" w:rsidRPr="00C73E54">
            <w:t xml:space="preserve"> ilmi, että 0,7 </w:t>
          </w:r>
          <w:r w:rsidR="005F248A" w:rsidRPr="00C73E54">
            <w:t xml:space="preserve">työntekijän </w:t>
          </w:r>
          <w:r w:rsidR="004C0D8D" w:rsidRPr="00C73E54">
            <w:t>mitoitusta ei ol</w:t>
          </w:r>
          <w:r w:rsidR="00280E78">
            <w:t>lut</w:t>
          </w:r>
          <w:r w:rsidR="004C0D8D" w:rsidRPr="00C73E54">
            <w:t xml:space="preserve"> mahdollista saavuttaa kaikissa toimintayksiköissä </w:t>
          </w:r>
          <w:r w:rsidR="00280E78">
            <w:t xml:space="preserve">laissa alun perin </w:t>
          </w:r>
          <w:r w:rsidR="004C0D8D" w:rsidRPr="00C73E54">
            <w:t>säädettyyn määräaikaan mennessä</w:t>
          </w:r>
          <w:r w:rsidR="000A75CC" w:rsidRPr="00C73E54">
            <w:t xml:space="preserve"> vaan henkilöstön saatavuutta ja riittävyyttä varmistavien toimenpiteiden toteuttamiselle tarvit</w:t>
          </w:r>
          <w:r w:rsidR="00280E78">
            <w:t>tiin</w:t>
          </w:r>
          <w:r w:rsidR="000A75CC" w:rsidRPr="00C73E54">
            <w:t xml:space="preserve"> pidempi aika</w:t>
          </w:r>
          <w:r w:rsidR="004C0D8D" w:rsidRPr="00C73E54">
            <w:t>.</w:t>
          </w:r>
          <w:r w:rsidR="009316AE" w:rsidRPr="00C73E54">
            <w:t xml:space="preserve"> </w:t>
          </w:r>
        </w:p>
        <w:p w14:paraId="73B0BC34" w14:textId="77777777" w:rsidR="00593430" w:rsidRDefault="00280E78" w:rsidP="007B3513">
          <w:pPr>
            <w:pStyle w:val="LLPerustelujenkappalejako"/>
          </w:pPr>
          <w:r>
            <w:t>Edellä mainituista syistä v</w:t>
          </w:r>
          <w:r w:rsidR="00E6020A">
            <w:t xml:space="preserve">anhuspalvelulakia muutettiin </w:t>
          </w:r>
          <w:r>
            <w:t xml:space="preserve">kyseisen </w:t>
          </w:r>
          <w:r w:rsidR="00DC4282">
            <w:t>voimaantulo</w:t>
          </w:r>
          <w:r>
            <w:t xml:space="preserve">säännöksen osalta keväällä 2023 </w:t>
          </w:r>
          <w:r w:rsidR="000A75CC">
            <w:t xml:space="preserve">siten, että 0,7 henkilöstömitoitusta sovelletaan 1.12.2023 lukien. </w:t>
          </w:r>
          <w:r w:rsidR="00E6020A" w:rsidRPr="00E6020A">
            <w:t xml:space="preserve">Sitä ennen henkilöstömitoituksen </w:t>
          </w:r>
          <w:r w:rsidR="002E316A">
            <w:t xml:space="preserve">oli </w:t>
          </w:r>
          <w:r w:rsidR="00E6020A" w:rsidRPr="00E6020A">
            <w:t xml:space="preserve">oltava vähintään 0,6 työntekijää asiakasta kohti ja </w:t>
          </w:r>
          <w:r w:rsidR="000A75CC">
            <w:t>1.4.</w:t>
          </w:r>
          <w:r w:rsidR="00E6020A" w:rsidRPr="00E6020A">
            <w:t xml:space="preserve">2023 </w:t>
          </w:r>
          <w:r w:rsidR="002E316A">
            <w:t xml:space="preserve">alkaen </w:t>
          </w:r>
          <w:r w:rsidR="00E6020A" w:rsidRPr="00E6020A">
            <w:t>vähintään 0,65 työntekijää asiakasta kohti.</w:t>
          </w:r>
          <w:r w:rsidR="000A75CC">
            <w:t xml:space="preserve"> </w:t>
          </w:r>
          <w:r>
            <w:t xml:space="preserve">Hallituksen esityksen (HE 298/2022 vp) valmistelussa arvioitiin tuolloin </w:t>
          </w:r>
          <w:r w:rsidR="000A75CC">
            <w:t xml:space="preserve">henkilöstömitoituksen toimeenpanoa vaikeuttaneen väestön ikääntymiseen liittyvien tekijöiden lisäksi erityisesti alkuperäisen lain eduskuntakäsittelyn aikana käynnistyneen COVID-19 pandemian, joka heikensi merkittävästi henkilöstön saatavuutta ja toimintayksiköiden rekrytointimahdollisuuksia. Sittemmin myös hyvinvointialueiden toiminnan valmistelu </w:t>
          </w:r>
          <w:r w:rsidR="00DC4282">
            <w:t xml:space="preserve">etenkin </w:t>
          </w:r>
          <w:r w:rsidR="000A75CC">
            <w:t>vuoden 2022 aikana työllisti kuntien henkilöstöä ja h</w:t>
          </w:r>
          <w:r>
            <w:t xml:space="preserve">idasti </w:t>
          </w:r>
          <w:r w:rsidR="000A75CC">
            <w:t xml:space="preserve">lain toimeenpanoa. </w:t>
          </w:r>
        </w:p>
        <w:p w14:paraId="5E3115E4" w14:textId="77777777" w:rsidR="00593430" w:rsidRDefault="00593430" w:rsidP="007B3513">
          <w:pPr>
            <w:pStyle w:val="LLPerustelujenkappalejako"/>
            <w:rPr>
              <w:highlight w:val="yellow"/>
            </w:rPr>
          </w:pPr>
          <w:r>
            <w:t>Pääministeri Petteri Orpon hallitu</w:t>
          </w:r>
          <w:r w:rsidR="00FC56E4">
            <w:t xml:space="preserve">ksen </w:t>
          </w:r>
          <w:r>
            <w:t>ohjelman mukaan</w:t>
          </w:r>
          <w:r w:rsidR="00E6020A">
            <w:t xml:space="preserve"> </w:t>
          </w:r>
          <w:r w:rsidR="002B15E9">
            <w:t xml:space="preserve">ikäihmisten palveluja tarvitaan lähivuosikymmeninä selvästi nykyistä enemmän. </w:t>
          </w:r>
          <w:r w:rsidR="000A03F9">
            <w:t xml:space="preserve">Vaikka suurin osa ikäihmisistä </w:t>
          </w:r>
          <w:r w:rsidR="002B15E9">
            <w:t>pär</w:t>
          </w:r>
          <w:r w:rsidR="000A03F9">
            <w:t>jää itsenäisesti</w:t>
          </w:r>
          <w:r w:rsidR="002B15E9">
            <w:t>, avun tarve kasvaa erityisesti viimeisinä vuosikymm</w:t>
          </w:r>
          <w:r w:rsidR="000A03F9">
            <w:t>eninä. Osana hallitusohjelman tavoitetta</w:t>
          </w:r>
          <w:r w:rsidR="002B15E9">
            <w:t xml:space="preserve"> </w:t>
          </w:r>
          <w:r w:rsidR="000A03F9">
            <w:t xml:space="preserve">yksilöllisistä ja tarpeenmukaisista palveluista hallitusohjelmaan sisältyy kirjaus, jonka mukaan </w:t>
          </w:r>
          <w:r w:rsidR="00E6020A" w:rsidRPr="00E6020A">
            <w:t>nykyinen 0,65 henkilöstömitoitus</w:t>
          </w:r>
          <w:r w:rsidR="00E6020A">
            <w:t xml:space="preserve"> pidetään voimassa</w:t>
          </w:r>
          <w:r w:rsidR="00E6020A" w:rsidRPr="00E6020A">
            <w:t xml:space="preserve"> hallitu</w:t>
          </w:r>
          <w:r w:rsidR="00E6020A">
            <w:t xml:space="preserve">skauden ajan ja </w:t>
          </w:r>
          <w:r w:rsidR="00E6020A" w:rsidRPr="00E6020A">
            <w:t>ympärivuorokautisen hoivan 0,7 henkilöstömitoituksen voimaantulo</w:t>
          </w:r>
          <w:r w:rsidR="00115F8D">
            <w:t>a</w:t>
          </w:r>
          <w:r w:rsidR="00E6020A">
            <w:t xml:space="preserve"> siirretään</w:t>
          </w:r>
          <w:r w:rsidR="00E6020A" w:rsidRPr="00E6020A">
            <w:t xml:space="preserve"> alkamaan 1.1.2028, jotta sosiaali- ja terveyspalveluissa voidaan varmistaa tarvittava määrä henkilöstöä.</w:t>
          </w:r>
          <w:r w:rsidR="00E6020A">
            <w:t xml:space="preserve"> </w:t>
          </w:r>
        </w:p>
        <w:p w14:paraId="1C21C78A" w14:textId="77777777" w:rsidR="00DC5CE4" w:rsidRPr="009B0947" w:rsidRDefault="003B4A4E" w:rsidP="00C73E54">
          <w:pPr>
            <w:pStyle w:val="LLPerustelujenkappalejako"/>
          </w:pPr>
          <w:r w:rsidRPr="009B0947">
            <w:t xml:space="preserve">Lainsäädäntöä on </w:t>
          </w:r>
          <w:r w:rsidR="008A6CB7">
            <w:t xml:space="preserve">edellisellä hallituskaudella </w:t>
          </w:r>
          <w:r w:rsidRPr="009B0947">
            <w:t xml:space="preserve">uudistettu tukemaan henkilöstön riittävyyttä ja pääministeri Orpon hallitusohjelmaan sisältyy useita toimenpiteitä, joiden avulla tarvittava henkilöstö </w:t>
          </w:r>
          <w:r w:rsidR="008A6CB7">
            <w:t xml:space="preserve">iäkkäiden palveluissa </w:t>
          </w:r>
          <w:r w:rsidR="000A03F9">
            <w:t xml:space="preserve">on mahdollista </w:t>
          </w:r>
          <w:r w:rsidRPr="009B0947">
            <w:t xml:space="preserve">varmistaa vuoteen 2028 mennessä. </w:t>
          </w:r>
          <w:r w:rsidR="008A6CB7">
            <w:t xml:space="preserve">Vuoden </w:t>
          </w:r>
          <w:r w:rsidRPr="009B0947">
            <w:t xml:space="preserve">2023 </w:t>
          </w:r>
          <w:r w:rsidR="008A6CB7">
            <w:t>alusta</w:t>
          </w:r>
          <w:r w:rsidRPr="009B0947">
            <w:t xml:space="preserve"> voimaan tulleet </w:t>
          </w:r>
          <w:r w:rsidR="000A03F9">
            <w:t xml:space="preserve">sosiaalihuoltolain (1301/2014) </w:t>
          </w:r>
          <w:r w:rsidRPr="009B0947">
            <w:t>säännökset vuorokaudenajasta riippumattomasta kotihoidosta ja yhteisöllisestä asumisesta mahdollistavat hoidon ja huolen</w:t>
          </w:r>
          <w:r w:rsidR="00D368BE" w:rsidRPr="009B0947">
            <w:t>pidon porras</w:t>
          </w:r>
          <w:r w:rsidR="00D368BE" w:rsidRPr="009B0947">
            <w:lastRenderedPageBreak/>
            <w:t xml:space="preserve">tamisen siten, että </w:t>
          </w:r>
          <w:r w:rsidR="002F53B8" w:rsidRPr="009B0947">
            <w:t>ympärivuorokautiseen pal</w:t>
          </w:r>
          <w:r w:rsidR="00D368BE" w:rsidRPr="009B0947">
            <w:t>veluasumiseen sijoittuvat jatkossa</w:t>
          </w:r>
          <w:r w:rsidR="002F53B8" w:rsidRPr="009B0947">
            <w:t xml:space="preserve"> vain ne asiakkaat, joiden tilanne edellyttää henkilökunnan jatkuvaa läsnäoloa tai heidän hoitonsa ja huolenpitonsa edellyttää vaativaa osaamista</w:t>
          </w:r>
          <w:r w:rsidR="008A6CB7">
            <w:t xml:space="preserve">, mukaan lukien </w:t>
          </w:r>
          <w:r w:rsidR="002F53B8" w:rsidRPr="009B0947">
            <w:t>saattohoito.</w:t>
          </w:r>
        </w:p>
        <w:p w14:paraId="56F0A856" w14:textId="77777777" w:rsidR="00D368BE" w:rsidRPr="009B0947" w:rsidRDefault="00D368BE" w:rsidP="00C73E54">
          <w:pPr>
            <w:pStyle w:val="LLPerustelujenkappalejako"/>
          </w:pPr>
          <w:r w:rsidRPr="009B0947">
            <w:t>Hallituksen ohjelmassa on vahva painotus henkilöstön riittävyyttä ja saatavuutta parantaviin toimiin. Tarvittavan henkilöstön turvaamiseksi käynnistetään hallituskauden mittainen Hyvän työn ohjelma. Hallitusohjelmaan sisältyy myös toimia iäkkäiden ihmisten toimintakyvyn ylläpitämiseen ja parantamiseen m</w:t>
          </w:r>
          <w:r w:rsidR="008A6CB7">
            <w:t xml:space="preserve">uun </w:t>
          </w:r>
          <w:r w:rsidRPr="009B0947">
            <w:t>m</w:t>
          </w:r>
          <w:r w:rsidR="008A6CB7">
            <w:t>uassa</w:t>
          </w:r>
          <w:r w:rsidRPr="009B0947">
            <w:t xml:space="preserve"> järjestöjen ja kuntien työtä tukemalla sekä tukipalveluja ja päivätoimintaa edistämällä. </w:t>
          </w:r>
        </w:p>
        <w:p w14:paraId="6976D5B7" w14:textId="77777777" w:rsidR="003B4A4E" w:rsidRPr="00153366" w:rsidRDefault="003B4A4E" w:rsidP="007B3513">
          <w:pPr>
            <w:pStyle w:val="LLPerustelujenkappalejako"/>
          </w:pPr>
        </w:p>
        <w:p w14:paraId="0EF1AB98" w14:textId="77777777" w:rsidR="00A939B2" w:rsidRDefault="00A939B2" w:rsidP="00A939B2">
          <w:pPr>
            <w:pStyle w:val="LLP2Otsikkotaso"/>
          </w:pPr>
          <w:bookmarkStart w:id="13" w:name="_Toc118796206"/>
          <w:bookmarkStart w:id="14" w:name="_Toc118814260"/>
          <w:bookmarkStart w:id="15" w:name="_Toc119005715"/>
          <w:r>
            <w:t>Valmistelu</w:t>
          </w:r>
          <w:bookmarkEnd w:id="13"/>
          <w:bookmarkEnd w:id="14"/>
          <w:bookmarkEnd w:id="15"/>
        </w:p>
        <w:p w14:paraId="68509F16" w14:textId="77777777" w:rsidR="00034FF0" w:rsidRDefault="00034FF0" w:rsidP="00034FF0">
          <w:pPr>
            <w:pStyle w:val="LLPerustelujenkappalejako"/>
          </w:pPr>
          <w:r>
            <w:t>Vuoden</w:t>
          </w:r>
          <w:r w:rsidR="00627EE3">
            <w:t xml:space="preserve"> 202</w:t>
          </w:r>
          <w:r w:rsidR="00D368BE">
            <w:t>3</w:t>
          </w:r>
          <w:r w:rsidR="00627EE3">
            <w:t xml:space="preserve"> aikana </w:t>
          </w:r>
          <w:r w:rsidR="00DD5A56" w:rsidRPr="00B50B98">
            <w:t>sekä palvelujen järjestämisestä vastaavat tahot että palvelujen tuottajat ovat</w:t>
          </w:r>
          <w:r w:rsidR="00D368BE">
            <w:t xml:space="preserve"> edelleen</w:t>
          </w:r>
          <w:r w:rsidR="00DD5A56" w:rsidRPr="00B50B98">
            <w:t xml:space="preserve"> tuoneet esiin vaikeuksia </w:t>
          </w:r>
          <w:r w:rsidR="0018022A" w:rsidRPr="00B50B98">
            <w:t>henkilöstö</w:t>
          </w:r>
          <w:r w:rsidR="00DD5A56" w:rsidRPr="00B50B98">
            <w:t>mitoituksen toimeenpanossa</w:t>
          </w:r>
          <w:r w:rsidR="0018022A" w:rsidRPr="00B50B98">
            <w:t>, vaikka henkilöstöä on toimintayksiköissä saatu lisättyä</w:t>
          </w:r>
          <w:r w:rsidR="00DD5A56" w:rsidRPr="00B50B98">
            <w:t xml:space="preserve">. </w:t>
          </w:r>
        </w:p>
        <w:p w14:paraId="77F40A05" w14:textId="30ADEF09" w:rsidR="00406CDD" w:rsidRDefault="008A6CB7" w:rsidP="00034FF0">
          <w:pPr>
            <w:pStyle w:val="LLPerustelujenkappalejako"/>
          </w:pPr>
          <w:r w:rsidRPr="008A6CB7">
            <w:t xml:space="preserve">Hallitusohjelman valmistumisen ja julkistamisen jälkeen </w:t>
          </w:r>
          <w:r w:rsidR="00FC56E4">
            <w:t xml:space="preserve">kesäkuussa </w:t>
          </w:r>
          <w:r w:rsidRPr="008A6CB7">
            <w:t>käynnistettiin välittömästi hallituksen esityksen valmistelu</w:t>
          </w:r>
          <w:r w:rsidR="005D2402">
            <w:t xml:space="preserve"> virkatyönä sosiaali- ja terveysministeriössä</w:t>
          </w:r>
          <w:r>
            <w:t xml:space="preserve">. </w:t>
          </w:r>
          <w:r w:rsidR="00406CDD">
            <w:t xml:space="preserve">Hallituksen esityksen luonnoksesta järjestettiin lausuntokierros </w:t>
          </w:r>
          <w:r w:rsidR="003261EA">
            <w:t>17.8.-21</w:t>
          </w:r>
          <w:r>
            <w:t>.9.</w:t>
          </w:r>
          <w:r w:rsidR="00593430">
            <w:t>2023</w:t>
          </w:r>
          <w:r w:rsidR="00406CDD">
            <w:t xml:space="preserve">. </w:t>
          </w:r>
          <w:r>
            <w:t>Valmistelun kiireellisyyden vuoksi lausuntoaika oli ohjeaikaa jonkin verran lyhyempi.</w:t>
          </w:r>
          <w:r w:rsidR="00406CDD">
            <w:t xml:space="preserve"> Lausuntoa pyydettiin yhteensä </w:t>
          </w:r>
          <w:r w:rsidR="00FC092A">
            <w:t>56</w:t>
          </w:r>
          <w:r w:rsidR="00406CDD">
            <w:t xml:space="preserve"> taholta, minkä lisäksi muilla tahoilla oli mahdollisuus antaa lausuntonsa Lausuntopalvelu.fi –palvelussa.</w:t>
          </w:r>
        </w:p>
        <w:p w14:paraId="68316BC2" w14:textId="77777777" w:rsidR="008414FE" w:rsidRDefault="00A939B2" w:rsidP="000E61DF">
          <w:pPr>
            <w:pStyle w:val="LLP1Otsikkotaso"/>
          </w:pPr>
          <w:bookmarkStart w:id="16" w:name="_Toc118796207"/>
          <w:bookmarkStart w:id="17" w:name="_Toc118814261"/>
          <w:bookmarkStart w:id="18" w:name="_Toc119005716"/>
          <w:r>
            <w:t>Nykytila ja sen arviointi</w:t>
          </w:r>
          <w:bookmarkEnd w:id="16"/>
          <w:bookmarkEnd w:id="17"/>
          <w:bookmarkEnd w:id="18"/>
        </w:p>
        <w:p w14:paraId="4AFFDAC0" w14:textId="77777777" w:rsidR="00960C8E" w:rsidRDefault="008230FF" w:rsidP="008230FF">
          <w:pPr>
            <w:pStyle w:val="LLPerustelujenkappalejako"/>
          </w:pPr>
          <w:r>
            <w:t xml:space="preserve">Vanhuspalvelulain </w:t>
          </w:r>
          <w:r w:rsidR="005D2402">
            <w:t>1.1.2023 voimaan tulleen muutetun</w:t>
          </w:r>
          <w:r>
            <w:t xml:space="preserve"> 20 §:n </w:t>
          </w:r>
          <w:r w:rsidR="00164392">
            <w:t>2</w:t>
          </w:r>
          <w:r>
            <w:t xml:space="preserve"> momentin</w:t>
          </w:r>
          <w:r w:rsidR="00164392">
            <w:t xml:space="preserve"> </w:t>
          </w:r>
          <w:r w:rsidR="00164392" w:rsidRPr="00164392">
            <w:t>(</w:t>
          </w:r>
          <w:r w:rsidR="00FD7DB9">
            <w:t>876/2022</w:t>
          </w:r>
          <w:r w:rsidR="00164392" w:rsidRPr="00164392">
            <w:t xml:space="preserve">) </w:t>
          </w:r>
          <w:r>
            <w:t xml:space="preserve">mukaan toteutuneen henkilöstömitoituksen </w:t>
          </w:r>
          <w:r w:rsidR="00FD7DB9">
            <w:t xml:space="preserve">on oltava </w:t>
          </w:r>
          <w:r w:rsidR="00FD7DB9" w:rsidRPr="00FD7DB9">
            <w:t>vähintään 0,7 työntekijää asiakasta kohti sosiaalihuoltolain 21 c §:ssä tarkoitetun ympärivuorokautisen palveluasumisen toimintayksikössä, jolla on yhteiset toimitilat ja oma työvuorosuunnittelu ja joka toimii yhden esimiehen alaisuudessa. Toteutunut henkilöstömitoitus tarkoittaa toimintayksikössä paikalla olevien välitöntä asiakastyötä tekevien 3 a §:ssä tarkoitettujen työntekijöiden työpanosta suhteessa toimintayksikössä kolmen viikon seurantajakson aikana olevien asiakkaiden määrään. Välillistä työtä ei oteta huomioon henkilöstömitoituksessa.</w:t>
          </w:r>
          <w:r w:rsidR="005D2402">
            <w:t xml:space="preserve"> </w:t>
          </w:r>
        </w:p>
        <w:p w14:paraId="5477D975" w14:textId="77777777" w:rsidR="008230FF" w:rsidRDefault="005D2402" w:rsidP="008230FF">
          <w:pPr>
            <w:pStyle w:val="LLPerustelujenkappalejako"/>
          </w:pPr>
          <w:r>
            <w:t>Ympärivuorokautisen palveluasumi</w:t>
          </w:r>
          <w:r w:rsidR="00D10355">
            <w:t>s</w:t>
          </w:r>
          <w:r>
            <w:t xml:space="preserve">en </w:t>
          </w:r>
          <w:r w:rsidR="00D10355">
            <w:t xml:space="preserve">käsite </w:t>
          </w:r>
          <w:r w:rsidRPr="005D2402">
            <w:t>vastaa sisällöltään aiempaa tehostet</w:t>
          </w:r>
          <w:r w:rsidR="00D10355">
            <w:t xml:space="preserve">un </w:t>
          </w:r>
          <w:r w:rsidRPr="005D2402">
            <w:t>palveluasumi</w:t>
          </w:r>
          <w:r>
            <w:t>s</w:t>
          </w:r>
          <w:r w:rsidR="00D10355">
            <w:t>en käsitettä.</w:t>
          </w:r>
          <w:r>
            <w:t xml:space="preserve"> Iäkkäiden pal</w:t>
          </w:r>
          <w:r w:rsidRPr="005D2402">
            <w:t>velujen tois</w:t>
          </w:r>
          <w:r w:rsidR="00D10355">
            <w:t xml:space="preserve">en vaiheen lakiuudistuksessa </w:t>
          </w:r>
          <w:r w:rsidRPr="005D2402">
            <w:t xml:space="preserve">säädettiin </w:t>
          </w:r>
          <w:r>
            <w:t>iäkkäiden sosiaalihuollon pitkäaikaisen laitos</w:t>
          </w:r>
          <w:r w:rsidRPr="005D2402">
            <w:t>hoidon lakkauttamisesta siirtymäajan jälkeen 31.12.2027. E</w:t>
          </w:r>
          <w:r>
            <w:t>dellä mainitun lain voimaantulo</w:t>
          </w:r>
          <w:r w:rsidRPr="005D2402">
            <w:t>säännöksen mukaan 20 §:n 2 momentissa säädettyä henkilöstömitoitusta sovelletaan myös iäkkäiden pitkäaikaisen laitoshoidon toimintayksiköihin siirtymäajan aikana.</w:t>
          </w:r>
        </w:p>
        <w:p w14:paraId="14DE31F3" w14:textId="77777777" w:rsidR="008230FF" w:rsidRDefault="00FD7DB9" w:rsidP="008230FF">
          <w:pPr>
            <w:pStyle w:val="LLPerustelujenkappalejako"/>
          </w:pPr>
          <w:r>
            <w:t xml:space="preserve">Keväällä 2023 voimaan tulleen </w:t>
          </w:r>
          <w:r w:rsidR="005D2402">
            <w:t>vanhuspalvelul</w:t>
          </w:r>
          <w:r>
            <w:t xml:space="preserve">ain </w:t>
          </w:r>
          <w:r w:rsidR="005D2402">
            <w:t xml:space="preserve">muuttamisesta annetun </w:t>
          </w:r>
          <w:r>
            <w:t xml:space="preserve">lain muutetun </w:t>
          </w:r>
          <w:r w:rsidR="008230FF">
            <w:t>voimaantulosäännöksen mukaan kyseistä henkilöstömitoitusta sovelletaan 1.</w:t>
          </w:r>
          <w:r>
            <w:t>12</w:t>
          </w:r>
          <w:r w:rsidR="008230FF">
            <w:t xml:space="preserve">.2023 lukien. </w:t>
          </w:r>
          <w:r>
            <w:t xml:space="preserve">Sitä ennen </w:t>
          </w:r>
          <w:r w:rsidR="008230FF">
            <w:t>henkilöstömitoituksen o</w:t>
          </w:r>
          <w:r>
            <w:t xml:space="preserve">n oltava 1.4.2023 lukien </w:t>
          </w:r>
          <w:r w:rsidR="008230FF">
            <w:t>vähintään 0,6</w:t>
          </w:r>
          <w:r>
            <w:t>5</w:t>
          </w:r>
          <w:r w:rsidR="008230FF">
            <w:t xml:space="preserve"> työntekijää asiakasta kohti.</w:t>
          </w:r>
        </w:p>
        <w:p w14:paraId="2B2F05F4" w14:textId="77777777" w:rsidR="002F6F1C" w:rsidRDefault="004A0F88" w:rsidP="008230FF">
          <w:pPr>
            <w:pStyle w:val="LLPerustelujenkappalejako"/>
          </w:pPr>
          <w:r w:rsidRPr="002D5C1B">
            <w:t xml:space="preserve">Henkilöstöresurssien lisääminen ja toimijoita velvoittavan numeerisen vähimmäismitoituksen säätäminen todettiin </w:t>
          </w:r>
          <w:r w:rsidR="00877820">
            <w:t xml:space="preserve">vuonna 2020 </w:t>
          </w:r>
          <w:r w:rsidRPr="002D5C1B">
            <w:t xml:space="preserve">välttämättömäksi hoidon laatua heikentävien ja asiakasturvallisuutta vaarantavien puutteiden vuoksi. </w:t>
          </w:r>
          <w:r w:rsidR="002F6F1C" w:rsidRPr="002D5C1B">
            <w:t xml:space="preserve">Iäkkäiden ympärivuorokautisen hoidon henkilöstömitoitusta koskevassa hallituksen esityksessä </w:t>
          </w:r>
          <w:r w:rsidR="00D10355">
            <w:t>(</w:t>
          </w:r>
          <w:r w:rsidR="002D5C1B" w:rsidRPr="002D5C1B">
            <w:t xml:space="preserve">HE </w:t>
          </w:r>
          <w:r w:rsidR="002F6F1C" w:rsidRPr="002D5C1B">
            <w:t>4/2020</w:t>
          </w:r>
          <w:r w:rsidR="002D5C1B" w:rsidRPr="002D5C1B">
            <w:t xml:space="preserve"> vp</w:t>
          </w:r>
          <w:r w:rsidR="00D10355">
            <w:t>)</w:t>
          </w:r>
          <w:r w:rsidR="00A82ECB" w:rsidRPr="002D5C1B">
            <w:t xml:space="preserve"> on</w:t>
          </w:r>
          <w:r w:rsidR="002F6F1C" w:rsidRPr="002D5C1B">
            <w:t xml:space="preserve"> käsitelty yksityiskohtaisesti henkilöstön saatavuutta ja lisäystarpeita.</w:t>
          </w:r>
        </w:p>
        <w:p w14:paraId="460430D7" w14:textId="77777777" w:rsidR="009D0697" w:rsidRPr="002D5C1B" w:rsidRDefault="00987D0B" w:rsidP="008230FF">
          <w:pPr>
            <w:pStyle w:val="LLPerustelujenkappalejako"/>
          </w:pPr>
          <w:r>
            <w:lastRenderedPageBreak/>
            <w:t xml:space="preserve">Ikääntyneen väestön </w:t>
          </w:r>
          <w:r w:rsidR="009D0697">
            <w:t>määrä kasvaa voimakkaasti tulevina vuosina. T</w:t>
          </w:r>
          <w:r w:rsidR="00A63FDA">
            <w:t>erveyden ja hyvinvoinnin laitos (jatkossa T</w:t>
          </w:r>
          <w:r w:rsidR="009D0697">
            <w:t>HL</w:t>
          </w:r>
          <w:r w:rsidR="00A63FDA">
            <w:t>)</w:t>
          </w:r>
          <w:r w:rsidR="009D0697">
            <w:t xml:space="preserve"> ennakoi, että ikääntyneiden palveluja, kotihoitoa, yhteisöllistä asumista ja ympärivuorokautista palveluasumista, tarvitsevien iäkkäiden määrä kasvaa nykyisestä 33 000 asiakkaalla vuoteen 2027 mennessä. Neljän vuoden aikana uudet palvelujen käyttäjät </w:t>
          </w:r>
          <w:r w:rsidR="00D10355">
            <w:t>ovat</w:t>
          </w:r>
          <w:r w:rsidR="009D0697">
            <w:t xml:space="preserve"> henkilöitä, jotka ovat sairastuneet edenneisiin pitkäaikaissairauksiin. Suurin palvelun tarvetta aiheuttava tekijä ovat muistisairaudet. Toinen keskeinen tekijä palvelutarpeen kasvussa on aiempaa pidempi aika, jonka iäkkäät käyttävät palveluja. Eliniän kasvaessa on pidentynyt myös se aika, jolloin iäkkäät tarvitsevat säännöllistä kotihoitoa ja asumispalveluja. Tämä lisää </w:t>
          </w:r>
          <w:r>
            <w:t xml:space="preserve">iäkkäille suunnattuja palveluja </w:t>
          </w:r>
          <w:r w:rsidR="009D0697">
            <w:t>tarvitsevien määrää.</w:t>
          </w:r>
        </w:p>
        <w:p w14:paraId="29D281B9" w14:textId="77777777" w:rsidR="00313AF9" w:rsidRPr="00B50B98" w:rsidRDefault="00D10355" w:rsidP="004A0F88">
          <w:pPr>
            <w:pStyle w:val="LLPerustelujenkappalejako"/>
          </w:pPr>
          <w:r>
            <w:t>Iäkkäiden ympärivuorokautisen hoidon</w:t>
          </w:r>
          <w:r w:rsidR="00310D16">
            <w:t xml:space="preserve"> </w:t>
          </w:r>
          <w:r w:rsidR="00877820">
            <w:t>lakisääteisellä</w:t>
          </w:r>
          <w:r w:rsidR="00310D16">
            <w:t xml:space="preserve"> henkilöstömitoituksella </w:t>
          </w:r>
          <w:r w:rsidR="002F6F1C" w:rsidRPr="002D5C1B">
            <w:t>turvataan iäkkäiden henkilöiden</w:t>
          </w:r>
          <w:r w:rsidR="002F6F1C" w:rsidRPr="00B50B98">
            <w:t xml:space="preserve"> oikeutta välttämättömään huolenpitoon ja riittäviin sosiaali- ja terveyspalveluihin sekä toteutetaan iäkkäiden henkilöiden yhdenvertaisuutta ja osallisuutta yhteiskunnassa.</w:t>
          </w:r>
          <w:r w:rsidR="00F17954" w:rsidRPr="00B50B98">
            <w:t xml:space="preserve"> Ympärivuorokautisen hoidon RAI-arvioiduista asiakkaista (kevät 2022</w:t>
          </w:r>
          <w:r w:rsidR="002165E8" w:rsidRPr="002165E8">
            <w:t>, tiedot päivitetään myöhemmin</w:t>
          </w:r>
          <w:r w:rsidR="00F17954" w:rsidRPr="00B50B98">
            <w:t xml:space="preserve">) suurimmalla osalla (73 %) on dementiadiagnoosi ja kolmella neljästä asiakkaasta on keskimäärin vähintään keskivaikea kognitiivinen häiriö. Ympärivuorokautisen hoidon asiakkailla on kohtalaisesti tai runsaasti vaikeuksia suoriutua päivittäisissä toimissa kuten ruokailussa, henkilökohtaisessa hygieniassa tai wc:ssä käymisessä. </w:t>
          </w:r>
          <w:r w:rsidR="00310D16" w:rsidRPr="00B50B98">
            <w:t>Lisäksi y</w:t>
          </w:r>
          <w:r w:rsidR="00F17954" w:rsidRPr="00B50B98">
            <w:t>ksiköiden asiakkaista oli masennusepäily keskimäärin useammalla kuin joka neljännellä (n</w:t>
          </w:r>
          <w:r w:rsidR="00313AF9" w:rsidRPr="00B50B98">
            <w:t>oin</w:t>
          </w:r>
          <w:r w:rsidR="00F17954" w:rsidRPr="00B50B98">
            <w:t xml:space="preserve"> 28 % asiakkaista). </w:t>
          </w:r>
          <w:r w:rsidR="002D5C1B" w:rsidRPr="00B50B98">
            <w:t xml:space="preserve">Asiakkaiden keskimääräinen arkitoiminnoissa suoriutuminen on heikentynyt hieman viimeisen vuosikymmenen aikana. </w:t>
          </w:r>
          <w:r w:rsidR="00313AF9" w:rsidRPr="00B50B98">
            <w:t>A</w:t>
          </w:r>
          <w:r w:rsidR="00C11523" w:rsidRPr="00B50B98">
            <w:t xml:space="preserve">siakaskunnan toimintakyvyn heikentyminen </w:t>
          </w:r>
          <w:r w:rsidR="00313AF9" w:rsidRPr="00B50B98">
            <w:t xml:space="preserve">on siten </w:t>
          </w:r>
          <w:r w:rsidR="00C11523" w:rsidRPr="00B50B98">
            <w:t>edellyttä</w:t>
          </w:r>
          <w:r w:rsidR="00313AF9" w:rsidRPr="00B50B98">
            <w:t>nyt</w:t>
          </w:r>
          <w:r w:rsidR="00C11523" w:rsidRPr="00B50B98">
            <w:t xml:space="preserve"> </w:t>
          </w:r>
          <w:r w:rsidR="00313AF9" w:rsidRPr="00B50B98">
            <w:t xml:space="preserve">aiempaa </w:t>
          </w:r>
          <w:r w:rsidR="00C11523" w:rsidRPr="00B50B98">
            <w:t>suurempaa henkilöstö</w:t>
          </w:r>
          <w:r w:rsidR="00313AF9" w:rsidRPr="00B50B98">
            <w:t xml:space="preserve">määrää asiakasta kohti. </w:t>
          </w:r>
        </w:p>
        <w:p w14:paraId="0BC752FA" w14:textId="77777777" w:rsidR="004A0F88" w:rsidRPr="00B50B98" w:rsidRDefault="00313AF9" w:rsidP="004A0F88">
          <w:pPr>
            <w:pStyle w:val="LLPerustelujenkappalejako"/>
          </w:pPr>
          <w:r w:rsidRPr="00B50B98">
            <w:t xml:space="preserve">Riittävällä lakisääteisellä henkilöstömitoituksella turvataan myös henkilöstön hyvinvointia ja työssä jaksamista. </w:t>
          </w:r>
          <w:r w:rsidR="00F854A8" w:rsidRPr="00B50B98">
            <w:t>Työterveyslaitoksen</w:t>
          </w:r>
          <w:r w:rsidR="00783860">
            <w:rPr>
              <w:rStyle w:val="Alaviitteenviite"/>
            </w:rPr>
            <w:footnoteReference w:id="2"/>
          </w:r>
          <w:r w:rsidR="00F854A8" w:rsidRPr="00B50B98">
            <w:t xml:space="preserve"> tutkimusten mukaan e</w:t>
          </w:r>
          <w:r w:rsidR="00286629" w:rsidRPr="00B50B98">
            <w:t xml:space="preserve">ettinen kuormitus ja monet muut työn psykososiaaliset kuormitustekijät ovat </w:t>
          </w:r>
          <w:r w:rsidR="00987D0B">
            <w:t xml:space="preserve">iäkkäiden palveluissa </w:t>
          </w:r>
          <w:r w:rsidR="00286629" w:rsidRPr="00B50B98">
            <w:t>muuta sosiaali- ja terveydenhuoltoa yleisempiä. Eettisen kuormituksen seurauksia vanhuspalveluiden työntekijöille olivat työstä poissaolot, mielenterveysongelmat, epäterveelliset ja epäsosiaaliset elämäntavat ja fyysiset oireet sekä heikentynyt työkyky. Eettistä kuormitusta aiheuttavia tilanteita ovat</w:t>
          </w:r>
          <w:r w:rsidR="00BE6279" w:rsidRPr="00B50B98">
            <w:t xml:space="preserve"> muun muassa</w:t>
          </w:r>
          <w:r w:rsidR="00286629" w:rsidRPr="00B50B98">
            <w:t xml:space="preserve"> työpaikan organisatoriset rajoitteet</w:t>
          </w:r>
          <w:r w:rsidR="00BE6279" w:rsidRPr="00B50B98">
            <w:t>, jotka</w:t>
          </w:r>
          <w:r w:rsidR="00286629" w:rsidRPr="00B50B98">
            <w:t xml:space="preserve"> liittyivät esimerkiksi johtamiseen, työvuorojen järjestämiseen ja riittämättömiin resursseihin. </w:t>
          </w:r>
        </w:p>
        <w:p w14:paraId="78C70035" w14:textId="77777777" w:rsidR="00EA7D55" w:rsidRDefault="00EA7D55" w:rsidP="00EA7D55">
          <w:pPr>
            <w:pStyle w:val="LLPerustelujenkappalejako"/>
          </w:pPr>
          <w:r w:rsidRPr="00EA7D55">
            <w:t xml:space="preserve">Toteutunut henkilöstömitoitus on noussut </w:t>
          </w:r>
          <w:r w:rsidR="001261CB">
            <w:t xml:space="preserve">iäkkäiden </w:t>
          </w:r>
          <w:r w:rsidRPr="00EA7D55">
            <w:t>ympärivuorokautisen hoidon yksiköissä vuosien 2020–2023 aikana. Vuonna 2020 mitoituksen 0,65 täytti 31 prosenttia yksiköistä, kolmessa vuodessa osuus on noussut 8</w:t>
          </w:r>
          <w:r w:rsidR="00325AF7">
            <w:t>9</w:t>
          </w:r>
          <w:r w:rsidRPr="00EA7D55">
            <w:t xml:space="preserve"> prosenttiin. THL arvioi </w:t>
          </w:r>
          <w:r w:rsidR="00C7620D">
            <w:t xml:space="preserve">ennakkotietojen perusteella, että </w:t>
          </w:r>
          <w:r w:rsidRPr="00EA7D55">
            <w:t>toukokuu</w:t>
          </w:r>
          <w:r w:rsidR="00C7620D">
            <w:t>n</w:t>
          </w:r>
          <w:r w:rsidRPr="00EA7D55">
            <w:t xml:space="preserve"> 2023</w:t>
          </w:r>
          <w:r w:rsidR="00C7620D">
            <w:t xml:space="preserve"> tilanteeseen verrattuna</w:t>
          </w:r>
          <w:r w:rsidRPr="00EA7D55">
            <w:t xml:space="preserve"> mitoituksen nostoon 0,7:ään tarvittaisiin vielä noin </w:t>
          </w:r>
          <w:r w:rsidR="00325AF7">
            <w:t>1725</w:t>
          </w:r>
          <w:r w:rsidRPr="00EA7D55">
            <w:t xml:space="preserve"> lisätyöntekijää (ei sisällä sijaistarvetta). </w:t>
          </w:r>
        </w:p>
        <w:p w14:paraId="055FE4B9" w14:textId="08BF580A" w:rsidR="00EA7D55" w:rsidRDefault="00325AF7" w:rsidP="00EA7D55">
          <w:pPr>
            <w:pStyle w:val="LLPerustelujenkappalejako"/>
          </w:pPr>
          <w:r>
            <w:rPr>
              <w:noProof/>
            </w:rPr>
            <w:lastRenderedPageBreak/>
            <w:drawing>
              <wp:anchor distT="0" distB="0" distL="114300" distR="114300" simplePos="0" relativeHeight="251658241" behindDoc="0" locked="0" layoutInCell="1" allowOverlap="1" wp14:anchorId="769B92A3" wp14:editId="495577B7">
                <wp:simplePos x="0" y="0"/>
                <wp:positionH relativeFrom="margin">
                  <wp:align>left</wp:align>
                </wp:positionH>
                <wp:positionV relativeFrom="paragraph">
                  <wp:posOffset>277495</wp:posOffset>
                </wp:positionV>
                <wp:extent cx="4307205" cy="2938145"/>
                <wp:effectExtent l="0" t="0" r="17145" b="14605"/>
                <wp:wrapTopAndBottom/>
                <wp:docPr id="1" name="Kaavio 1">
                  <a:extLst xmlns:a="http://schemas.openxmlformats.org/drawingml/2006/main">
                    <a:ext uri="{FF2B5EF4-FFF2-40B4-BE49-F238E27FC236}">
                      <a16:creationId xmlns:a16="http://schemas.microsoft.com/office/drawing/2014/main" id="{CCD1DADF-F230-332E-160C-53A4C8BADB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4AD63D3C" w14:textId="77777777" w:rsidR="00EA7D55" w:rsidRDefault="00EA7D55" w:rsidP="00EA7D55">
          <w:pPr>
            <w:pStyle w:val="LLPerustelujenkappalejako"/>
          </w:pPr>
          <w:bookmarkStart w:id="19" w:name="_Hlk137626776"/>
          <w:r w:rsidRPr="00783860">
            <w:rPr>
              <w:b/>
            </w:rPr>
            <w:t>Kuvio 1.</w:t>
          </w:r>
          <w:r>
            <w:t xml:space="preserve"> Henkilöstömitoituksen kehitys 2020-2023. </w:t>
          </w:r>
          <w:r w:rsidRPr="007A452D">
            <w:t>Lähde: Vanhuspalvelujen tila –seuranta TH</w:t>
          </w:r>
          <w:r>
            <w:t>L</w:t>
          </w:r>
        </w:p>
        <w:p w14:paraId="17F81133" w14:textId="77777777" w:rsidR="00EA7D55" w:rsidRDefault="00EA7D55" w:rsidP="00EA7D55">
          <w:pPr>
            <w:pStyle w:val="LLPerustelujenkappalejako"/>
          </w:pPr>
          <w:r w:rsidRPr="00EA7D55">
            <w:t xml:space="preserve">Suurin osa kotihoidon ja ympärivuorokautisen hoidon henkilöstöstä on lähihoitajia (68 %). Seuraavaksi suurimmat henkilöstöryhmät ovat sairaanhoitajat (9 %) ja hoiva-avustajat (6 %). </w:t>
          </w:r>
          <w:bookmarkEnd w:id="19"/>
          <w:r w:rsidRPr="00EA7D55">
            <w:t xml:space="preserve">Vanhuspalvelulain muutoksilla pyrittiin kohdentamaan ammattilaisten työpanos tehokkaammin välittömään </w:t>
          </w:r>
          <w:r w:rsidR="001261CB">
            <w:t>asiakas</w:t>
          </w:r>
          <w:r w:rsidRPr="00EA7D55">
            <w:t xml:space="preserve">työhön palkkaamalla lisää avustavaa henkilöstöä. Ympärivuorokautisessa hoidossa lähihoitajien työpanos kohdentuu lähes kokonaan (96 %) välittömään asiakastyöhön. </w:t>
          </w:r>
        </w:p>
        <w:p w14:paraId="22B8824F" w14:textId="77777777" w:rsidR="008C4C15" w:rsidRPr="007A452D" w:rsidRDefault="008C4C15" w:rsidP="00153366">
          <w:pPr>
            <w:pStyle w:val="LLPerustelujenkappalejako"/>
          </w:pPr>
          <w:r w:rsidRPr="007A452D">
            <w:t xml:space="preserve">Vuonna 2020 </w:t>
          </w:r>
          <w:r w:rsidR="0051296F" w:rsidRPr="007A452D">
            <w:t xml:space="preserve">voimaan tullut säännös </w:t>
          </w:r>
          <w:r w:rsidRPr="007A452D">
            <w:t xml:space="preserve">henkilöstömitoituksen laskemisesta on aiempaa ohjeistusta tarkempi ja edellyttää työajan jakamisen välilliseen ja välittömään työhön, josta vain välitön </w:t>
          </w:r>
          <w:r w:rsidR="0051296F" w:rsidRPr="007A452D">
            <w:t>asiakas</w:t>
          </w:r>
          <w:r w:rsidRPr="007A452D">
            <w:t>työ otetaan mitoituslaskennassa huomioon.</w:t>
          </w:r>
          <w:r w:rsidR="005222A3" w:rsidRPr="007A452D">
            <w:t xml:space="preserve"> Laskentatavan tiukentumisesta huolimatta</w:t>
          </w:r>
          <w:r w:rsidRPr="007A452D">
            <w:t xml:space="preserve"> </w:t>
          </w:r>
          <w:r w:rsidR="00C61C1D">
            <w:t>vuodesta 2020</w:t>
          </w:r>
          <w:r w:rsidRPr="00C61C1D">
            <w:t xml:space="preserve"> henkilöstömitoitus on selvästi noussut</w:t>
          </w:r>
          <w:r w:rsidRPr="007A452D">
            <w:t xml:space="preserve"> ja 0,7 </w:t>
          </w:r>
          <w:r w:rsidR="00C37B4A">
            <w:t xml:space="preserve">työntekijän </w:t>
          </w:r>
          <w:r w:rsidR="0051296F" w:rsidRPr="007A452D">
            <w:t xml:space="preserve">mitoituksen </w:t>
          </w:r>
          <w:r w:rsidRPr="007A452D">
            <w:t>täyttäneiden yksiköiden määrä on kasvanut. Toukokuussa 2022 niitä oli 28 prosenttia kaikista ympärivuorokautisen hoidon yksiköistä, mikä on enemmän kuin kertaakaan aiemmin.</w:t>
          </w:r>
        </w:p>
        <w:p w14:paraId="1B6BCDB2" w14:textId="77777777" w:rsidR="009316AE" w:rsidRDefault="00103A23" w:rsidP="008230FF">
          <w:pPr>
            <w:pStyle w:val="LLPerustelujenkappalejako"/>
          </w:pPr>
          <w:r w:rsidRPr="00B50B98">
            <w:t xml:space="preserve">Monet, osin samanaikaiset tekijät toimintaympäristössä ovat vaikeuttaneet henkilöstömitoituksen parantamista siten, että </w:t>
          </w:r>
          <w:r w:rsidR="00A92874" w:rsidRPr="00B50B98">
            <w:t xml:space="preserve">vähintään </w:t>
          </w:r>
          <w:r w:rsidRPr="00B50B98">
            <w:t xml:space="preserve">0,7 </w:t>
          </w:r>
          <w:r w:rsidR="00A92874" w:rsidRPr="00B50B98">
            <w:t xml:space="preserve">työntekijän </w:t>
          </w:r>
          <w:r w:rsidRPr="00B50B98">
            <w:t xml:space="preserve">mitoitus olisi mahdollista saavuttaa lain edellyttämään määräaikaan </w:t>
          </w:r>
          <w:r w:rsidR="00A63FDA">
            <w:t xml:space="preserve">tämän vuoden joulukuun alkuun </w:t>
          </w:r>
          <w:r w:rsidRPr="00B50B98">
            <w:t>mennessä</w:t>
          </w:r>
          <w:r w:rsidR="00A63FDA">
            <w:t>.</w:t>
          </w:r>
        </w:p>
        <w:p w14:paraId="11BED399" w14:textId="77777777" w:rsidR="001C6606" w:rsidRDefault="001C6606" w:rsidP="007C74D8">
          <w:pPr>
            <w:pStyle w:val="LLPerustelujenkappalejako"/>
          </w:pPr>
          <w:r>
            <w:t xml:space="preserve">Väestön ikääntymisen seurauksena myös muissa kuin iäkkäille suunnatuissa sosiaali- ja terveydenhuollon palveluissa on kasvua palvelutarpeissa ja lisääntyviä vaikeuksia henkilöstön saatavuudessa. </w:t>
          </w:r>
        </w:p>
        <w:p w14:paraId="60C85552" w14:textId="77777777" w:rsidR="00B76087" w:rsidRDefault="00B76087" w:rsidP="007C74D8">
          <w:pPr>
            <w:pStyle w:val="LLPerustelujenkappalejako"/>
          </w:pPr>
          <w:r>
            <w:t xml:space="preserve">Iäkkäille suunnatuissa palveluissa henkilöstöpulaa on kaikilla osa-alueilla kotihoidosta ympärivuorokautiseen palveluasumiseen. </w:t>
          </w:r>
          <w:r w:rsidRPr="00B76087">
            <w:t xml:space="preserve">Kotihoidon toimintayksiköt ovat raportoineet lakisääteisen henkilöstömitoituksen noston aikana kasvavista rekrytointiongelmista, jotka realisoituvat muun muassa ylitöinä. Vuonna 2022 kotihoidon yksiköistä 12 % raportoi päivittäisistä tai lähes päivittäisistä ylitöistä ja lisäksi useampi kuin joka neljäs yksikkö (27 %) ilmoitti tekevänsä töitä vajaalla henkilöstöllä viikoittain tai useammin. Suurin osa iäkkäistä saa palvelunsa kotihoitona. </w:t>
          </w:r>
          <w:r w:rsidRPr="00B76087">
            <w:lastRenderedPageBreak/>
            <w:t>Kotihoidolla oli vuoden 2022 aikana asiakkaita 194 000 ja heille tehtiin koti- ja etäkäyntejä noin 40 miljoonaa</w:t>
          </w:r>
          <w:r w:rsidR="00332638">
            <w:t xml:space="preserve"> kertaa</w:t>
          </w:r>
          <w:r w:rsidRPr="00B76087">
            <w:t xml:space="preserve">. Käyntien määrä laski edellisestä vuodesta 2,2 miljoonalla käynnillä. Henkilöstövaje on vaikeuttanut osaltaan </w:t>
          </w:r>
          <w:r w:rsidR="00332638">
            <w:t xml:space="preserve">riittävän </w:t>
          </w:r>
          <w:r w:rsidRPr="00B76087">
            <w:t>kotihoidon palvelun tuottamista</w:t>
          </w:r>
          <w:r w:rsidR="00332638">
            <w:t>.</w:t>
          </w:r>
          <w:r w:rsidRPr="00B76087" w:rsidDel="00332638">
            <w:t xml:space="preserve"> </w:t>
          </w:r>
        </w:p>
        <w:p w14:paraId="007E023C" w14:textId="77777777" w:rsidR="009D0697" w:rsidRPr="00B50B98" w:rsidRDefault="008326D0" w:rsidP="007C74D8">
          <w:pPr>
            <w:pStyle w:val="LLPerustelujenkappalejako"/>
          </w:pPr>
          <w:r w:rsidRPr="00B50B98">
            <w:t xml:space="preserve">COVID-19 –pandemia </w:t>
          </w:r>
          <w:r w:rsidR="00FD7DB9">
            <w:t xml:space="preserve">vaikeutti </w:t>
          </w:r>
          <w:r w:rsidRPr="00B50B98">
            <w:t xml:space="preserve">sosiaali- ja terveydenhuollon toimintaa ja henkilöstön saatavuutta monin tavoin keväästä 2020 lähtien. </w:t>
          </w:r>
          <w:r w:rsidR="002F2D89">
            <w:t>Pandemian aiheuttamat muutokset sosiaali- ja terveyspalvelu</w:t>
          </w:r>
          <w:r w:rsidR="005321A3">
            <w:t xml:space="preserve">issa vaikuttavat </w:t>
          </w:r>
          <w:r w:rsidR="00332638">
            <w:t xml:space="preserve">osin </w:t>
          </w:r>
          <w:r w:rsidR="005321A3">
            <w:t xml:space="preserve">edelleen niin </w:t>
          </w:r>
          <w:r w:rsidR="002F2D89">
            <w:t xml:space="preserve">kasvaneena hoito- ja palveluvelkana kuin vaikeuksina henkilöstön saatavuudessa ja alalla pysymisessä. </w:t>
          </w:r>
        </w:p>
        <w:p w14:paraId="7D286A4C" w14:textId="77777777" w:rsidR="008230FF" w:rsidRPr="00B50B98" w:rsidRDefault="00044AC1" w:rsidP="008230FF">
          <w:pPr>
            <w:pStyle w:val="LLPerustelujenkappalejako"/>
          </w:pPr>
          <w:r w:rsidRPr="00B50B98">
            <w:t xml:space="preserve">Sosiaali- ja terveydenhuollon järjestämisvastuun siirtymisellä hyvinvointialueille vuoden 2023 alusta on myös ollut oma vaikutuksensa henkilöstömitoituksen toimeenpanoon. </w:t>
          </w:r>
          <w:r w:rsidR="00332638">
            <w:t>U</w:t>
          </w:r>
          <w:r w:rsidR="002F2D89">
            <w:t>udistuksen</w:t>
          </w:r>
          <w:r w:rsidRPr="00B50B98">
            <w:t xml:space="preserve"> toimeenpano </w:t>
          </w:r>
          <w:r w:rsidR="00D10355">
            <w:t>on vaatinut</w:t>
          </w:r>
          <w:r w:rsidR="002F2D89">
            <w:t xml:space="preserve"> sekä</w:t>
          </w:r>
          <w:r w:rsidRPr="00B50B98" w:rsidDel="002F2D89">
            <w:t xml:space="preserve"> </w:t>
          </w:r>
          <w:r w:rsidRPr="00B50B98">
            <w:t xml:space="preserve">kunnilta </w:t>
          </w:r>
          <w:r w:rsidR="002F2D89">
            <w:t xml:space="preserve">että hyvinvointialueilta </w:t>
          </w:r>
          <w:r w:rsidRPr="00B50B98">
            <w:t xml:space="preserve">resurssien kohdentamista </w:t>
          </w:r>
          <w:r w:rsidR="002F2D89">
            <w:t xml:space="preserve">järjestämisvastuun siirtymän </w:t>
          </w:r>
          <w:r w:rsidRPr="00B50B98">
            <w:t>valmistelutyöhön</w:t>
          </w:r>
          <w:r w:rsidR="002F53B8">
            <w:t xml:space="preserve"> ja </w:t>
          </w:r>
          <w:r w:rsidR="006E3FD7">
            <w:t>toiminnan uudelleenorganisointiin</w:t>
          </w:r>
          <w:r w:rsidR="00C528C8" w:rsidRPr="00B50B98" w:rsidDel="002F2D89">
            <w:t xml:space="preserve"> ja </w:t>
          </w:r>
          <w:r w:rsidR="006E3FD7">
            <w:t>yhdenmukaistamiseen. Tämä työ jatkuu hyvinvointialueilla edelleen ja hidastaa myös henkilöstömitoituksen toteuttamisen edellyttämiä toimia</w:t>
          </w:r>
          <w:r w:rsidR="00B50B98">
            <w:t>.</w:t>
          </w:r>
          <w:r w:rsidR="00C528C8" w:rsidRPr="00B50B98">
            <w:t xml:space="preserve"> </w:t>
          </w:r>
        </w:p>
        <w:p w14:paraId="1282CFC9" w14:textId="77777777" w:rsidR="00EE6326" w:rsidRPr="00B50B98" w:rsidRDefault="00EE6326" w:rsidP="008230FF">
          <w:pPr>
            <w:pStyle w:val="LLPerustelujenkappalejako"/>
          </w:pPr>
          <w:r w:rsidRPr="00B50B98">
            <w:t>Osin edellä mainit</w:t>
          </w:r>
          <w:r w:rsidR="00A63FDA">
            <w:t>tujen</w:t>
          </w:r>
          <w:r w:rsidRPr="00B50B98">
            <w:t xml:space="preserve"> toimeenpanoa vaikeuttanei</w:t>
          </w:r>
          <w:r w:rsidR="006D0970">
            <w:t>den tekijöiden vuoksi</w:t>
          </w:r>
          <w:r w:rsidRPr="00B50B98">
            <w:t xml:space="preserve"> henkilöstömitoituksen toimeenpano</w:t>
          </w:r>
          <w:r w:rsidR="005321A3">
            <w:t xml:space="preserve"> on </w:t>
          </w:r>
          <w:r w:rsidR="006E3FD7">
            <w:t>viivästynyt</w:t>
          </w:r>
          <w:r w:rsidRPr="00B50B98" w:rsidDel="005321A3">
            <w:t xml:space="preserve"> </w:t>
          </w:r>
          <w:r w:rsidRPr="00B50B98">
            <w:t xml:space="preserve">eikä kaikkia lainsäädäntöön sisältyviä mahdollisuuksia henkilöstörakenteen monipuolistamiseen ole hyödynnetty. Lähihoitajien ja sairaanhoitajien lisäksi asiakkaiden tarpeisiin voidaan </w:t>
          </w:r>
          <w:r w:rsidR="006D0970">
            <w:t xml:space="preserve">vanhuspalvelulain 3 a §:n 1 momentin mukaan </w:t>
          </w:r>
          <w:r w:rsidRPr="00B50B98">
            <w:t>vastata monien muiden sote-ammattilaisten osaamisella</w:t>
          </w:r>
          <w:r w:rsidR="006D0970">
            <w:t>. Lisäksi</w:t>
          </w:r>
          <w:r w:rsidRPr="00B50B98">
            <w:t xml:space="preserve"> sosiaalisen toimintakyvyn ylläpitämiseen </w:t>
          </w:r>
          <w:r w:rsidR="005321A3">
            <w:t xml:space="preserve">sekä sosiaalista kanssakäymistä edistävään toimintaan </w:t>
          </w:r>
          <w:r w:rsidRPr="00B50B98">
            <w:t>voidaan hyödyntää myös muita kuin sote-ammattilaisia, esimerkiksi liikunta-, kulttuuri- tai taidealan ammattilaisia. Niiden osuus henkilöstöstä on vielä varsin pieni. Välillis</w:t>
          </w:r>
          <w:r w:rsidR="007A452D">
            <w:t>een työhön</w:t>
          </w:r>
          <w:r w:rsidRPr="00B50B98">
            <w:t xml:space="preserve"> tulee pääsääntöisesti varata erillinen henkilöstö. Näin ei vielä kaikilta osin ole.</w:t>
          </w:r>
        </w:p>
        <w:p w14:paraId="3F6A1FDF" w14:textId="77777777" w:rsidR="005A6C56" w:rsidRDefault="00D5469F" w:rsidP="008230FF">
          <w:pPr>
            <w:pStyle w:val="LLPerustelujenkappalejako"/>
          </w:pPr>
          <w:r w:rsidRPr="00B50B98">
            <w:t xml:space="preserve">Edellä mainituista syistä </w:t>
          </w:r>
          <w:r w:rsidR="00B50B98">
            <w:t xml:space="preserve">vähintään </w:t>
          </w:r>
          <w:r w:rsidR="0018022A" w:rsidRPr="00B50B98">
            <w:t xml:space="preserve">0,7 </w:t>
          </w:r>
          <w:r w:rsidR="00B50B98">
            <w:t xml:space="preserve">työntekijän </w:t>
          </w:r>
          <w:r w:rsidR="0018022A" w:rsidRPr="00B50B98">
            <w:t>henkilöstömitoituksen</w:t>
          </w:r>
          <w:r w:rsidRPr="00B50B98">
            <w:t xml:space="preserve"> </w:t>
          </w:r>
          <w:r w:rsidR="008230FF" w:rsidRPr="00B50B98">
            <w:t xml:space="preserve">toteuttaminen </w:t>
          </w:r>
          <w:r w:rsidR="006D0970">
            <w:t>voimassa olevan lain</w:t>
          </w:r>
          <w:r w:rsidR="0018022A" w:rsidRPr="00B50B98">
            <w:t xml:space="preserve"> aik</w:t>
          </w:r>
          <w:r w:rsidR="00C528C8" w:rsidRPr="00B50B98">
            <w:t xml:space="preserve">ataulussa ei ole </w:t>
          </w:r>
          <w:r w:rsidR="002F2D89">
            <w:t xml:space="preserve">katsottu olevan </w:t>
          </w:r>
          <w:r w:rsidR="00C528C8" w:rsidRPr="00B50B98">
            <w:t xml:space="preserve">mahdollista. </w:t>
          </w:r>
          <w:r w:rsidR="00044AC1" w:rsidRPr="00B50B98">
            <w:t xml:space="preserve">Henkilöstömitoituksen täysimääräisen toimeenpanon </w:t>
          </w:r>
          <w:r w:rsidR="006D0970">
            <w:t xml:space="preserve">edelleen </w:t>
          </w:r>
          <w:r w:rsidR="00044AC1" w:rsidRPr="00B50B98">
            <w:t xml:space="preserve">lykkääminen </w:t>
          </w:r>
          <w:r w:rsidR="00A92874" w:rsidRPr="00B50B98">
            <w:t>antaisi</w:t>
          </w:r>
          <w:r w:rsidR="008C085F" w:rsidRPr="00B50B98">
            <w:t xml:space="preserve"> lisäaikaa</w:t>
          </w:r>
          <w:r w:rsidR="002F2D89">
            <w:t xml:space="preserve"> henkilöstön saatavuuden varmistamiseen ja </w:t>
          </w:r>
          <w:r w:rsidR="00EE6326" w:rsidRPr="00B50B98">
            <w:t>toimeenpanon jatkamiseen</w:t>
          </w:r>
          <w:r w:rsidR="00E37777">
            <w:t xml:space="preserve"> mm</w:t>
          </w:r>
          <w:r w:rsidR="00FD6B78">
            <w:t>.</w:t>
          </w:r>
          <w:r w:rsidR="00E37777">
            <w:t xml:space="preserve"> hallitusohjelmaan kirjatuilla toimenpiteillä</w:t>
          </w:r>
          <w:r w:rsidR="00EE6326" w:rsidRPr="00B50B98">
            <w:t>. Myös</w:t>
          </w:r>
          <w:r w:rsidR="008C085F" w:rsidRPr="00B50B98">
            <w:t xml:space="preserve"> </w:t>
          </w:r>
          <w:r w:rsidR="005C0F59" w:rsidRPr="00B50B98">
            <w:t>koulutuspaikkojen lisäämisen</w:t>
          </w:r>
          <w:r w:rsidR="008C085F" w:rsidRPr="00B50B98">
            <w:t xml:space="preserve"> vaikutuks</w:t>
          </w:r>
          <w:r w:rsidR="00EE6326" w:rsidRPr="00B50B98">
            <w:t>et</w:t>
          </w:r>
          <w:r w:rsidR="008C085F" w:rsidRPr="00B50B98">
            <w:t xml:space="preserve"> alkavat näkyä työvoimassa </w:t>
          </w:r>
          <w:r w:rsidR="00C37B4A">
            <w:t xml:space="preserve">vuodesta </w:t>
          </w:r>
          <w:r w:rsidR="008C085F" w:rsidRPr="00B50B98">
            <w:t>2023 alkaen</w:t>
          </w:r>
          <w:r w:rsidR="002F2D89">
            <w:t xml:space="preserve"> ja vahvemmin vasta 20</w:t>
          </w:r>
          <w:r w:rsidR="00B76087">
            <w:t>2</w:t>
          </w:r>
          <w:r w:rsidR="00C56AB4">
            <w:t>4</w:t>
          </w:r>
          <w:r w:rsidR="002F2D89">
            <w:t xml:space="preserve"> alkaen</w:t>
          </w:r>
          <w:r w:rsidR="008C085F" w:rsidRPr="00B50B98">
            <w:t>.</w:t>
          </w:r>
          <w:r w:rsidR="002F2D89">
            <w:t xml:space="preserve"> </w:t>
          </w:r>
        </w:p>
        <w:p w14:paraId="65557D49" w14:textId="77777777" w:rsidR="00044AC1" w:rsidRPr="00B50B98" w:rsidRDefault="006E3FD7" w:rsidP="008230FF">
          <w:pPr>
            <w:pStyle w:val="LLPerustelujenkappalejako"/>
          </w:pPr>
          <w:r>
            <w:t>Hoiva-avustajien lisäkoulutukset käynnistettiin syksyllä 2022 lisämäärärahan turvin. Tavoitteena on kouluttaa 2500 hoiva-avustajaa vuoteen 2025 mennessä. Opetus- ja kulttuuriministeriö koulutuksesta vastaavana ministeriönä hallinnoi lisäkoulutuksia ja sieltä saadun tiedon mukaan koulutuksiin on löytynyt hyvin opiskelijoita. Koulutuksiin sisältyy myös mahdollisuus erilaisiin tukitoimiin, kuten kielikoulutukseen, opiskelijoiden tarpeita vastaavasti.</w:t>
          </w:r>
          <w:r w:rsidR="009D78AF" w:rsidRPr="009D78AF">
            <w:t xml:space="preserve"> (Tämän osalta konsultoidaan OKM:ä ja tarvittavat muokkaukset tehdään myöhemmin</w:t>
          </w:r>
          <w:r w:rsidR="009D78AF">
            <w:t>.</w:t>
          </w:r>
          <w:r w:rsidR="009D78AF" w:rsidRPr="009D78AF">
            <w:t>)</w:t>
          </w:r>
        </w:p>
        <w:p w14:paraId="1BB43A1B" w14:textId="77777777" w:rsidR="00822078" w:rsidRDefault="00FC272B" w:rsidP="008C085F">
          <w:pPr>
            <w:pStyle w:val="LLPerustelujenkappalejako"/>
          </w:pPr>
          <w:r>
            <w:t xml:space="preserve">Mitoituksen siirtäminen antaisi lisäaikaa myös </w:t>
          </w:r>
          <w:r w:rsidRPr="00FC272B">
            <w:t xml:space="preserve">1.1.2023 voimaan tulleiden </w:t>
          </w:r>
          <w:r w:rsidR="000A7B18">
            <w:t xml:space="preserve">kotihoitoa ja asumispalveluja koskevien </w:t>
          </w:r>
          <w:r w:rsidRPr="00FC272B">
            <w:t xml:space="preserve">uudistusten henkilöstön riittävyyttä parantaville vaikutuksille. </w:t>
          </w:r>
        </w:p>
        <w:p w14:paraId="6C25D674" w14:textId="77777777" w:rsidR="00E87AE6" w:rsidRDefault="00FC272B" w:rsidP="008C085F">
          <w:pPr>
            <w:pStyle w:val="LLPerustelujenkappalejako"/>
          </w:pPr>
          <w:r w:rsidRPr="00FC272B">
            <w:t>Henkilöstön riittävyyttä voi myös osaltaan parantaa edellisellä hallituskaudella toteutetun iäkkäiden palvelujen uudistuksen tavoitteena oleva palvelurakenteen monimuotoistuminen</w:t>
          </w:r>
          <w:r>
            <w:t>. Vuorokaudenajasta riippumaton</w:t>
          </w:r>
          <w:r w:rsidRPr="00FC272B">
            <w:t xml:space="preserve"> kotihoito mahdollistaa monipuolisten palvelujen tarjoamisen paitsi kotiin myös yhteisöllisen asumisen asiak</w:t>
          </w:r>
          <w:r>
            <w:t>kaille ja voi</w:t>
          </w:r>
          <w:r w:rsidRPr="00FC272B">
            <w:t xml:space="preserve"> siten</w:t>
          </w:r>
          <w:r>
            <w:t xml:space="preserve"> hidastaa ympärivuorokautisen</w:t>
          </w:r>
          <w:r w:rsidRPr="00FC272B">
            <w:t xml:space="preserve"> palveluasumisen tarpeen ennakoitua kasvua. Kun kotihoidon käynnit jakautuvat tasaisemmin vuorokauden sisällä, asiakkaa</w:t>
          </w:r>
          <w:r>
            <w:t>t saavat paremmin tarpeidensa</w:t>
          </w:r>
          <w:r w:rsidRPr="00FC272B">
            <w:t xml:space="preserve"> mukaisesti ajoitetut palvelut. Työn tutkimus on lisäksi osoittanut, että aamun tuntien ruuhkahuipun tasoittuminen kotihoidossa vähentää kotihoidon henkilöstötarvetta.  </w:t>
          </w:r>
        </w:p>
        <w:p w14:paraId="02A10646" w14:textId="77777777" w:rsidR="001C6606" w:rsidRDefault="000A7B18" w:rsidP="008C085F">
          <w:pPr>
            <w:pStyle w:val="LLPerustelujenkappalejako"/>
          </w:pPr>
          <w:r>
            <w:lastRenderedPageBreak/>
            <w:t xml:space="preserve">Palvelurakennetta on </w:t>
          </w:r>
          <w:r w:rsidR="001C6606" w:rsidRPr="001C6606">
            <w:t xml:space="preserve">1.1.2023 lähtien vahvistettu </w:t>
          </w:r>
          <w:r w:rsidR="00822078">
            <w:t xml:space="preserve">myös </w:t>
          </w:r>
          <w:r w:rsidR="006D0970">
            <w:t xml:space="preserve">sosiaalihuoltolain 21 b §:ssä säädetyllä </w:t>
          </w:r>
          <w:r w:rsidR="001C6606" w:rsidRPr="001C6606">
            <w:t>yhteisöllisellä asumisella. Lakimuutoksen voimaan tullessa vastaavaa palvelua (tavallinen palveluasuminen) käytti noin 5000 iäkästä asiakasta. Tavoitteena on uudistaa palvelurakennetta ottamalla yhteisöllinen asuminen laajemmin käyttöön hyvinvointialueilla. Tämä edellyttää henkilöstön saatavuuden turvaamista myös näitä palveluja käyttävien tarpeisiin. Säätämällä mitoituksen nostosta vasta 1.1.2028 alkaen helpotetaan yksilöllisten palvelujen saatavuutta yhteisöllisen asumisen asiakkaille</w:t>
          </w:r>
          <w:r w:rsidR="00987D0B">
            <w:t>.</w:t>
          </w:r>
        </w:p>
        <w:p w14:paraId="767A4EB8" w14:textId="77777777" w:rsidR="001C6606" w:rsidRDefault="00E87AE6" w:rsidP="008C085F">
          <w:pPr>
            <w:pStyle w:val="LLPerustelujenkappalejako"/>
          </w:pPr>
          <w:r w:rsidRPr="00E87AE6">
            <w:t>Säätämällä ympärivuorokautisen hoidon mitoituksen nostolle pidempi siirtymäaika helpotetaan henkilöstön saatavuutta myös kotihoidossa ja turvataan kotihoidon palvelu</w:t>
          </w:r>
          <w:r w:rsidR="00C56AB4">
            <w:t>je</w:t>
          </w:r>
          <w:r w:rsidRPr="00E87AE6">
            <w:t xml:space="preserve">n riittävä tuotanto. </w:t>
          </w:r>
          <w:r w:rsidR="00B76087">
            <w:t xml:space="preserve"> </w:t>
          </w:r>
        </w:p>
        <w:p w14:paraId="4D2AD7E4" w14:textId="77777777" w:rsidR="002A3F66" w:rsidRPr="008C4C15" w:rsidRDefault="002A3F66" w:rsidP="008C085F">
          <w:pPr>
            <w:pStyle w:val="LLPerustelujenkappalejako"/>
          </w:pPr>
          <w:r w:rsidRPr="002A3F66">
            <w:t xml:space="preserve">Jatkossa kehittämistä on kohdennettava </w:t>
          </w:r>
          <w:r w:rsidR="00E87AE6">
            <w:t>myös</w:t>
          </w:r>
          <w:r w:rsidRPr="002A3F66">
            <w:t xml:space="preserve"> muihin</w:t>
          </w:r>
          <w:r w:rsidR="00E87AE6">
            <w:t xml:space="preserve"> </w:t>
          </w:r>
          <w:r w:rsidR="006D0970" w:rsidRPr="006D0970">
            <w:t>hallitusohjelmaan kirja</w:t>
          </w:r>
          <w:r w:rsidR="006D0970">
            <w:t xml:space="preserve">ttuihin </w:t>
          </w:r>
          <w:r w:rsidR="006D0970" w:rsidRPr="006D0970">
            <w:t xml:space="preserve">iäkkäiden palvelujen </w:t>
          </w:r>
          <w:r w:rsidR="00E87AE6">
            <w:t>henkilöstön riittävyyttä ja palvelujen saatavuutta</w:t>
          </w:r>
          <w:r w:rsidRPr="002A3F66">
            <w:t xml:space="preserve"> lisääviin toimiin</w:t>
          </w:r>
          <w:r w:rsidRPr="002A3F66" w:rsidDel="00FD6B78">
            <w:t>.</w:t>
          </w:r>
          <w:r w:rsidRPr="002A3F66">
            <w:t xml:space="preserve"> </w:t>
          </w:r>
        </w:p>
        <w:p w14:paraId="7FA917B9" w14:textId="77777777" w:rsidR="008C085F" w:rsidRPr="008C4C15" w:rsidRDefault="008C085F" w:rsidP="008230FF">
          <w:pPr>
            <w:pStyle w:val="LLPerustelujenkappalejako"/>
          </w:pPr>
          <w:r w:rsidRPr="008C4C15">
            <w:t>Yhtä aikaa henkilöstömitoituksen kanssa vuonna 2020 säädett</w:t>
          </w:r>
          <w:r w:rsidR="005B6132" w:rsidRPr="008C4C15">
            <w:t>iin RAI-arviointi</w:t>
          </w:r>
          <w:r w:rsidR="00E2218B">
            <w:t xml:space="preserve">välineistön käyttämisestä iäkkään henkilön toimintakyvyn arvioinnissa silloin, kun iäkkään henkilön arvioidaan tarvitsevan säännöllisesti annettavia sosiaalipalveluja hoitonsa ja huolenpitonsa turvaamiseksi. </w:t>
          </w:r>
          <w:r w:rsidRPr="008C4C15">
            <w:t xml:space="preserve"> RAI-järjestelmä on 1.4.2023 lähtien </w:t>
          </w:r>
          <w:r w:rsidR="00174275">
            <w:t xml:space="preserve">kattavasti </w:t>
          </w:r>
          <w:r w:rsidRPr="008C4C15">
            <w:t>käytössä kaikissa iäkkäiden palveluissa ja koko maassa</w:t>
          </w:r>
          <w:r w:rsidR="008B53D4">
            <w:t>, joten se mahdollistaa</w:t>
          </w:r>
          <w:r w:rsidR="00174275">
            <w:t xml:space="preserve"> </w:t>
          </w:r>
          <w:r w:rsidRPr="008C4C15">
            <w:t xml:space="preserve">palvelujen kohdentamisen paremmin asiakkaiden tarpeiden mukaan. Kokonaisuudessaan </w:t>
          </w:r>
          <w:r w:rsidR="00C56AB4">
            <w:t xml:space="preserve">edellä kuvattujen </w:t>
          </w:r>
          <w:r w:rsidRPr="008C4C15">
            <w:t xml:space="preserve">iäkkäiden palvelujen uudistusten </w:t>
          </w:r>
          <w:r w:rsidR="004E4249">
            <w:t xml:space="preserve">tavoitteena on </w:t>
          </w:r>
          <w:r w:rsidRPr="008C4C15">
            <w:t>paremmin asiakkaiden tarpeita vastaava palveluraken</w:t>
          </w:r>
          <w:r w:rsidR="004E4249">
            <w:t>ne</w:t>
          </w:r>
          <w:r w:rsidRPr="008C4C15">
            <w:t>, jonka myötä myös henkilöstömäärä saadaan paremmin optimoitua.</w:t>
          </w:r>
          <w:r w:rsidR="005A0698">
            <w:t xml:space="preserve"> </w:t>
          </w:r>
          <w:r w:rsidR="005A0698" w:rsidRPr="005A0698">
            <w:t xml:space="preserve">On kuitenkin huomioitava, että palvelurakenteen muutos </w:t>
          </w:r>
          <w:r w:rsidR="00E87AE6">
            <w:t>vaatii</w:t>
          </w:r>
          <w:r w:rsidR="00B76087">
            <w:t xml:space="preserve"> riittävästi</w:t>
          </w:r>
          <w:r w:rsidR="00E87AE6">
            <w:t xml:space="preserve"> aikaa</w:t>
          </w:r>
          <w:r w:rsidR="005A0698" w:rsidRPr="005A0698">
            <w:t>.</w:t>
          </w:r>
        </w:p>
        <w:p w14:paraId="15000281" w14:textId="77777777" w:rsidR="00FC272B" w:rsidRPr="00FC272B" w:rsidRDefault="00FC272B" w:rsidP="00FC272B">
          <w:pPr>
            <w:pStyle w:val="LLPerustelujenkappalejako"/>
          </w:pPr>
          <w:r w:rsidRPr="00FC272B">
            <w:t>Mitoituksen siirto antaisi lisäaikaa myös sosiaali- ja terveydenhuollon uudistuksen tavoiteltujen vaikutusten saavuttamiseen.  Sosiaali- ja terveydenhuollon uudistus tuo mukanaan isommat järjestäjät ja tuotantoalueet, mikä todennäköisesti mahdollistaa paremman henkilöstön kokonaissuunnittelun.</w:t>
          </w:r>
        </w:p>
        <w:p w14:paraId="3C6CD0BA" w14:textId="77777777" w:rsidR="00FC272B" w:rsidRPr="008C4C15" w:rsidRDefault="00FC272B" w:rsidP="008230FF">
          <w:pPr>
            <w:pStyle w:val="LLPerustelujenkappalejako"/>
          </w:pPr>
        </w:p>
        <w:p w14:paraId="35903C73" w14:textId="77777777" w:rsidR="00A939B2" w:rsidRDefault="006D3C8B" w:rsidP="00A939B2">
          <w:pPr>
            <w:pStyle w:val="LLP1Otsikkotaso"/>
          </w:pPr>
          <w:bookmarkStart w:id="20" w:name="_Toc118796208"/>
          <w:bookmarkStart w:id="21" w:name="_Toc118814262"/>
          <w:bookmarkStart w:id="22" w:name="_Toc119005717"/>
          <w:r>
            <w:t>Ehdotu</w:t>
          </w:r>
          <w:r w:rsidR="0038120C">
            <w:t>s</w:t>
          </w:r>
          <w:r>
            <w:t xml:space="preserve"> ja </w:t>
          </w:r>
          <w:r w:rsidR="0038120C">
            <w:t>sen</w:t>
          </w:r>
          <w:r w:rsidR="00A939B2">
            <w:t xml:space="preserve"> </w:t>
          </w:r>
          <w:r w:rsidR="003A04FA">
            <w:t xml:space="preserve">tavoitteet sekä </w:t>
          </w:r>
          <w:r w:rsidR="00A939B2">
            <w:t>vaikutukset</w:t>
          </w:r>
          <w:bookmarkEnd w:id="20"/>
          <w:bookmarkEnd w:id="21"/>
          <w:bookmarkEnd w:id="22"/>
        </w:p>
        <w:p w14:paraId="796BC930" w14:textId="77777777" w:rsidR="00597D82" w:rsidRDefault="00AF3149" w:rsidP="00597D82">
          <w:pPr>
            <w:pStyle w:val="LLP2Otsikkotaso"/>
          </w:pPr>
          <w:bookmarkStart w:id="23" w:name="_Toc118796209"/>
          <w:bookmarkStart w:id="24" w:name="_Toc118814263"/>
          <w:bookmarkStart w:id="25" w:name="_Toc119005718"/>
          <w:r>
            <w:t>Ehdotus</w:t>
          </w:r>
          <w:bookmarkEnd w:id="23"/>
          <w:bookmarkEnd w:id="24"/>
          <w:bookmarkEnd w:id="25"/>
        </w:p>
        <w:p w14:paraId="3712263B" w14:textId="77777777" w:rsidR="00B50B98" w:rsidRDefault="00B50B98" w:rsidP="003A04FA">
          <w:pPr>
            <w:pStyle w:val="LLPerustelujenkappalejako"/>
          </w:pPr>
          <w:r>
            <w:t xml:space="preserve">Edellä </w:t>
          </w:r>
          <w:r w:rsidR="00146F28">
            <w:t>kuvatuista</w:t>
          </w:r>
          <w:r>
            <w:t xml:space="preserve"> syistä vähintään 0,7 työntekijän henkilöstömitoituksen kattava toteuttaminen </w:t>
          </w:r>
          <w:r w:rsidR="00ED148E">
            <w:t xml:space="preserve">laissa nykyisellään säädetyssä </w:t>
          </w:r>
          <w:r>
            <w:t xml:space="preserve">aikataulussa </w:t>
          </w:r>
          <w:r w:rsidR="00ED148E">
            <w:t xml:space="preserve">ei </w:t>
          </w:r>
          <w:r w:rsidR="00E87AE6">
            <w:t>ole</w:t>
          </w:r>
          <w:r>
            <w:t xml:space="preserve"> mahdollista. Hallituksen esityksen tarkoituksena on säätää henkilöstömitoituksen toteuttamisen </w:t>
          </w:r>
          <w:r w:rsidR="005B6132">
            <w:t>toteutettavissa olevasta a</w:t>
          </w:r>
          <w:r>
            <w:t xml:space="preserve">ikataulusta siten, että </w:t>
          </w:r>
          <w:r w:rsidR="005B6132">
            <w:t xml:space="preserve">henkilöstön </w:t>
          </w:r>
          <w:r w:rsidR="00E87AE6">
            <w:t>saatavuutta ja riittävyyttä lisääville toimille on käytettävissä riittävä ja uskottava aika.</w:t>
          </w:r>
          <w:r w:rsidR="005B6132">
            <w:t xml:space="preserve"> </w:t>
          </w:r>
        </w:p>
        <w:p w14:paraId="4E517F92" w14:textId="77777777" w:rsidR="003A04FA" w:rsidRDefault="00535F6A" w:rsidP="003A04FA">
          <w:pPr>
            <w:spacing w:line="220" w:lineRule="exact"/>
          </w:pPr>
          <w:r>
            <w:t xml:space="preserve">THL:n Vanhuspalvelujen tila -seurannan </w:t>
          </w:r>
          <w:r w:rsidR="0069696A">
            <w:t xml:space="preserve">ennakkotietojen mukaan </w:t>
          </w:r>
          <w:r>
            <w:t>toukokuun 2023 tilanteeseen verrattuna tarvitaan</w:t>
          </w:r>
          <w:r w:rsidR="00C7620D">
            <w:t xml:space="preserve"> </w:t>
          </w:r>
          <w:r>
            <w:t xml:space="preserve">(ilman sijaistarpeen huomiointia) </w:t>
          </w:r>
          <w:r w:rsidR="003576C2">
            <w:t>272</w:t>
          </w:r>
          <w:r>
            <w:t xml:space="preserve"> henkilön laskennallinen lisätyöpanos mitoitukseen 0,65 ja </w:t>
          </w:r>
          <w:r w:rsidR="003576C2">
            <w:t>1 725</w:t>
          </w:r>
          <w:r>
            <w:t xml:space="preserve"> henkilön laskennallinen lisätyöpanos mitoitukseen 0,7. Esityksen mukainen mitoituksen 0,7 voimaantulon siirto vähentää tarvetta lisätä henkilöstöä noin </w:t>
          </w:r>
          <w:r w:rsidR="003576C2">
            <w:t>1 453</w:t>
          </w:r>
          <w:r>
            <w:t xml:space="preserve"> työntekijää vastaavan työpanoksen verran julkisella ja yksityisellä sektorilla yhteensä. Myös sijaisten lisäystarve vähenee. </w:t>
          </w:r>
          <w:r w:rsidR="005A6C56">
            <w:t>Riittävän lisäajan antaminen edellä kuvattujen henkilöstön saatavuutta ja riittävyyttä turvaavien toimenpiteiden tot</w:t>
          </w:r>
          <w:r w:rsidR="003178ED">
            <w:t>e</w:t>
          </w:r>
          <w:r w:rsidR="005A6C56">
            <w:t>uttamiselle mahdollistaa vähintään 0,7 henkilöstömitoituksen saavuttamisen vuoden 2027 loppuun mennessä.</w:t>
          </w:r>
          <w:r w:rsidR="00C0187E">
            <w:t xml:space="preserve"> </w:t>
          </w:r>
          <w:r w:rsidR="003A04FA">
            <w:t>Esityksen tavoitteena on osaltaan myös edistää ja turvata henkilöstön saatavuutta ja riittävyyttä muissa iäkkäiden palveluissa</w:t>
          </w:r>
          <w:r w:rsidR="000A017D">
            <w:t xml:space="preserve"> sekä myös </w:t>
          </w:r>
          <w:r w:rsidR="000A017D" w:rsidRPr="000A017D">
            <w:t xml:space="preserve">varmistaa henkilöstön saatavuutta </w:t>
          </w:r>
          <w:r w:rsidR="000A017D">
            <w:t xml:space="preserve">laajemminkin </w:t>
          </w:r>
          <w:r w:rsidR="000A017D" w:rsidRPr="000A017D">
            <w:t xml:space="preserve">sosiaali- ja terveyspalveluissa.  </w:t>
          </w:r>
        </w:p>
        <w:p w14:paraId="2797F196" w14:textId="77777777" w:rsidR="00146F28" w:rsidRDefault="00146F28" w:rsidP="00146F28">
          <w:pPr>
            <w:spacing w:line="220" w:lineRule="exact"/>
          </w:pPr>
        </w:p>
        <w:p w14:paraId="0B1BD067" w14:textId="77777777" w:rsidR="00AF3149" w:rsidRDefault="00B50B98" w:rsidP="00AF3149">
          <w:pPr>
            <w:pStyle w:val="LLPerustelujenkappalejako"/>
          </w:pPr>
          <w:r w:rsidRPr="00AF3149">
            <w:lastRenderedPageBreak/>
            <w:t xml:space="preserve">Henkilöstömitoitusta koskevan vanhuspalvelulain muutoksen </w:t>
          </w:r>
          <w:r w:rsidR="00ED148E">
            <w:t>1.12.</w:t>
          </w:r>
          <w:r w:rsidR="001413CC" w:rsidRPr="00EE2D0B">
            <w:t>202</w:t>
          </w:r>
          <w:r w:rsidR="00160077" w:rsidRPr="00EE2D0B">
            <w:t xml:space="preserve">3 voimaan tulevaa </w:t>
          </w:r>
          <w:r w:rsidRPr="00AF3149">
            <w:t xml:space="preserve">voimaantulosäännöstä muutettaisiin siten, </w:t>
          </w:r>
          <w:r w:rsidR="00AF3149" w:rsidRPr="00AF3149">
            <w:t xml:space="preserve">että lain 20 §:n 2 momentissa säädettyä </w:t>
          </w:r>
          <w:r>
            <w:t xml:space="preserve">vähintään 0,7 työntekijän </w:t>
          </w:r>
          <w:r w:rsidR="00AF3149" w:rsidRPr="00AF3149">
            <w:t xml:space="preserve">henkilöstömitoitusta </w:t>
          </w:r>
          <w:r w:rsidR="003A04FA">
            <w:t xml:space="preserve">asiakasta kohti </w:t>
          </w:r>
          <w:r w:rsidR="00AF3149" w:rsidRPr="00AF3149">
            <w:t>sovellet</w:t>
          </w:r>
          <w:r>
            <w:t xml:space="preserve">taisiin </w:t>
          </w:r>
          <w:r w:rsidR="00AF3149" w:rsidRPr="00AF3149">
            <w:t>1.</w:t>
          </w:r>
          <w:r>
            <w:t>1</w:t>
          </w:r>
          <w:r w:rsidR="006601DD">
            <w:t>.</w:t>
          </w:r>
          <w:r w:rsidR="00AF3149" w:rsidRPr="00AF3149">
            <w:t>202</w:t>
          </w:r>
          <w:r w:rsidR="006601DD">
            <w:t>8</w:t>
          </w:r>
          <w:r w:rsidR="00AF3149" w:rsidRPr="00AF3149">
            <w:t xml:space="preserve"> </w:t>
          </w:r>
          <w:r>
            <w:t>l</w:t>
          </w:r>
          <w:r w:rsidR="00C56AB4">
            <w:t>ähtien.</w:t>
          </w:r>
          <w:r w:rsidR="00ED148E">
            <w:t xml:space="preserve"> Tämä olisi </w:t>
          </w:r>
          <w:r w:rsidR="002E04F2">
            <w:t xml:space="preserve">hieman yli neljä vuotta voimassa olevaa aikataulua </w:t>
          </w:r>
          <w:r w:rsidR="005B6132">
            <w:t xml:space="preserve">myöhemmin. </w:t>
          </w:r>
          <w:r w:rsidR="006601DD">
            <w:t>E</w:t>
          </w:r>
          <w:r w:rsidR="00ED148E">
            <w:t>nnen 1.1</w:t>
          </w:r>
          <w:r w:rsidR="006601DD">
            <w:t>.2028</w:t>
          </w:r>
          <w:r w:rsidR="00ED148E">
            <w:t xml:space="preserve"> </w:t>
          </w:r>
          <w:r w:rsidR="005B6132">
            <w:t>edellytettäisiin vähintään 0,65 työntekijän henkilöstömitoitusta kyseisiin tehtäviin</w:t>
          </w:r>
          <w:r w:rsidR="006601DD">
            <w:t xml:space="preserve"> voimassa olevan lain mukaisesti</w:t>
          </w:r>
          <w:r w:rsidR="005B6132">
            <w:t xml:space="preserve">. </w:t>
          </w:r>
        </w:p>
        <w:p w14:paraId="4516A8C7" w14:textId="77777777" w:rsidR="002E04F2" w:rsidRDefault="002E04F2" w:rsidP="00AF3149">
          <w:pPr>
            <w:pStyle w:val="LLPerustelujenkappalejako"/>
          </w:pPr>
        </w:p>
        <w:p w14:paraId="1155BE53" w14:textId="77777777" w:rsidR="00597D82" w:rsidRDefault="00597D82" w:rsidP="00597D82">
          <w:pPr>
            <w:pStyle w:val="LLP2Otsikkotaso"/>
          </w:pPr>
          <w:bookmarkStart w:id="26" w:name="_Toc118796210"/>
          <w:bookmarkStart w:id="27" w:name="_Toc118814264"/>
          <w:bookmarkStart w:id="28" w:name="_Toc119005719"/>
          <w:r>
            <w:t>Pääasialliset vaikutukset</w:t>
          </w:r>
          <w:bookmarkEnd w:id="26"/>
          <w:bookmarkEnd w:id="27"/>
          <w:bookmarkEnd w:id="28"/>
        </w:p>
        <w:p w14:paraId="21733C70" w14:textId="77777777" w:rsidR="00597D82" w:rsidRPr="003B7D80" w:rsidRDefault="00597D82" w:rsidP="00D81E43">
          <w:pPr>
            <w:pStyle w:val="LLP3Otsikkotaso"/>
          </w:pPr>
          <w:bookmarkStart w:id="29" w:name="_Toc119005720"/>
          <w:r w:rsidRPr="003B7D80">
            <w:t>Taloudelliset vaikutukset</w:t>
          </w:r>
          <w:bookmarkEnd w:id="29"/>
          <w:r w:rsidRPr="003B7D80">
            <w:t xml:space="preserve"> </w:t>
          </w:r>
        </w:p>
        <w:p w14:paraId="5CE256B3" w14:textId="77777777" w:rsidR="007456D0" w:rsidRPr="003B7D80" w:rsidRDefault="007456D0" w:rsidP="007456D0">
          <w:pPr>
            <w:pStyle w:val="LLPerustelujenkappalejako"/>
          </w:pPr>
          <w:r w:rsidRPr="003B7D80">
            <w:t xml:space="preserve">Voimassa olevan vanhuspalvelulain mukaan iäkkäiden ympärivuorokautisen hoidon toteutuneen henkilöstömitoituksen </w:t>
          </w:r>
          <w:r>
            <w:t xml:space="preserve">tulee olla </w:t>
          </w:r>
          <w:r w:rsidRPr="003B7D80">
            <w:t>vähintään 0,7 työntekijää asiakasta kohti 1.</w:t>
          </w:r>
          <w:r>
            <w:t>12</w:t>
          </w:r>
          <w:r w:rsidRPr="003B7D80">
            <w:t>.2023 lähtien. La</w:t>
          </w:r>
          <w:r>
            <w:t xml:space="preserve">issa säädetyn </w:t>
          </w:r>
          <w:r w:rsidRPr="003B7D80">
            <w:t>vaiheistuksen mukaan henkilöstömitoituksen on pitänyt olla 1.</w:t>
          </w:r>
          <w:r>
            <w:t>4</w:t>
          </w:r>
          <w:r w:rsidRPr="003B7D80">
            <w:t>.202</w:t>
          </w:r>
          <w:r>
            <w:t>3</w:t>
          </w:r>
          <w:r w:rsidRPr="003B7D80">
            <w:t xml:space="preserve"> lukien vähintään 0,6</w:t>
          </w:r>
          <w:r>
            <w:t xml:space="preserve">5 </w:t>
          </w:r>
          <w:r w:rsidRPr="003B7D80">
            <w:t>työntekijää asiakasta kohti.</w:t>
          </w:r>
        </w:p>
        <w:p w14:paraId="7224EBD6" w14:textId="77777777" w:rsidR="007456D0" w:rsidRPr="003B7D80" w:rsidRDefault="007456D0" w:rsidP="007456D0">
          <w:pPr>
            <w:pStyle w:val="LLPerustelujenkappalejako"/>
          </w:pPr>
          <w:r w:rsidRPr="003B7D80">
            <w:t xml:space="preserve">Esityksessä </w:t>
          </w:r>
          <w:r w:rsidR="00ED7F4D">
            <w:t>henkilöstö</w:t>
          </w:r>
          <w:r w:rsidRPr="003B7D80">
            <w:t>mitoituksen voimaantuloa siirret</w:t>
          </w:r>
          <w:r w:rsidR="008004B8">
            <w:t>t</w:t>
          </w:r>
          <w:r w:rsidRPr="003B7D80">
            <w:t>ä</w:t>
          </w:r>
          <w:r w:rsidR="008004B8">
            <w:t>isiin</w:t>
          </w:r>
          <w:r w:rsidRPr="003B7D80">
            <w:t xml:space="preserve"> </w:t>
          </w:r>
          <w:r>
            <w:t xml:space="preserve">siten, että </w:t>
          </w:r>
          <w:r w:rsidRPr="003B7D80">
            <w:t>vähimmäismitoitus 0,7 työntekijää asiakasta kohti</w:t>
          </w:r>
          <w:r>
            <w:t xml:space="preserve"> tulisi voimaan 1.1.2028</w:t>
          </w:r>
          <w:r w:rsidRPr="003B7D80">
            <w:t>.</w:t>
          </w:r>
        </w:p>
        <w:p w14:paraId="0D7876A4" w14:textId="77777777" w:rsidR="007456D0" w:rsidRDefault="007456D0" w:rsidP="007456D0">
          <w:pPr>
            <w:pStyle w:val="LLPerustelujenkappalejako"/>
          </w:pPr>
          <w:r w:rsidRPr="003B7D80">
            <w:t xml:space="preserve">Mitoitus tulisi siis olemaan </w:t>
          </w:r>
          <w:r>
            <w:t xml:space="preserve">noin neljän vuoden </w:t>
          </w:r>
          <w:r w:rsidRPr="003B7D80">
            <w:t xml:space="preserve">ajan pienempi kuin nykyisen lain mukaan. </w:t>
          </w:r>
          <w:r>
            <w:t xml:space="preserve">Esityksen vuoksi säästyy henkilöstökustannuksia, koska mitoituksen nostoon 0,65–0,7 tarvittava lisähenkilöstö voidaan palkata joulukuun 2023 sijasta vasta loppuvuodesta 2027. </w:t>
          </w:r>
          <w:r w:rsidRPr="00DD08C5">
            <w:t xml:space="preserve">Hyvinvointialueille mitoituksen toteuttamista varten osoitettava rahoitus ja sen muutokset on kuvattu luvussa </w:t>
          </w:r>
          <w:r w:rsidR="00243C44" w:rsidRPr="00DD08C5">
            <w:t>Suhde</w:t>
          </w:r>
          <w:r w:rsidRPr="00DD08C5">
            <w:t xml:space="preserve"> talousarvioesitykseen.</w:t>
          </w:r>
          <w:r>
            <w:t xml:space="preserve"> Y</w:t>
          </w:r>
          <w:r w:rsidRPr="003B7D80">
            <w:t xml:space="preserve">ksityisten palveluntuottajien </w:t>
          </w:r>
          <w:r>
            <w:t xml:space="preserve">tuottamien palvelujen </w:t>
          </w:r>
          <w:r w:rsidRPr="003B7D80">
            <w:t xml:space="preserve">osalta lopulliset kustannusvaikutukset hyvinvointialueille ja yksityisille palveluntuottajille riippuvat siitä, miten </w:t>
          </w:r>
          <w:r>
            <w:t>henkilöstömitoituksesta ja palvelujen hinnoista on ostopalvelusopimuksissa sovittu ja sovitaan.</w:t>
          </w:r>
          <w:r w:rsidRPr="003B7D80">
            <w:t xml:space="preserve"> </w:t>
          </w:r>
        </w:p>
        <w:p w14:paraId="616C3BD5" w14:textId="77777777" w:rsidR="007456D0" w:rsidRPr="003B7D80" w:rsidRDefault="007456D0" w:rsidP="007456D0">
          <w:pPr>
            <w:pStyle w:val="LLPerustelujenkappalejako"/>
            <w:rPr>
              <w:color w:val="000000" w:themeColor="text1"/>
            </w:rPr>
          </w:pPr>
          <w:r>
            <w:t>H</w:t>
          </w:r>
          <w:r w:rsidRPr="00823CE7">
            <w:t>enkilöstömitoituksen säätämisen</w:t>
          </w:r>
          <w:r>
            <w:t xml:space="preserve"> yhteydessä </w:t>
          </w:r>
          <w:r w:rsidR="00ED7F4D">
            <w:t xml:space="preserve">vuonna 2020 </w:t>
          </w:r>
          <w:r>
            <w:t>on arvioitu koko mitoituksen noston taloudelliset vaikutukset, joiden pohjalta kuntien ja hyvinvointialueiden saamaa rahoitusta on lisätty. Hyvinvointialueiden rahoituksessa otetaan huomioon myös k</w:t>
          </w:r>
          <w:r w:rsidRPr="00464E05">
            <w:t>ustannustason muuto</w:t>
          </w:r>
          <w:r>
            <w:t>s</w:t>
          </w:r>
          <w:r w:rsidRPr="00464E05">
            <w:t>.</w:t>
          </w:r>
          <w:r>
            <w:t xml:space="preserve"> Se tehdään hintaindeksillä</w:t>
          </w:r>
          <w:r>
            <w:rPr>
              <w:rStyle w:val="Alaviitteenviite"/>
            </w:rPr>
            <w:footnoteReference w:id="3"/>
          </w:r>
          <w:r>
            <w:t>, jonka on tarkoitus huomioida esimerkiksi henkilöstökustannuksiin vaikuttavat muutokset. Tässä esityksessä arv</w:t>
          </w:r>
          <w:r w:rsidRPr="00FD5FBA">
            <w:t>ioidaan mitoituksen voimaantulon siirron (ajankohdasta 1.12.2023 ajankohtaan 1.1.2028) vaikutukset</w:t>
          </w:r>
          <w:r>
            <w:t>. T</w:t>
          </w:r>
          <w:r>
            <w:rPr>
              <w:color w:val="000000" w:themeColor="text1"/>
            </w:rPr>
            <w:t xml:space="preserve">aloudelliset vaikutukset on arvioitu vastaavalla tavalla kuin </w:t>
          </w:r>
          <w:r>
            <w:t>h</w:t>
          </w:r>
          <w:r w:rsidRPr="00823CE7">
            <w:t>enkilöstömitoituksen säätämiseen johtaneessa hallituksen esityksessä HE 4/2020 vp</w:t>
          </w:r>
          <w:r>
            <w:t xml:space="preserve"> ja mitoituksen voimaantulon siirtoa koskevassa hallituksen esityksessä HE 298/2022 vp. Lähtötilanne eli muun muassa henkilöstön lisätarve on päivitetty </w:t>
          </w:r>
          <w:r w:rsidRPr="00542DC1">
            <w:t>toukokuun 2023</w:t>
          </w:r>
          <w:r>
            <w:t xml:space="preserve"> mukaiseksi </w:t>
          </w:r>
          <w:r w:rsidR="00C7620D">
            <w:t xml:space="preserve">(ennakkotieto) </w:t>
          </w:r>
          <w:r>
            <w:t>ja kustannu</w:t>
          </w:r>
          <w:r w:rsidR="003B693F">
            <w:t>svaikutu</w:t>
          </w:r>
          <w:r>
            <w:t xml:space="preserve">kset arvioidaan </w:t>
          </w:r>
          <w:r w:rsidRPr="00ED7F4D">
            <w:t xml:space="preserve">vuosille 2023 ja 2024 (ko. vuosien tasossa). </w:t>
          </w:r>
        </w:p>
        <w:p w14:paraId="10403472" w14:textId="77777777" w:rsidR="007456D0" w:rsidRDefault="007456D0" w:rsidP="007456D0">
          <w:pPr>
            <w:pStyle w:val="LLPerustelujenkappalejako"/>
            <w:rPr>
              <w:b/>
              <w:color w:val="000000" w:themeColor="text1"/>
            </w:rPr>
          </w:pPr>
          <w:r w:rsidRPr="003B7D80">
            <w:t xml:space="preserve">THL:n Vanhuspalvelujen tila -seurannan </w:t>
          </w:r>
          <w:r w:rsidR="003B693F">
            <w:t xml:space="preserve">ennakkotietojen mukaan </w:t>
          </w:r>
          <w:r w:rsidRPr="00542DC1">
            <w:t>toukokuun 2023</w:t>
          </w:r>
          <w:r w:rsidRPr="005415D5">
            <w:t xml:space="preserve"> tilanteeseen verrattuna tarvitaan (ilman sijaistarpeen huomiointia) </w:t>
          </w:r>
          <w:r w:rsidR="003B693F">
            <w:t>272</w:t>
          </w:r>
          <w:r w:rsidRPr="005415D5">
            <w:t xml:space="preserve"> henkilön laskennallinen lisätyöpanos </w:t>
          </w:r>
          <w:r w:rsidRPr="005415D5">
            <w:lastRenderedPageBreak/>
            <w:t xml:space="preserve">mitoitukseen 0,65 ja </w:t>
          </w:r>
          <w:r w:rsidR="003B693F">
            <w:t>1 725</w:t>
          </w:r>
          <w:r w:rsidRPr="005415D5">
            <w:t xml:space="preserve"> henkilön laskennallinen lisätyöpanos mitoitukseen 0,7. Esityksen vuoksi säästyvien henkilöstökustannusten </w:t>
          </w:r>
          <w:r w:rsidRPr="00252A34">
            <w:t xml:space="preserve">määrä koskee </w:t>
          </w:r>
          <w:r>
            <w:t xml:space="preserve">siten </w:t>
          </w:r>
          <w:r w:rsidR="003B693F">
            <w:t>1 453</w:t>
          </w:r>
          <w:r w:rsidRPr="005415D5">
            <w:t xml:space="preserve"> työntekijän työpanosta julkisella ja yksityisellä sektorilla yhteensä.</w:t>
          </w:r>
          <w:r w:rsidRPr="003B7D80">
            <w:t xml:space="preserve"> </w:t>
          </w:r>
          <w:r>
            <w:t xml:space="preserve">Siitä julkisten osuus on </w:t>
          </w:r>
          <w:r w:rsidR="00277479">
            <w:t>38</w:t>
          </w:r>
          <w:r>
            <w:t xml:space="preserve"> prosenttia ja yksityisten palveluntuottajien </w:t>
          </w:r>
          <w:r w:rsidR="00277479">
            <w:t>62</w:t>
          </w:r>
          <w:r>
            <w:t xml:space="preserve"> prosenttia. </w:t>
          </w:r>
          <w:r w:rsidRPr="00D24B1B">
            <w:t xml:space="preserve">Arvio lisähenkilöstön tarpeesta mitoitukseen 0,65/0,7 on laskettu toimintayksikkökohtaisesti ja perustuen </w:t>
          </w:r>
          <w:r>
            <w:t>nii</w:t>
          </w:r>
          <w:r w:rsidRPr="00D24B1B">
            <w:t xml:space="preserve">den </w:t>
          </w:r>
          <w:r>
            <w:t xml:space="preserve">toteutuneisiin </w:t>
          </w:r>
          <w:r w:rsidRPr="00D24B1B">
            <w:t>mitoituk</w:t>
          </w:r>
          <w:r>
            <w:t>sii</w:t>
          </w:r>
          <w:r w:rsidRPr="00D24B1B">
            <w:t>n</w:t>
          </w:r>
          <w:r>
            <w:rPr>
              <w:rStyle w:val="Alaviitteenviite"/>
              <w:color w:val="000000" w:themeColor="text1"/>
            </w:rPr>
            <w:footnoteReference w:id="4"/>
          </w:r>
          <w:r w:rsidRPr="00D24B1B">
            <w:t xml:space="preserve">. </w:t>
          </w:r>
        </w:p>
        <w:p w14:paraId="0A28B9A2" w14:textId="77777777" w:rsidR="007456D0" w:rsidRPr="003B7D80" w:rsidRDefault="007456D0" w:rsidP="007456D0">
          <w:pPr>
            <w:pStyle w:val="LLPerustelujenkappalejako"/>
          </w:pPr>
          <w:r w:rsidRPr="00783860">
            <w:rPr>
              <w:b/>
            </w:rPr>
            <w:t>Taulukko 1.</w:t>
          </w:r>
          <w:r w:rsidRPr="003B7D80">
            <w:t xml:space="preserve"> 0,65 ja 0,7 mitoitukseen tarvittava</w:t>
          </w:r>
          <w:r>
            <w:t>n</w:t>
          </w:r>
          <w:r w:rsidRPr="003B7D80">
            <w:t xml:space="preserve"> lisähenkilöstö</w:t>
          </w:r>
          <w:r>
            <w:t>n erotus</w:t>
          </w:r>
          <w:r w:rsidRPr="003B7D80">
            <w:t xml:space="preserve"> julkisten ja yksityisten palveluntuottajien osalta</w:t>
          </w:r>
          <w:r>
            <w:t xml:space="preserve"> (</w:t>
          </w:r>
          <w:r w:rsidRPr="003B7D80">
            <w:t>ilman sijaistarvetta)</w:t>
          </w:r>
          <w:r w:rsidR="004935E7" w:rsidRPr="004935E7">
            <w:t xml:space="preserve"> </w:t>
          </w:r>
          <w:r w:rsidR="004935E7" w:rsidRPr="00542DC1">
            <w:t>toukokuun 2023</w:t>
          </w:r>
          <w:r w:rsidR="004935E7">
            <w:t xml:space="preserve"> tilanteeseen verrattuna (ennakkotieto)</w:t>
          </w:r>
        </w:p>
        <w:tbl>
          <w:tblPr>
            <w:tblStyle w:val="TaulukkoRuudukko"/>
            <w:tblW w:w="83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6"/>
            <w:gridCol w:w="1134"/>
            <w:gridCol w:w="1842"/>
            <w:gridCol w:w="2127"/>
          </w:tblGrid>
          <w:tr w:rsidR="007456D0" w:rsidRPr="0000543A" w14:paraId="0B098D0A" w14:textId="77777777" w:rsidTr="00E6020A">
            <w:tc>
              <w:tcPr>
                <w:tcW w:w="3256" w:type="dxa"/>
              </w:tcPr>
              <w:p w14:paraId="57662283" w14:textId="77777777" w:rsidR="007456D0" w:rsidRPr="0000543A" w:rsidRDefault="007456D0" w:rsidP="00E6020A">
                <w:pPr>
                  <w:pStyle w:val="LLNormaali"/>
                </w:pPr>
              </w:p>
            </w:tc>
            <w:tc>
              <w:tcPr>
                <w:tcW w:w="1134" w:type="dxa"/>
              </w:tcPr>
              <w:p w14:paraId="0446F14E" w14:textId="77777777" w:rsidR="007456D0" w:rsidRDefault="007456D0" w:rsidP="00E6020A">
                <w:pPr>
                  <w:pStyle w:val="LLNormaali"/>
                </w:pPr>
                <w:r w:rsidRPr="0000543A">
                  <w:t>Yhteensä</w:t>
                </w:r>
              </w:p>
              <w:p w14:paraId="30A3FE86" w14:textId="77777777" w:rsidR="007456D0" w:rsidRDefault="007456D0" w:rsidP="00E6020A">
                <w:pPr>
                  <w:pStyle w:val="LLNormaali"/>
                </w:pPr>
              </w:p>
              <w:p w14:paraId="1E683592" w14:textId="77777777" w:rsidR="007456D0" w:rsidRPr="0000543A" w:rsidRDefault="007456D0" w:rsidP="00E6020A">
                <w:pPr>
                  <w:pStyle w:val="LLNormaali"/>
                </w:pPr>
              </w:p>
            </w:tc>
            <w:tc>
              <w:tcPr>
                <w:tcW w:w="1842" w:type="dxa"/>
              </w:tcPr>
              <w:p w14:paraId="1EDBE22E" w14:textId="77777777" w:rsidR="007456D0" w:rsidRPr="0000543A" w:rsidRDefault="007456D0" w:rsidP="00E6020A">
                <w:pPr>
                  <w:pStyle w:val="LLNormaali"/>
                </w:pPr>
                <w:r w:rsidRPr="0000543A">
                  <w:t>Julkiset palveluntuottajat</w:t>
                </w:r>
              </w:p>
            </w:tc>
            <w:tc>
              <w:tcPr>
                <w:tcW w:w="2127" w:type="dxa"/>
              </w:tcPr>
              <w:p w14:paraId="7480C4C4" w14:textId="77777777" w:rsidR="007456D0" w:rsidRPr="0000543A" w:rsidRDefault="007456D0" w:rsidP="00E6020A">
                <w:pPr>
                  <w:pStyle w:val="LLNormaali"/>
                </w:pPr>
                <w:r w:rsidRPr="0000543A">
                  <w:t>Yksityiset palveluntuottajat</w:t>
                </w:r>
              </w:p>
            </w:tc>
          </w:tr>
          <w:tr w:rsidR="007456D0" w:rsidRPr="0000543A" w14:paraId="2B748F2E" w14:textId="77777777" w:rsidTr="00E6020A">
            <w:tc>
              <w:tcPr>
                <w:tcW w:w="8359" w:type="dxa"/>
                <w:gridSpan w:val="4"/>
              </w:tcPr>
              <w:p w14:paraId="08747999" w14:textId="77777777" w:rsidR="007456D0" w:rsidRDefault="007456D0" w:rsidP="00E6020A">
                <w:pPr>
                  <w:pStyle w:val="LLNormaali"/>
                </w:pPr>
                <w:r w:rsidRPr="0000543A">
                  <w:rPr>
                    <w:b/>
                    <w:bCs/>
                  </w:rPr>
                  <w:t>Erotus mitoitusten 0,65 ja 0,7 välillä</w:t>
                </w:r>
                <w:r w:rsidRPr="0000543A">
                  <w:t xml:space="preserve"> (vähennys henkilöstömäärän lisäyksessä)</w:t>
                </w:r>
              </w:p>
              <w:p w14:paraId="7769A890" w14:textId="77777777" w:rsidR="007456D0" w:rsidRPr="0000543A" w:rsidRDefault="007456D0" w:rsidP="00E6020A">
                <w:pPr>
                  <w:pStyle w:val="LLNormaali"/>
                  <w:rPr>
                    <w:b/>
                    <w:bCs/>
                  </w:rPr>
                </w:pPr>
              </w:p>
            </w:tc>
          </w:tr>
          <w:tr w:rsidR="007456D0" w:rsidRPr="0000543A" w14:paraId="4D31DA4E" w14:textId="77777777" w:rsidTr="00E6020A">
            <w:tc>
              <w:tcPr>
                <w:tcW w:w="3256" w:type="dxa"/>
              </w:tcPr>
              <w:p w14:paraId="31A59CB9" w14:textId="77777777" w:rsidR="007456D0" w:rsidRDefault="007456D0" w:rsidP="00E6020A">
                <w:pPr>
                  <w:pStyle w:val="LLNormaali"/>
                </w:pPr>
                <w:r w:rsidRPr="0000543A">
                  <w:t>ero henkilöstötarpeessa mitoitusten 0,65 ja 0,7 välillä</w:t>
                </w:r>
              </w:p>
              <w:p w14:paraId="397A23D9" w14:textId="77777777" w:rsidR="007456D0" w:rsidRPr="0000543A" w:rsidRDefault="007456D0" w:rsidP="00E6020A">
                <w:pPr>
                  <w:pStyle w:val="LLNormaali"/>
                </w:pPr>
              </w:p>
            </w:tc>
            <w:tc>
              <w:tcPr>
                <w:tcW w:w="1134" w:type="dxa"/>
                <w:vAlign w:val="bottom"/>
              </w:tcPr>
              <w:p w14:paraId="1DBE0FFB" w14:textId="77777777" w:rsidR="007456D0" w:rsidRDefault="00676DE2" w:rsidP="00E6020A">
                <w:pPr>
                  <w:pStyle w:val="LLNormaali"/>
                  <w:jc w:val="right"/>
                </w:pPr>
                <w:r>
                  <w:t>1 453</w:t>
                </w:r>
              </w:p>
              <w:p w14:paraId="1F77C2FD" w14:textId="77777777" w:rsidR="007456D0" w:rsidRPr="0000543A" w:rsidRDefault="007456D0" w:rsidP="00E6020A">
                <w:pPr>
                  <w:pStyle w:val="LLNormaali"/>
                  <w:jc w:val="right"/>
                </w:pPr>
              </w:p>
            </w:tc>
            <w:tc>
              <w:tcPr>
                <w:tcW w:w="1842" w:type="dxa"/>
                <w:vAlign w:val="bottom"/>
              </w:tcPr>
              <w:p w14:paraId="50801D3B" w14:textId="77777777" w:rsidR="007456D0" w:rsidRDefault="00676DE2" w:rsidP="00E6020A">
                <w:pPr>
                  <w:pStyle w:val="LLNormaali"/>
                  <w:jc w:val="right"/>
                </w:pPr>
                <w:r>
                  <w:t>551</w:t>
                </w:r>
              </w:p>
              <w:p w14:paraId="5DEE388C" w14:textId="77777777" w:rsidR="007456D0" w:rsidRPr="0000543A" w:rsidRDefault="007456D0" w:rsidP="00E6020A">
                <w:pPr>
                  <w:pStyle w:val="LLNormaali"/>
                  <w:jc w:val="right"/>
                </w:pPr>
              </w:p>
            </w:tc>
            <w:tc>
              <w:tcPr>
                <w:tcW w:w="2127" w:type="dxa"/>
                <w:vAlign w:val="bottom"/>
              </w:tcPr>
              <w:p w14:paraId="16FC4414" w14:textId="77777777" w:rsidR="007456D0" w:rsidRDefault="00676DE2" w:rsidP="00E6020A">
                <w:pPr>
                  <w:pStyle w:val="LLNormaali"/>
                  <w:jc w:val="right"/>
                </w:pPr>
                <w:r>
                  <w:t>902</w:t>
                </w:r>
              </w:p>
              <w:p w14:paraId="66CC7859" w14:textId="77777777" w:rsidR="007456D0" w:rsidRPr="0000543A" w:rsidRDefault="007456D0" w:rsidP="00E6020A">
                <w:pPr>
                  <w:pStyle w:val="LLNormaali"/>
                  <w:jc w:val="right"/>
                </w:pPr>
              </w:p>
            </w:tc>
          </w:tr>
          <w:tr w:rsidR="007456D0" w:rsidRPr="0000543A" w14:paraId="10CCF9ED" w14:textId="77777777" w:rsidTr="00E6020A">
            <w:tc>
              <w:tcPr>
                <w:tcW w:w="3256" w:type="dxa"/>
              </w:tcPr>
              <w:p w14:paraId="0C90B25D" w14:textId="77777777" w:rsidR="007456D0" w:rsidRDefault="007456D0" w:rsidP="00E6020A">
                <w:pPr>
                  <w:pStyle w:val="LLNormaali"/>
                </w:pPr>
                <w:r w:rsidRPr="0000543A">
                  <w:t>% koko nykyisestä henkilöstöstä</w:t>
                </w:r>
                <w:r>
                  <w:t xml:space="preserve"> (välitön työ)</w:t>
                </w:r>
              </w:p>
              <w:p w14:paraId="26174CF7" w14:textId="77777777" w:rsidR="007456D0" w:rsidRPr="0000543A" w:rsidRDefault="007456D0" w:rsidP="00E6020A">
                <w:pPr>
                  <w:pStyle w:val="LLNormaali"/>
                </w:pPr>
              </w:p>
            </w:tc>
            <w:tc>
              <w:tcPr>
                <w:tcW w:w="1134" w:type="dxa"/>
                <w:vAlign w:val="bottom"/>
              </w:tcPr>
              <w:p w14:paraId="66F05587" w14:textId="77777777" w:rsidR="007456D0" w:rsidRPr="0000543A" w:rsidRDefault="001C5888" w:rsidP="00E6020A">
                <w:pPr>
                  <w:pStyle w:val="LLNormaali"/>
                  <w:jc w:val="right"/>
                </w:pPr>
                <w:r>
                  <w:t>4</w:t>
                </w:r>
                <w:r w:rsidR="007456D0" w:rsidRPr="0000543A">
                  <w:t xml:space="preserve"> %</w:t>
                </w:r>
              </w:p>
            </w:tc>
            <w:tc>
              <w:tcPr>
                <w:tcW w:w="1842" w:type="dxa"/>
                <w:vAlign w:val="bottom"/>
              </w:tcPr>
              <w:p w14:paraId="2D0E05EB" w14:textId="77777777" w:rsidR="007456D0" w:rsidRPr="0000543A" w:rsidRDefault="001C5888" w:rsidP="00E6020A">
                <w:pPr>
                  <w:pStyle w:val="LLNormaali"/>
                  <w:jc w:val="right"/>
                </w:pPr>
                <w:r>
                  <w:t>3</w:t>
                </w:r>
                <w:r w:rsidR="007456D0" w:rsidRPr="0000543A">
                  <w:t xml:space="preserve"> %</w:t>
                </w:r>
              </w:p>
            </w:tc>
            <w:tc>
              <w:tcPr>
                <w:tcW w:w="2127" w:type="dxa"/>
                <w:vAlign w:val="bottom"/>
              </w:tcPr>
              <w:p w14:paraId="0E05D51A" w14:textId="77777777" w:rsidR="007456D0" w:rsidRPr="0000543A" w:rsidRDefault="001C5888" w:rsidP="00E6020A">
                <w:pPr>
                  <w:pStyle w:val="LLNormaali"/>
                  <w:jc w:val="right"/>
                </w:pPr>
                <w:r>
                  <w:t>5</w:t>
                </w:r>
                <w:r w:rsidR="007456D0" w:rsidRPr="0000543A">
                  <w:t xml:space="preserve"> %</w:t>
                </w:r>
              </w:p>
            </w:tc>
          </w:tr>
          <w:tr w:rsidR="007456D0" w:rsidRPr="0000543A" w14:paraId="4283304B" w14:textId="77777777" w:rsidTr="00E6020A">
            <w:tc>
              <w:tcPr>
                <w:tcW w:w="3256" w:type="dxa"/>
              </w:tcPr>
              <w:p w14:paraId="229CA469" w14:textId="77777777" w:rsidR="007456D0" w:rsidRDefault="007456D0" w:rsidP="00E6020A">
                <w:pPr>
                  <w:pStyle w:val="LLNormaali"/>
                </w:pPr>
                <w:r>
                  <w:t xml:space="preserve">yksiköitä, joiden </w:t>
                </w:r>
                <w:r w:rsidRPr="0000543A">
                  <w:t>mitoitus</w:t>
                </w:r>
                <w:r>
                  <w:t xml:space="preserve"> o</w:t>
                </w:r>
                <w:r w:rsidRPr="0000543A">
                  <w:t>n 0,65 ja 0,7 välillä, lkm</w:t>
                </w:r>
              </w:p>
              <w:p w14:paraId="6E5C032B" w14:textId="77777777" w:rsidR="007456D0" w:rsidRPr="0000543A" w:rsidRDefault="007456D0" w:rsidP="00E6020A">
                <w:pPr>
                  <w:pStyle w:val="LLNormaali"/>
                </w:pPr>
              </w:p>
            </w:tc>
            <w:tc>
              <w:tcPr>
                <w:tcW w:w="1134" w:type="dxa"/>
                <w:vAlign w:val="bottom"/>
              </w:tcPr>
              <w:p w14:paraId="5AF27D35" w14:textId="77777777" w:rsidR="007456D0" w:rsidRPr="0000543A" w:rsidRDefault="001C5888" w:rsidP="00E6020A">
                <w:pPr>
                  <w:pStyle w:val="LLNormaali"/>
                  <w:jc w:val="right"/>
                </w:pPr>
                <w:r>
                  <w:t>878</w:t>
                </w:r>
              </w:p>
            </w:tc>
            <w:tc>
              <w:tcPr>
                <w:tcW w:w="1842" w:type="dxa"/>
                <w:vAlign w:val="bottom"/>
              </w:tcPr>
              <w:p w14:paraId="23BA4C5F" w14:textId="77777777" w:rsidR="007456D0" w:rsidRPr="0000543A" w:rsidRDefault="001C5888" w:rsidP="00E6020A">
                <w:pPr>
                  <w:pStyle w:val="LLNormaali"/>
                  <w:jc w:val="right"/>
                </w:pPr>
                <w:r>
                  <w:t>321</w:t>
                </w:r>
              </w:p>
            </w:tc>
            <w:tc>
              <w:tcPr>
                <w:tcW w:w="2127" w:type="dxa"/>
                <w:vAlign w:val="bottom"/>
              </w:tcPr>
              <w:p w14:paraId="3D10A47D" w14:textId="77777777" w:rsidR="007456D0" w:rsidRPr="0000543A" w:rsidRDefault="001C5888" w:rsidP="00E6020A">
                <w:pPr>
                  <w:pStyle w:val="LLNormaali"/>
                  <w:jc w:val="right"/>
                </w:pPr>
                <w:r>
                  <w:t>557</w:t>
                </w:r>
              </w:p>
            </w:tc>
          </w:tr>
        </w:tbl>
        <w:p w14:paraId="3DE081C4" w14:textId="77777777" w:rsidR="008004B8" w:rsidRDefault="008004B8" w:rsidP="007456D0">
          <w:pPr>
            <w:pStyle w:val="LLPerustelujenkappalejako"/>
          </w:pPr>
        </w:p>
        <w:p w14:paraId="68DF11D8" w14:textId="77777777" w:rsidR="007456D0" w:rsidRDefault="007456D0" w:rsidP="007456D0">
          <w:pPr>
            <w:pStyle w:val="LLPerustelujenkappalejako"/>
          </w:pPr>
          <w:r>
            <w:t xml:space="preserve">Taulukossa 2 on lisäksi taustatiedoksi kuvattu tarkemmin, kuinka paljon henkilöstöä tarvitaan </w:t>
          </w:r>
          <w:r w:rsidR="001C5888">
            <w:t xml:space="preserve">ennakkotietojen mukaan </w:t>
          </w:r>
          <w:r>
            <w:t xml:space="preserve">lisää </w:t>
          </w:r>
          <w:r w:rsidRPr="00542DC1">
            <w:t>toukokuun 2023</w:t>
          </w:r>
          <w:r>
            <w:t xml:space="preserve"> tilanteeseen verrattuna sekä mitoitukseen 0,65 että 0,7 ja kuinka montaa toimintayksikköä lisäystarve koskee. </w:t>
          </w:r>
          <w:r w:rsidRPr="00CA1963">
            <w:t xml:space="preserve">Mitoituksen nosto 0,65:een edellyttää henkilöstön lisäystä </w:t>
          </w:r>
          <w:r w:rsidR="00810625">
            <w:t>11</w:t>
          </w:r>
          <w:r>
            <w:t xml:space="preserve"> prosentilta</w:t>
          </w:r>
          <w:r w:rsidRPr="00CA1963">
            <w:t xml:space="preserve"> ja nosto 0,7:ään </w:t>
          </w:r>
          <w:r>
            <w:t>edellyttä</w:t>
          </w:r>
          <w:r w:rsidR="006847E2">
            <w:t>ä</w:t>
          </w:r>
          <w:r>
            <w:t xml:space="preserve"> lisäystä</w:t>
          </w:r>
          <w:r w:rsidR="006847E2">
            <w:t xml:space="preserve"> kaikkiaan</w:t>
          </w:r>
          <w:r>
            <w:t xml:space="preserve"> </w:t>
          </w:r>
          <w:r w:rsidR="00810625">
            <w:t>60</w:t>
          </w:r>
          <w:r>
            <w:t xml:space="preserve"> prosentilta</w:t>
          </w:r>
          <w:r w:rsidRPr="00CA1963">
            <w:t xml:space="preserve"> iäkkäiden ympärivuorokautisen hoidon yksiköistä.</w:t>
          </w:r>
        </w:p>
        <w:p w14:paraId="50BC7CE9" w14:textId="77777777" w:rsidR="007456D0" w:rsidRDefault="007456D0" w:rsidP="007456D0">
          <w:pPr>
            <w:pStyle w:val="LLPerustelujenkappalejako"/>
          </w:pPr>
          <w:r w:rsidRPr="00783860">
            <w:rPr>
              <w:b/>
            </w:rPr>
            <w:t>Taulukko 2.</w:t>
          </w:r>
          <w:r w:rsidRPr="003B7D80">
            <w:t xml:space="preserve"> 0,65 ja 0,7 mitoitukseen tarvittava lisähenkilöstö</w:t>
          </w:r>
          <w:r>
            <w:t xml:space="preserve"> </w:t>
          </w:r>
          <w:r w:rsidRPr="003B7D80">
            <w:t>julkisten ja yksityisten palveluntuottajien osalta</w:t>
          </w:r>
          <w:r>
            <w:t xml:space="preserve"> </w:t>
          </w:r>
          <w:r w:rsidRPr="00542DC1">
            <w:t>toukokuun 2023</w:t>
          </w:r>
          <w:r>
            <w:t xml:space="preserve"> tilanteeseen verrattuna </w:t>
          </w:r>
          <w:r w:rsidR="00C7620D">
            <w:t>(ennakkotieto)</w:t>
          </w:r>
        </w:p>
        <w:tbl>
          <w:tblPr>
            <w:tblStyle w:val="TaulukkoRuudukko"/>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63"/>
            <w:gridCol w:w="1080"/>
            <w:gridCol w:w="1834"/>
            <w:gridCol w:w="1959"/>
          </w:tblGrid>
          <w:tr w:rsidR="007456D0" w:rsidRPr="0000543A" w14:paraId="291C8D9E" w14:textId="77777777" w:rsidTr="00E6020A">
            <w:tc>
              <w:tcPr>
                <w:tcW w:w="0" w:type="auto"/>
              </w:tcPr>
              <w:p w14:paraId="6A10D0A2" w14:textId="77777777" w:rsidR="007456D0" w:rsidRPr="0000543A" w:rsidRDefault="007456D0" w:rsidP="00E6020A">
                <w:pPr>
                  <w:pStyle w:val="LLNormaali"/>
                </w:pPr>
              </w:p>
            </w:tc>
            <w:tc>
              <w:tcPr>
                <w:tcW w:w="1080" w:type="dxa"/>
              </w:tcPr>
              <w:p w14:paraId="2220B676" w14:textId="77777777" w:rsidR="007456D0" w:rsidRPr="0000543A" w:rsidRDefault="007456D0" w:rsidP="00E6020A">
                <w:pPr>
                  <w:pStyle w:val="LLNormaali"/>
                </w:pPr>
                <w:r w:rsidRPr="0000543A">
                  <w:t>Yhteensä</w:t>
                </w:r>
              </w:p>
            </w:tc>
            <w:tc>
              <w:tcPr>
                <w:tcW w:w="1834" w:type="dxa"/>
              </w:tcPr>
              <w:p w14:paraId="5C049E03" w14:textId="77777777" w:rsidR="007456D0" w:rsidRDefault="007456D0" w:rsidP="00E6020A">
                <w:pPr>
                  <w:pStyle w:val="LLNormaali"/>
                </w:pPr>
                <w:r w:rsidRPr="0000543A">
                  <w:t>Julkiset palveluntuottajat</w:t>
                </w:r>
              </w:p>
              <w:p w14:paraId="382ECE6E" w14:textId="77777777" w:rsidR="007456D0" w:rsidRPr="0000543A" w:rsidRDefault="007456D0" w:rsidP="00E6020A">
                <w:pPr>
                  <w:pStyle w:val="LLNormaali"/>
                </w:pPr>
              </w:p>
            </w:tc>
            <w:tc>
              <w:tcPr>
                <w:tcW w:w="0" w:type="auto"/>
              </w:tcPr>
              <w:p w14:paraId="76B216AB" w14:textId="77777777" w:rsidR="007456D0" w:rsidRPr="0000543A" w:rsidRDefault="007456D0" w:rsidP="00E6020A">
                <w:pPr>
                  <w:pStyle w:val="LLNormaali"/>
                </w:pPr>
                <w:r w:rsidRPr="0000543A">
                  <w:t>Yksityiset palveluntuottajat</w:t>
                </w:r>
              </w:p>
            </w:tc>
          </w:tr>
          <w:tr w:rsidR="007456D0" w:rsidRPr="0000543A" w14:paraId="025C4E02" w14:textId="77777777" w:rsidTr="00E6020A">
            <w:trPr>
              <w:trHeight w:val="282"/>
            </w:trPr>
            <w:tc>
              <w:tcPr>
                <w:tcW w:w="0" w:type="auto"/>
                <w:gridSpan w:val="4"/>
                <w:vAlign w:val="center"/>
              </w:tcPr>
              <w:p w14:paraId="4771A4AA" w14:textId="77777777" w:rsidR="007456D0" w:rsidRDefault="007456D0" w:rsidP="00E6020A">
                <w:pPr>
                  <w:pStyle w:val="LLNormaali"/>
                  <w:rPr>
                    <w:b/>
                    <w:bCs/>
                  </w:rPr>
                </w:pPr>
                <w:r w:rsidRPr="0000543A">
                  <w:rPr>
                    <w:b/>
                    <w:bCs/>
                  </w:rPr>
                  <w:t>Mitoitus 0,65</w:t>
                </w:r>
              </w:p>
              <w:p w14:paraId="6DC6E56C" w14:textId="77777777" w:rsidR="007456D0" w:rsidRPr="0000543A" w:rsidRDefault="007456D0" w:rsidP="00E6020A">
                <w:pPr>
                  <w:pStyle w:val="LLNormaali"/>
                  <w:rPr>
                    <w:b/>
                    <w:bCs/>
                  </w:rPr>
                </w:pPr>
              </w:p>
            </w:tc>
          </w:tr>
          <w:tr w:rsidR="007456D0" w:rsidRPr="0000543A" w14:paraId="465D3E58" w14:textId="77777777" w:rsidTr="00E6020A">
            <w:tc>
              <w:tcPr>
                <w:tcW w:w="0" w:type="auto"/>
              </w:tcPr>
              <w:p w14:paraId="2A295A40" w14:textId="77777777" w:rsidR="007456D0" w:rsidRDefault="007456D0" w:rsidP="00E6020A">
                <w:pPr>
                  <w:pStyle w:val="LLNormaali"/>
                </w:pPr>
                <w:r w:rsidRPr="0000543A">
                  <w:t>henkilöstötarve</w:t>
                </w:r>
              </w:p>
              <w:p w14:paraId="0F781396" w14:textId="77777777" w:rsidR="007456D0" w:rsidRPr="0000543A" w:rsidRDefault="007456D0" w:rsidP="00E6020A">
                <w:pPr>
                  <w:pStyle w:val="LLNormaali"/>
                </w:pPr>
              </w:p>
            </w:tc>
            <w:tc>
              <w:tcPr>
                <w:tcW w:w="1080" w:type="dxa"/>
              </w:tcPr>
              <w:p w14:paraId="0C940CCE" w14:textId="77777777" w:rsidR="007456D0" w:rsidRPr="0000543A" w:rsidRDefault="001C5888" w:rsidP="00E6020A">
                <w:pPr>
                  <w:pStyle w:val="LLNormaali"/>
                  <w:jc w:val="right"/>
                </w:pPr>
                <w:r>
                  <w:t>272</w:t>
                </w:r>
              </w:p>
            </w:tc>
            <w:tc>
              <w:tcPr>
                <w:tcW w:w="1834" w:type="dxa"/>
              </w:tcPr>
              <w:p w14:paraId="26BBEDDD" w14:textId="77777777" w:rsidR="007456D0" w:rsidRPr="0000543A" w:rsidRDefault="00FB02F4" w:rsidP="00E6020A">
                <w:pPr>
                  <w:pStyle w:val="LLNormaali"/>
                  <w:jc w:val="right"/>
                </w:pPr>
                <w:r>
                  <w:t>149</w:t>
                </w:r>
              </w:p>
            </w:tc>
            <w:tc>
              <w:tcPr>
                <w:tcW w:w="0" w:type="auto"/>
              </w:tcPr>
              <w:p w14:paraId="12A10583" w14:textId="77777777" w:rsidR="007456D0" w:rsidRPr="0000543A" w:rsidRDefault="00457A43" w:rsidP="00E6020A">
                <w:pPr>
                  <w:pStyle w:val="LLNormaali"/>
                  <w:jc w:val="right"/>
                </w:pPr>
                <w:r>
                  <w:t>123</w:t>
                </w:r>
              </w:p>
            </w:tc>
          </w:tr>
          <w:tr w:rsidR="007456D0" w:rsidRPr="0000543A" w14:paraId="1162BE63" w14:textId="77777777" w:rsidTr="00E6020A">
            <w:tc>
              <w:tcPr>
                <w:tcW w:w="0" w:type="auto"/>
              </w:tcPr>
              <w:p w14:paraId="022D81F3" w14:textId="77777777" w:rsidR="007456D0" w:rsidRDefault="007456D0" w:rsidP="00E6020A">
                <w:pPr>
                  <w:pStyle w:val="LLNormaali"/>
                </w:pPr>
                <w:r>
                  <w:t>Sijaistarve</w:t>
                </w:r>
              </w:p>
              <w:p w14:paraId="26DF01CC" w14:textId="77777777" w:rsidR="007456D0" w:rsidRPr="0000543A" w:rsidRDefault="007456D0" w:rsidP="00E6020A">
                <w:pPr>
                  <w:pStyle w:val="LLNormaali"/>
                </w:pPr>
              </w:p>
            </w:tc>
            <w:tc>
              <w:tcPr>
                <w:tcW w:w="1080" w:type="dxa"/>
              </w:tcPr>
              <w:p w14:paraId="5454C3A1" w14:textId="77777777" w:rsidR="007456D0" w:rsidRPr="0000543A" w:rsidRDefault="001C5888" w:rsidP="00E6020A">
                <w:pPr>
                  <w:pStyle w:val="LLNormaali"/>
                  <w:jc w:val="right"/>
                </w:pPr>
                <w:r>
                  <w:t>60</w:t>
                </w:r>
              </w:p>
            </w:tc>
            <w:tc>
              <w:tcPr>
                <w:tcW w:w="1834" w:type="dxa"/>
              </w:tcPr>
              <w:p w14:paraId="52E1E422" w14:textId="77777777" w:rsidR="007456D0" w:rsidRPr="0000543A" w:rsidRDefault="00457A43" w:rsidP="00E6020A">
                <w:pPr>
                  <w:pStyle w:val="LLNormaali"/>
                  <w:jc w:val="right"/>
                </w:pPr>
                <w:r>
                  <w:t>33</w:t>
                </w:r>
              </w:p>
            </w:tc>
            <w:tc>
              <w:tcPr>
                <w:tcW w:w="0" w:type="auto"/>
              </w:tcPr>
              <w:p w14:paraId="3EF9D4BA" w14:textId="77777777" w:rsidR="007456D0" w:rsidRPr="0000543A" w:rsidRDefault="00457A43" w:rsidP="00E6020A">
                <w:pPr>
                  <w:pStyle w:val="LLNormaali"/>
                  <w:jc w:val="right"/>
                </w:pPr>
                <w:r>
                  <w:t>27</w:t>
                </w:r>
              </w:p>
            </w:tc>
          </w:tr>
          <w:tr w:rsidR="007456D0" w:rsidRPr="0000543A" w14:paraId="6BF79981" w14:textId="77777777" w:rsidTr="00E6020A">
            <w:tc>
              <w:tcPr>
                <w:tcW w:w="0" w:type="auto"/>
              </w:tcPr>
              <w:p w14:paraId="142E9523" w14:textId="77777777" w:rsidR="007456D0" w:rsidRDefault="007456D0" w:rsidP="00E6020A">
                <w:pPr>
                  <w:pStyle w:val="LLNormaali"/>
                </w:pPr>
                <w:r w:rsidRPr="0000543A">
                  <w:t>% koko nykyisestä henkilöstöstä</w:t>
                </w:r>
                <w:r>
                  <w:t xml:space="preserve"> (välitön </w:t>
                </w:r>
                <w:r w:rsidR="00ED7F4D">
                  <w:t>asiakas</w:t>
                </w:r>
                <w:r>
                  <w:t>työ)</w:t>
                </w:r>
              </w:p>
              <w:p w14:paraId="5A1C29E5" w14:textId="77777777" w:rsidR="007456D0" w:rsidRPr="0000543A" w:rsidRDefault="007456D0" w:rsidP="00E6020A">
                <w:pPr>
                  <w:pStyle w:val="LLNormaali"/>
                </w:pPr>
              </w:p>
            </w:tc>
            <w:tc>
              <w:tcPr>
                <w:tcW w:w="1080" w:type="dxa"/>
              </w:tcPr>
              <w:p w14:paraId="0580094A" w14:textId="77777777" w:rsidR="007456D0" w:rsidRPr="0000543A" w:rsidRDefault="001C5888" w:rsidP="00E6020A">
                <w:pPr>
                  <w:pStyle w:val="LLNormaali"/>
                  <w:jc w:val="right"/>
                </w:pPr>
                <w:r>
                  <w:lastRenderedPageBreak/>
                  <w:t>0,8</w:t>
                </w:r>
                <w:r w:rsidR="007456D0" w:rsidRPr="0000543A">
                  <w:t xml:space="preserve"> %</w:t>
                </w:r>
              </w:p>
            </w:tc>
            <w:tc>
              <w:tcPr>
                <w:tcW w:w="1834" w:type="dxa"/>
              </w:tcPr>
              <w:p w14:paraId="1BF12038" w14:textId="77777777" w:rsidR="007456D0" w:rsidRPr="0000543A" w:rsidRDefault="00FB02F4" w:rsidP="00E6020A">
                <w:pPr>
                  <w:pStyle w:val="LLNormaali"/>
                  <w:jc w:val="right"/>
                </w:pPr>
                <w:r>
                  <w:t>0,9</w:t>
                </w:r>
                <w:r w:rsidR="007456D0" w:rsidRPr="0000543A">
                  <w:t xml:space="preserve"> %</w:t>
                </w:r>
              </w:p>
            </w:tc>
            <w:tc>
              <w:tcPr>
                <w:tcW w:w="0" w:type="auto"/>
              </w:tcPr>
              <w:p w14:paraId="0C6DD100" w14:textId="77777777" w:rsidR="007456D0" w:rsidRPr="0000543A" w:rsidRDefault="00457A43" w:rsidP="00E6020A">
                <w:pPr>
                  <w:pStyle w:val="LLNormaali"/>
                  <w:jc w:val="right"/>
                </w:pPr>
                <w:r>
                  <w:t>0,7</w:t>
                </w:r>
                <w:r w:rsidR="007456D0" w:rsidRPr="0000543A">
                  <w:t xml:space="preserve"> %</w:t>
                </w:r>
              </w:p>
            </w:tc>
          </w:tr>
          <w:tr w:rsidR="007456D0" w:rsidRPr="0000543A" w14:paraId="50DDDD2A" w14:textId="77777777" w:rsidTr="00E6020A">
            <w:tc>
              <w:tcPr>
                <w:tcW w:w="0" w:type="auto"/>
              </w:tcPr>
              <w:p w14:paraId="14C8E606" w14:textId="77777777" w:rsidR="007456D0" w:rsidRDefault="007456D0" w:rsidP="00E6020A">
                <w:pPr>
                  <w:pStyle w:val="LLNormaali"/>
                </w:pPr>
                <w:r w:rsidRPr="0000543A">
                  <w:t>mitoituksen alittavia yksiköitä, lkm</w:t>
                </w:r>
              </w:p>
              <w:p w14:paraId="7A2D26E7" w14:textId="77777777" w:rsidR="007456D0" w:rsidRPr="0000543A" w:rsidRDefault="007456D0" w:rsidP="00E6020A">
                <w:pPr>
                  <w:pStyle w:val="LLNormaali"/>
                </w:pPr>
              </w:p>
            </w:tc>
            <w:tc>
              <w:tcPr>
                <w:tcW w:w="1080" w:type="dxa"/>
              </w:tcPr>
              <w:p w14:paraId="313A6AFF" w14:textId="77777777" w:rsidR="007456D0" w:rsidRPr="0000543A" w:rsidRDefault="001C5888" w:rsidP="00E6020A">
                <w:pPr>
                  <w:pStyle w:val="LLNormaali"/>
                  <w:jc w:val="right"/>
                </w:pPr>
                <w:r>
                  <w:t>201</w:t>
                </w:r>
              </w:p>
            </w:tc>
            <w:tc>
              <w:tcPr>
                <w:tcW w:w="1834" w:type="dxa"/>
              </w:tcPr>
              <w:p w14:paraId="292794E0" w14:textId="77777777" w:rsidR="007456D0" w:rsidRPr="0000543A" w:rsidRDefault="00FB02F4" w:rsidP="00E6020A">
                <w:pPr>
                  <w:pStyle w:val="LLNormaali"/>
                  <w:jc w:val="right"/>
                </w:pPr>
                <w:r>
                  <w:t>101</w:t>
                </w:r>
              </w:p>
            </w:tc>
            <w:tc>
              <w:tcPr>
                <w:tcW w:w="0" w:type="auto"/>
              </w:tcPr>
              <w:p w14:paraId="6E871FDA" w14:textId="77777777" w:rsidR="007456D0" w:rsidRPr="0000543A" w:rsidRDefault="00457A43" w:rsidP="00E6020A">
                <w:pPr>
                  <w:pStyle w:val="LLNormaali"/>
                  <w:jc w:val="right"/>
                </w:pPr>
                <w:r>
                  <w:t>100</w:t>
                </w:r>
              </w:p>
            </w:tc>
          </w:tr>
          <w:tr w:rsidR="007456D0" w:rsidRPr="0000543A" w14:paraId="0A8AEEDA" w14:textId="77777777" w:rsidTr="00E6020A">
            <w:tc>
              <w:tcPr>
                <w:tcW w:w="0" w:type="auto"/>
                <w:gridSpan w:val="4"/>
              </w:tcPr>
              <w:p w14:paraId="6A7A6E8B" w14:textId="77777777" w:rsidR="007456D0" w:rsidRDefault="007456D0" w:rsidP="00E6020A">
                <w:pPr>
                  <w:pStyle w:val="LLNormaali"/>
                  <w:rPr>
                    <w:b/>
                    <w:bCs/>
                  </w:rPr>
                </w:pPr>
                <w:r w:rsidRPr="0000543A">
                  <w:rPr>
                    <w:b/>
                    <w:bCs/>
                  </w:rPr>
                  <w:t>Mitoitus 0,7</w:t>
                </w:r>
              </w:p>
              <w:p w14:paraId="75EFC5FA" w14:textId="77777777" w:rsidR="007456D0" w:rsidRPr="0000543A" w:rsidRDefault="007456D0" w:rsidP="00E6020A">
                <w:pPr>
                  <w:pStyle w:val="LLNormaali"/>
                  <w:rPr>
                    <w:b/>
                    <w:bCs/>
                  </w:rPr>
                </w:pPr>
              </w:p>
            </w:tc>
          </w:tr>
          <w:tr w:rsidR="007456D0" w:rsidRPr="0000543A" w14:paraId="5A33BFD7" w14:textId="77777777" w:rsidTr="00E6020A">
            <w:tc>
              <w:tcPr>
                <w:tcW w:w="0" w:type="auto"/>
              </w:tcPr>
              <w:p w14:paraId="0EF9CB62" w14:textId="77777777" w:rsidR="007456D0" w:rsidRDefault="007456D0" w:rsidP="00E6020A">
                <w:pPr>
                  <w:pStyle w:val="LLNormaali"/>
                </w:pPr>
                <w:r w:rsidRPr="0000543A">
                  <w:t>henkilöstötarve</w:t>
                </w:r>
              </w:p>
              <w:p w14:paraId="1FFC2C32" w14:textId="77777777" w:rsidR="007456D0" w:rsidRPr="0000543A" w:rsidRDefault="007456D0" w:rsidP="00E6020A">
                <w:pPr>
                  <w:pStyle w:val="LLNormaali"/>
                </w:pPr>
              </w:p>
            </w:tc>
            <w:tc>
              <w:tcPr>
                <w:tcW w:w="1080" w:type="dxa"/>
              </w:tcPr>
              <w:p w14:paraId="2838397B" w14:textId="77777777" w:rsidR="007456D0" w:rsidRPr="0000543A" w:rsidRDefault="006151A9" w:rsidP="00E6020A">
                <w:pPr>
                  <w:pStyle w:val="LLNormaali"/>
                  <w:jc w:val="right"/>
                </w:pPr>
                <w:r>
                  <w:t>1 725</w:t>
                </w:r>
              </w:p>
            </w:tc>
            <w:tc>
              <w:tcPr>
                <w:tcW w:w="1834" w:type="dxa"/>
              </w:tcPr>
              <w:p w14:paraId="1001E9D2" w14:textId="77777777" w:rsidR="007456D0" w:rsidRPr="0000543A" w:rsidRDefault="00810625" w:rsidP="00E6020A">
                <w:pPr>
                  <w:pStyle w:val="LLNormaali"/>
                  <w:jc w:val="right"/>
                </w:pPr>
                <w:r>
                  <w:t>700</w:t>
                </w:r>
              </w:p>
            </w:tc>
            <w:tc>
              <w:tcPr>
                <w:tcW w:w="0" w:type="auto"/>
              </w:tcPr>
              <w:p w14:paraId="3473D15E" w14:textId="77777777" w:rsidR="007456D0" w:rsidRPr="0000543A" w:rsidRDefault="00810625" w:rsidP="00E6020A">
                <w:pPr>
                  <w:pStyle w:val="LLNormaali"/>
                  <w:jc w:val="right"/>
                </w:pPr>
                <w:r>
                  <w:t>1 025</w:t>
                </w:r>
              </w:p>
            </w:tc>
          </w:tr>
          <w:tr w:rsidR="007456D0" w:rsidRPr="0000543A" w14:paraId="035A30DF" w14:textId="77777777" w:rsidTr="00E6020A">
            <w:tc>
              <w:tcPr>
                <w:tcW w:w="0" w:type="auto"/>
              </w:tcPr>
              <w:p w14:paraId="0E5379E5" w14:textId="77777777" w:rsidR="007456D0" w:rsidRDefault="007456D0" w:rsidP="00E6020A">
                <w:pPr>
                  <w:pStyle w:val="LLNormaali"/>
                </w:pPr>
                <w:r>
                  <w:t>Sijaistarve</w:t>
                </w:r>
              </w:p>
              <w:p w14:paraId="3377F10D" w14:textId="77777777" w:rsidR="007456D0" w:rsidRPr="0000543A" w:rsidRDefault="007456D0" w:rsidP="00E6020A">
                <w:pPr>
                  <w:pStyle w:val="LLNormaali"/>
                </w:pPr>
              </w:p>
            </w:tc>
            <w:tc>
              <w:tcPr>
                <w:tcW w:w="1080" w:type="dxa"/>
              </w:tcPr>
              <w:p w14:paraId="1B6755AB" w14:textId="77777777" w:rsidR="007456D0" w:rsidRPr="0000543A" w:rsidRDefault="006151A9" w:rsidP="00E6020A">
                <w:pPr>
                  <w:pStyle w:val="LLNormaali"/>
                  <w:jc w:val="right"/>
                </w:pPr>
                <w:r>
                  <w:t>380</w:t>
                </w:r>
              </w:p>
            </w:tc>
            <w:tc>
              <w:tcPr>
                <w:tcW w:w="1834" w:type="dxa"/>
              </w:tcPr>
              <w:p w14:paraId="664E41B5" w14:textId="77777777" w:rsidR="007456D0" w:rsidRPr="0000543A" w:rsidRDefault="00810625" w:rsidP="00E6020A">
                <w:pPr>
                  <w:pStyle w:val="LLNormaali"/>
                  <w:jc w:val="right"/>
                </w:pPr>
                <w:r>
                  <w:t>154</w:t>
                </w:r>
              </w:p>
            </w:tc>
            <w:tc>
              <w:tcPr>
                <w:tcW w:w="0" w:type="auto"/>
              </w:tcPr>
              <w:p w14:paraId="633BAC9F" w14:textId="77777777" w:rsidR="007456D0" w:rsidRPr="0000543A" w:rsidRDefault="00810625" w:rsidP="00E6020A">
                <w:pPr>
                  <w:pStyle w:val="LLNormaali"/>
                  <w:jc w:val="right"/>
                </w:pPr>
                <w:r>
                  <w:t>226</w:t>
                </w:r>
              </w:p>
            </w:tc>
          </w:tr>
          <w:tr w:rsidR="007456D0" w:rsidRPr="0000543A" w14:paraId="394D0745" w14:textId="77777777" w:rsidTr="00E6020A">
            <w:tc>
              <w:tcPr>
                <w:tcW w:w="0" w:type="auto"/>
              </w:tcPr>
              <w:p w14:paraId="36119E13" w14:textId="77777777" w:rsidR="007456D0" w:rsidRDefault="007456D0" w:rsidP="00E6020A">
                <w:pPr>
                  <w:pStyle w:val="LLNormaali"/>
                </w:pPr>
                <w:r w:rsidRPr="0000543A">
                  <w:t>% koko nykyisestä henkilöstöstä</w:t>
                </w:r>
                <w:r>
                  <w:t xml:space="preserve"> (välitön </w:t>
                </w:r>
                <w:r w:rsidR="00ED7F4D">
                  <w:t>asiakas</w:t>
                </w:r>
                <w:r>
                  <w:t>työ)</w:t>
                </w:r>
              </w:p>
              <w:p w14:paraId="5CEA082E" w14:textId="77777777" w:rsidR="007456D0" w:rsidRPr="0000543A" w:rsidRDefault="007456D0" w:rsidP="00E6020A">
                <w:pPr>
                  <w:pStyle w:val="LLNormaali"/>
                </w:pPr>
              </w:p>
            </w:tc>
            <w:tc>
              <w:tcPr>
                <w:tcW w:w="1080" w:type="dxa"/>
              </w:tcPr>
              <w:p w14:paraId="1948BF47" w14:textId="77777777" w:rsidR="007456D0" w:rsidRPr="0000543A" w:rsidRDefault="006151A9" w:rsidP="00E6020A">
                <w:pPr>
                  <w:pStyle w:val="LLNormaali"/>
                  <w:jc w:val="right"/>
                </w:pPr>
                <w:r>
                  <w:t>5</w:t>
                </w:r>
                <w:r w:rsidR="007456D0" w:rsidRPr="0000543A">
                  <w:t xml:space="preserve"> %</w:t>
                </w:r>
              </w:p>
            </w:tc>
            <w:tc>
              <w:tcPr>
                <w:tcW w:w="1834" w:type="dxa"/>
              </w:tcPr>
              <w:p w14:paraId="16DED638" w14:textId="77777777" w:rsidR="007456D0" w:rsidRPr="0000543A" w:rsidRDefault="00810625" w:rsidP="00E6020A">
                <w:pPr>
                  <w:pStyle w:val="LLNormaali"/>
                  <w:jc w:val="right"/>
                </w:pPr>
                <w:r>
                  <w:t>4</w:t>
                </w:r>
                <w:r w:rsidR="007456D0" w:rsidRPr="0000543A">
                  <w:t xml:space="preserve"> %</w:t>
                </w:r>
              </w:p>
            </w:tc>
            <w:tc>
              <w:tcPr>
                <w:tcW w:w="0" w:type="auto"/>
              </w:tcPr>
              <w:p w14:paraId="7DCCEA7F" w14:textId="77777777" w:rsidR="007456D0" w:rsidRPr="0000543A" w:rsidRDefault="00810625" w:rsidP="00E6020A">
                <w:pPr>
                  <w:pStyle w:val="LLNormaali"/>
                  <w:jc w:val="right"/>
                </w:pPr>
                <w:r>
                  <w:t>6</w:t>
                </w:r>
                <w:r w:rsidR="007456D0" w:rsidRPr="0000543A">
                  <w:t xml:space="preserve"> %</w:t>
                </w:r>
              </w:p>
            </w:tc>
          </w:tr>
          <w:tr w:rsidR="007456D0" w:rsidRPr="0000543A" w14:paraId="104C42FF" w14:textId="77777777" w:rsidTr="00E6020A">
            <w:tc>
              <w:tcPr>
                <w:tcW w:w="0" w:type="auto"/>
              </w:tcPr>
              <w:p w14:paraId="5B1CA2BA" w14:textId="77777777" w:rsidR="007456D0" w:rsidRPr="0000543A" w:rsidRDefault="007456D0" w:rsidP="00E6020A">
                <w:pPr>
                  <w:pStyle w:val="LLNormaali"/>
                </w:pPr>
                <w:r w:rsidRPr="0000543A">
                  <w:t>mitoituksen alittavia yksiköitä, lkm</w:t>
                </w:r>
              </w:p>
            </w:tc>
            <w:tc>
              <w:tcPr>
                <w:tcW w:w="1080" w:type="dxa"/>
              </w:tcPr>
              <w:p w14:paraId="749BB067" w14:textId="77777777" w:rsidR="007456D0" w:rsidRPr="0000543A" w:rsidRDefault="006151A9" w:rsidP="00E6020A">
                <w:pPr>
                  <w:pStyle w:val="LLNormaali"/>
                  <w:jc w:val="right"/>
                </w:pPr>
                <w:r>
                  <w:t>1 079</w:t>
                </w:r>
              </w:p>
            </w:tc>
            <w:tc>
              <w:tcPr>
                <w:tcW w:w="1834" w:type="dxa"/>
              </w:tcPr>
              <w:p w14:paraId="13CB62C5" w14:textId="77777777" w:rsidR="007456D0" w:rsidRPr="0000543A" w:rsidRDefault="00810625" w:rsidP="00E6020A">
                <w:pPr>
                  <w:pStyle w:val="LLNormaali"/>
                  <w:jc w:val="right"/>
                </w:pPr>
                <w:r>
                  <w:t>422</w:t>
                </w:r>
              </w:p>
            </w:tc>
            <w:tc>
              <w:tcPr>
                <w:tcW w:w="0" w:type="auto"/>
              </w:tcPr>
              <w:p w14:paraId="7C98E313" w14:textId="77777777" w:rsidR="007456D0" w:rsidRPr="0000543A" w:rsidRDefault="00810625" w:rsidP="00E6020A">
                <w:pPr>
                  <w:pStyle w:val="LLNormaali"/>
                  <w:jc w:val="right"/>
                </w:pPr>
                <w:r>
                  <w:t>657</w:t>
                </w:r>
              </w:p>
            </w:tc>
          </w:tr>
        </w:tbl>
        <w:p w14:paraId="58B2E41C" w14:textId="77777777" w:rsidR="00EF5A59" w:rsidRDefault="00EF5A59" w:rsidP="007456D0">
          <w:pPr>
            <w:pStyle w:val="LLPerustelujenkappalejako"/>
          </w:pPr>
        </w:p>
        <w:p w14:paraId="61E5FE35" w14:textId="77777777" w:rsidR="007456D0" w:rsidRPr="00CC7CF2" w:rsidRDefault="007456D0" w:rsidP="007456D0">
          <w:pPr>
            <w:pStyle w:val="LLPerustelujenkappalejako"/>
          </w:pPr>
          <w:r>
            <w:t>Kustannusten l</w:t>
          </w:r>
          <w:r w:rsidRPr="00CC7CF2">
            <w:t xml:space="preserve">askennassa </w:t>
          </w:r>
          <w:r>
            <w:t xml:space="preserve">on </w:t>
          </w:r>
          <w:r w:rsidRPr="00CC7CF2">
            <w:t>käytet</w:t>
          </w:r>
          <w:r>
            <w:t xml:space="preserve">ty </w:t>
          </w:r>
          <w:r w:rsidRPr="00CC7CF2">
            <w:t xml:space="preserve">kolmen ammattiryhmän palkkojen painotettua keskiarvoa suhteessa </w:t>
          </w:r>
          <w:r>
            <w:t>48</w:t>
          </w:r>
          <w:r w:rsidRPr="00CC7CF2">
            <w:t xml:space="preserve"> prosenttia lähihoitajat, ka</w:t>
          </w:r>
          <w:r>
            <w:t>ksi</w:t>
          </w:r>
          <w:r w:rsidRPr="00CC7CF2">
            <w:t xml:space="preserve"> prosenttia sairaanhoitajat ja</w:t>
          </w:r>
          <w:r>
            <w:t xml:space="preserve"> 50</w:t>
          </w:r>
          <w:r w:rsidRPr="00CC7CF2">
            <w:t xml:space="preserve"> prosenttia hoiva-avustajat</w:t>
          </w:r>
          <w:r>
            <w:t xml:space="preserve">. </w:t>
          </w:r>
          <w:r w:rsidRPr="009C64B3">
            <w:t>Yksiköihin tarvitaan monipuolista osaamista eli niihin on palkattava myös muita ammattiryhmiä, mutta</w:t>
          </w:r>
          <w:r>
            <w:t xml:space="preserve"> voidaan olettaa, että työntekijöitä olisi palkattu suunnilleen näiden ammattiryhmien palkkoja vastaavilla palkoilla</w:t>
          </w:r>
          <w:r w:rsidRPr="00CC7CF2">
            <w:t xml:space="preserve">. </w:t>
          </w:r>
        </w:p>
        <w:p w14:paraId="4F5610A5" w14:textId="77777777" w:rsidR="007456D0" w:rsidRDefault="007456D0" w:rsidP="007456D0">
          <w:pPr>
            <w:pStyle w:val="LLPerustelujenkappalejako"/>
          </w:pPr>
          <w:r>
            <w:t>Säästyvät henkilöstökustannukset on laskettu erikseen julkisten ja yksityisten palveluntuottajien palkkatietojen perusteella</w:t>
          </w:r>
          <w:r>
            <w:rPr>
              <w:rStyle w:val="Alaviitteenviite"/>
              <w:color w:val="000000" w:themeColor="text1"/>
            </w:rPr>
            <w:footnoteReference w:id="5"/>
          </w:r>
          <w:r>
            <w:t xml:space="preserve">. </w:t>
          </w:r>
          <w:r w:rsidRPr="00687B9F">
            <w:t>Käytettävissä ovat vuoden 2021 palkkatiedot</w:t>
          </w:r>
          <w:r w:rsidRPr="00687B9F">
            <w:rPr>
              <w:rStyle w:val="Alaviitteenviite"/>
              <w:color w:val="000000" w:themeColor="text1"/>
            </w:rPr>
            <w:footnoteReference w:id="6"/>
          </w:r>
          <w:r w:rsidRPr="00687B9F">
            <w:t>, joihin lisättiin sivukulut (24,05 %) ja lomarahat (5 %). Summat on nostettu vuosien 2023 ja 2024 tasoon käyttämällä peruspalvelujen hintaindeksiä (3,8 % 2021–2022) ja hyvinvointialueiden hintaindeksiä (3,52 % 2022–2023 ja 3,14 % 2023-2024)</w:t>
          </w:r>
          <w:r w:rsidRPr="00687B9F">
            <w:rPr>
              <w:rStyle w:val="Alaviitteenviite"/>
              <w:color w:val="000000" w:themeColor="text1"/>
            </w:rPr>
            <w:footnoteReference w:id="7"/>
          </w:r>
          <w:r w:rsidRPr="00687B9F">
            <w:t>.</w:t>
          </w:r>
          <w:r>
            <w:t xml:space="preserve"> </w:t>
          </w:r>
          <w:r w:rsidRPr="003B7D80">
            <w:t xml:space="preserve">Näin laskettuna mitoituksen </w:t>
          </w:r>
          <w:r>
            <w:t xml:space="preserve">voimaantulon </w:t>
          </w:r>
          <w:r w:rsidRPr="003B7D80">
            <w:t xml:space="preserve">siirto vähentäisi julkisten </w:t>
          </w:r>
          <w:r>
            <w:t xml:space="preserve">ja yksityisten </w:t>
          </w:r>
          <w:r w:rsidRPr="003B7D80">
            <w:t xml:space="preserve">palveluntuottajien </w:t>
          </w:r>
          <w:r>
            <w:t>henkilöstö</w:t>
          </w:r>
          <w:r w:rsidRPr="003B7D80">
            <w:t>kustannuksia</w:t>
          </w:r>
          <w:r>
            <w:t xml:space="preserve"> yhteensä vuonna 2023 (1 kuukausi) </w:t>
          </w:r>
          <w:r w:rsidR="00A5438B">
            <w:t>5,2</w:t>
          </w:r>
          <w:r>
            <w:t xml:space="preserve"> miljoonaa euroa ja koko vuoden 2024 aikana </w:t>
          </w:r>
          <w:r w:rsidR="00A5438B">
            <w:t>64,5</w:t>
          </w:r>
          <w:r>
            <w:t xml:space="preserve"> miljoonaa euroa</w:t>
          </w:r>
          <w:r w:rsidRPr="003B7D80">
            <w:t>. Lisäksi säästy</w:t>
          </w:r>
          <w:r>
            <w:t>y</w:t>
          </w:r>
          <w:r w:rsidRPr="003B7D80">
            <w:t xml:space="preserve"> poissaolojen vuoksi palkattavien sijaisten kustannuksia. Niiden kustannusten voidaan arvioida olevan </w:t>
          </w:r>
          <w:r>
            <w:t xml:space="preserve">vastaavasti vuonna 2023 </w:t>
          </w:r>
          <w:r w:rsidR="00A5438B">
            <w:t>1,1</w:t>
          </w:r>
          <w:r>
            <w:t xml:space="preserve"> miljoonaa ja vuoden 2024 aikana </w:t>
          </w:r>
          <w:r w:rsidR="00A5438B">
            <w:t>14,2</w:t>
          </w:r>
          <w:r w:rsidRPr="003B7D80">
            <w:t xml:space="preserve"> miljoonaa euroa </w:t>
          </w:r>
          <w:r>
            <w:t>(</w:t>
          </w:r>
          <w:r w:rsidRPr="003B7D80">
            <w:t>22 prosenttia).</w:t>
          </w:r>
          <w:r>
            <w:t xml:space="preserve"> </w:t>
          </w:r>
        </w:p>
        <w:p w14:paraId="33C9582B" w14:textId="77777777" w:rsidR="007456D0" w:rsidRDefault="007456D0" w:rsidP="007456D0">
          <w:pPr>
            <w:pStyle w:val="LLPerustelujenkappalejako"/>
          </w:pPr>
          <w:r>
            <w:t>Koska säästyvät kustannukset on laskettu keskimääräisillä palkkatiedoilla, e</w:t>
          </w:r>
          <w:r w:rsidRPr="003B7D80">
            <w:t xml:space="preserve">dellä kuvattu kuvaa yksityisten palveluntuottajien osalta potentiaalista </w:t>
          </w:r>
          <w:r>
            <w:t>henkilöstö</w:t>
          </w:r>
          <w:r w:rsidRPr="003B7D80">
            <w:t>kustannusten säästöä</w:t>
          </w:r>
          <w:r>
            <w:t>, mutta todel</w:t>
          </w:r>
          <w:r>
            <w:lastRenderedPageBreak/>
            <w:t xml:space="preserve">linen kustannusvaikutus riippuu ostopalvelusopimuksissa sovittujen hintojen kehityksestä. </w:t>
          </w:r>
          <w:r w:rsidRPr="003B7D80">
            <w:t xml:space="preserve">Yksityiset palveluntuottajat myyvät </w:t>
          </w:r>
          <w:r>
            <w:t xml:space="preserve">lähes kaikki </w:t>
          </w:r>
          <w:r w:rsidRPr="003B7D80">
            <w:t>palvelut hyvinvointialueille,</w:t>
          </w:r>
          <w:r>
            <w:t xml:space="preserve"> joten </w:t>
          </w:r>
          <w:r w:rsidRPr="003B7D80">
            <w:t xml:space="preserve">sekä hyvinvointialueiden että yksityisten palveluntuottajien todellisiin kustannusvaikutuksiin vaikuttaa se, </w:t>
          </w:r>
          <w:r w:rsidRPr="00056D5D">
            <w:t xml:space="preserve">miten </w:t>
          </w:r>
          <w:r>
            <w:t>henkilöstön määrästä ja palvelusopimusten hinnoista on sovittu ja sovitaan</w:t>
          </w:r>
          <w:r w:rsidRPr="00056D5D">
            <w:t xml:space="preserve"> </w:t>
          </w:r>
          <w:r>
            <w:t>ostopalvelu</w:t>
          </w:r>
          <w:r w:rsidRPr="00056D5D">
            <w:t xml:space="preserve">sopimuksissa. </w:t>
          </w:r>
        </w:p>
        <w:p w14:paraId="4E483560" w14:textId="77777777" w:rsidR="007456D0" w:rsidRDefault="007456D0" w:rsidP="007456D0">
          <w:pPr>
            <w:pStyle w:val="LLPerustelujenkappalejako"/>
          </w:pPr>
          <w:r w:rsidRPr="003B7D80">
            <w:t xml:space="preserve">Alueellisten vaikutusten kuvaamiseksi taulukossa </w:t>
          </w:r>
          <w:r>
            <w:t>3</w:t>
          </w:r>
          <w:r w:rsidRPr="003B7D80">
            <w:t xml:space="preserve"> on esitetty </w:t>
          </w:r>
          <w:r>
            <w:t>e</w:t>
          </w:r>
          <w:r w:rsidRPr="005D4563">
            <w:t xml:space="preserve">rotus mitoitusten 0,65 ja 0,7 välillä </w:t>
          </w:r>
          <w:r>
            <w:t xml:space="preserve">eli miten suuri </w:t>
          </w:r>
          <w:r w:rsidRPr="005D4563">
            <w:t>vähennys henkilöstömäärän lisäykse</w:t>
          </w:r>
          <w:r>
            <w:t xml:space="preserve">ssä on eri </w:t>
          </w:r>
          <w:r w:rsidRPr="003B7D80">
            <w:t>hyvinvointialuei</w:t>
          </w:r>
          <w:r>
            <w:t>lla</w:t>
          </w:r>
          <w:r w:rsidRPr="003B7D80">
            <w:t xml:space="preserve">. </w:t>
          </w:r>
        </w:p>
        <w:p w14:paraId="43346FDA" w14:textId="77777777" w:rsidR="007456D0" w:rsidRDefault="007456D0" w:rsidP="007456D0">
          <w:pPr>
            <w:spacing w:line="240" w:lineRule="auto"/>
          </w:pPr>
          <w:r w:rsidRPr="00783860">
            <w:rPr>
              <w:b/>
            </w:rPr>
            <w:t xml:space="preserve">Taulukko </w:t>
          </w:r>
          <w:r>
            <w:rPr>
              <w:b/>
            </w:rPr>
            <w:t>3</w:t>
          </w:r>
          <w:r w:rsidRPr="00783860">
            <w:rPr>
              <w:b/>
            </w:rPr>
            <w:t>.</w:t>
          </w:r>
          <w:r w:rsidRPr="0010551A">
            <w:t xml:space="preserve"> </w:t>
          </w:r>
          <w:r w:rsidRPr="0010551A">
            <w:rPr>
              <w:color w:val="000000" w:themeColor="text1"/>
            </w:rPr>
            <w:t>Erotus mitoitusten 0,65 ja 0,7 välillä</w:t>
          </w:r>
          <w:r w:rsidRPr="0010551A">
            <w:t xml:space="preserve"> (julkiset ja yksityiset palveluntuottajat yhteensä</w:t>
          </w:r>
          <w:r>
            <w:t xml:space="preserve"> (</w:t>
          </w:r>
          <w:r w:rsidRPr="0010551A">
            <w:t>ilman sijaistarvetta)</w:t>
          </w:r>
          <w:r w:rsidR="00C10995" w:rsidRPr="00C10995">
            <w:t xml:space="preserve"> </w:t>
          </w:r>
          <w:r w:rsidR="00C10995" w:rsidRPr="00542DC1">
            <w:t>toukokuun 2023</w:t>
          </w:r>
          <w:r w:rsidR="00C10995">
            <w:t xml:space="preserve"> tilanteeseen verrattuna (ennakkotieto) hyvinvointialueittain</w:t>
          </w:r>
        </w:p>
        <w:p w14:paraId="4DB3DF14" w14:textId="77777777" w:rsidR="007456D0" w:rsidRDefault="007456D0" w:rsidP="007456D0">
          <w:pPr>
            <w:spacing w:line="240" w:lineRule="auto"/>
          </w:pPr>
        </w:p>
        <w:tbl>
          <w:tblPr>
            <w:tblW w:w="70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880"/>
            <w:gridCol w:w="1597"/>
            <w:gridCol w:w="1905"/>
            <w:gridCol w:w="1701"/>
          </w:tblGrid>
          <w:tr w:rsidR="007456D0" w:rsidRPr="00D7087F" w14:paraId="58C2D36C" w14:textId="77777777" w:rsidTr="00E6020A">
            <w:trPr>
              <w:trHeight w:val="1560"/>
            </w:trPr>
            <w:tc>
              <w:tcPr>
                <w:tcW w:w="1880" w:type="dxa"/>
                <w:shd w:val="clear" w:color="auto" w:fill="auto"/>
                <w:noWrap/>
                <w:hideMark/>
              </w:tcPr>
              <w:p w14:paraId="0881D6CA" w14:textId="77777777" w:rsidR="007456D0" w:rsidRPr="00D7087F" w:rsidRDefault="007456D0" w:rsidP="00E6020A">
                <w:pPr>
                  <w:pStyle w:val="LLNormaali"/>
                  <w:rPr>
                    <w:lang w:eastAsia="fi-FI"/>
                  </w:rPr>
                </w:pPr>
                <w:r w:rsidRPr="00D7087F">
                  <w:rPr>
                    <w:lang w:eastAsia="fi-FI"/>
                  </w:rPr>
                  <w:t>Hyvinvointialue</w:t>
                </w:r>
              </w:p>
            </w:tc>
            <w:tc>
              <w:tcPr>
                <w:tcW w:w="1597" w:type="dxa"/>
                <w:shd w:val="clear" w:color="auto" w:fill="auto"/>
                <w:hideMark/>
              </w:tcPr>
              <w:p w14:paraId="7819B2A9" w14:textId="77777777" w:rsidR="007456D0" w:rsidRPr="00D7087F" w:rsidRDefault="007456D0" w:rsidP="00E6020A">
                <w:pPr>
                  <w:pStyle w:val="LLNormaali"/>
                  <w:rPr>
                    <w:lang w:eastAsia="fi-FI"/>
                  </w:rPr>
                </w:pPr>
                <w:r w:rsidRPr="00D7087F">
                  <w:rPr>
                    <w:color w:val="000000" w:themeColor="text1"/>
                    <w:lang w:eastAsia="fi-FI"/>
                  </w:rPr>
                  <w:t>ero henkilöstötarpeessa mitoitusten 0,65 ja 0,7 välillä</w:t>
                </w:r>
              </w:p>
            </w:tc>
            <w:tc>
              <w:tcPr>
                <w:tcW w:w="1905" w:type="dxa"/>
                <w:shd w:val="clear" w:color="auto" w:fill="auto"/>
                <w:hideMark/>
              </w:tcPr>
              <w:p w14:paraId="0CE7EED7" w14:textId="77777777" w:rsidR="007456D0" w:rsidRPr="00D7087F" w:rsidRDefault="007456D0" w:rsidP="00E6020A">
                <w:pPr>
                  <w:pStyle w:val="LLNormaali"/>
                  <w:rPr>
                    <w:lang w:eastAsia="fi-FI"/>
                  </w:rPr>
                </w:pPr>
                <w:r w:rsidRPr="00D7087F">
                  <w:rPr>
                    <w:lang w:eastAsia="fi-FI"/>
                  </w:rPr>
                  <w:t>% koko nykyisestä henkilöstöstä</w:t>
                </w:r>
                <w:r>
                  <w:rPr>
                    <w:lang w:eastAsia="fi-FI"/>
                  </w:rPr>
                  <w:t xml:space="preserve"> (välitön </w:t>
                </w:r>
                <w:r w:rsidR="00ED7F4D">
                  <w:rPr>
                    <w:lang w:eastAsia="fi-FI"/>
                  </w:rPr>
                  <w:t>asiakas</w:t>
                </w:r>
                <w:r>
                  <w:rPr>
                    <w:lang w:eastAsia="fi-FI"/>
                  </w:rPr>
                  <w:t>työ)</w:t>
                </w:r>
              </w:p>
            </w:tc>
            <w:tc>
              <w:tcPr>
                <w:tcW w:w="1701" w:type="dxa"/>
                <w:shd w:val="clear" w:color="auto" w:fill="auto"/>
                <w:hideMark/>
              </w:tcPr>
              <w:p w14:paraId="38C261E2" w14:textId="77777777" w:rsidR="007456D0" w:rsidRDefault="007456D0" w:rsidP="00E6020A">
                <w:pPr>
                  <w:pStyle w:val="LLNormaali"/>
                </w:pPr>
                <w:r>
                  <w:t xml:space="preserve">yksiköitä, joiden </w:t>
                </w:r>
                <w:r w:rsidRPr="0000543A">
                  <w:t>mitoitus</w:t>
                </w:r>
                <w:r>
                  <w:t xml:space="preserve"> o</w:t>
                </w:r>
                <w:r w:rsidRPr="0000543A">
                  <w:t>n 0,65 ja 0,7 välillä, lkm</w:t>
                </w:r>
              </w:p>
              <w:p w14:paraId="1431E249" w14:textId="77777777" w:rsidR="007456D0" w:rsidRPr="00D7087F" w:rsidRDefault="007456D0" w:rsidP="00E6020A">
                <w:pPr>
                  <w:pStyle w:val="LLNormaali"/>
                  <w:rPr>
                    <w:lang w:eastAsia="fi-FI"/>
                  </w:rPr>
                </w:pPr>
              </w:p>
            </w:tc>
          </w:tr>
          <w:tr w:rsidR="007456D0" w:rsidRPr="00D7087F" w14:paraId="51BDDD65" w14:textId="77777777" w:rsidTr="00E6020A">
            <w:trPr>
              <w:trHeight w:val="290"/>
            </w:trPr>
            <w:tc>
              <w:tcPr>
                <w:tcW w:w="1880" w:type="dxa"/>
                <w:shd w:val="clear" w:color="auto" w:fill="auto"/>
                <w:noWrap/>
                <w:vAlign w:val="center"/>
                <w:hideMark/>
              </w:tcPr>
              <w:p w14:paraId="4535CC52" w14:textId="77777777" w:rsidR="007456D0" w:rsidRPr="00D7087F" w:rsidRDefault="007456D0" w:rsidP="00E6020A">
                <w:pPr>
                  <w:pStyle w:val="LLNormaali"/>
                  <w:rPr>
                    <w:lang w:eastAsia="fi-FI"/>
                  </w:rPr>
                </w:pPr>
                <w:r w:rsidRPr="00D7087F">
                  <w:rPr>
                    <w:lang w:eastAsia="fi-FI"/>
                  </w:rPr>
                  <w:t>Koko maa</w:t>
                </w:r>
              </w:p>
            </w:tc>
            <w:tc>
              <w:tcPr>
                <w:tcW w:w="1597" w:type="dxa"/>
                <w:shd w:val="clear" w:color="auto" w:fill="auto"/>
                <w:hideMark/>
              </w:tcPr>
              <w:p w14:paraId="3BEC49D2" w14:textId="77777777" w:rsidR="007456D0" w:rsidRPr="00D7087F" w:rsidRDefault="00FD0D4B" w:rsidP="00E6020A">
                <w:pPr>
                  <w:pStyle w:val="LLNormaali"/>
                  <w:jc w:val="right"/>
                  <w:rPr>
                    <w:lang w:eastAsia="fi-FI"/>
                  </w:rPr>
                </w:pPr>
                <w:r>
                  <w:rPr>
                    <w:lang w:eastAsia="fi-FI"/>
                  </w:rPr>
                  <w:t>1 453</w:t>
                </w:r>
              </w:p>
            </w:tc>
            <w:tc>
              <w:tcPr>
                <w:tcW w:w="1905" w:type="dxa"/>
                <w:shd w:val="clear" w:color="auto" w:fill="auto"/>
                <w:hideMark/>
              </w:tcPr>
              <w:p w14:paraId="72D8C392" w14:textId="77777777" w:rsidR="007456D0" w:rsidRPr="00D7087F" w:rsidRDefault="00FD0D4B" w:rsidP="00E6020A">
                <w:pPr>
                  <w:pStyle w:val="LLNormaali"/>
                  <w:jc w:val="right"/>
                  <w:rPr>
                    <w:lang w:eastAsia="fi-FI"/>
                  </w:rPr>
                </w:pPr>
                <w:r>
                  <w:rPr>
                    <w:lang w:eastAsia="fi-FI"/>
                  </w:rPr>
                  <w:t>4</w:t>
                </w:r>
                <w:r w:rsidR="007456D0" w:rsidRPr="00D7087F">
                  <w:rPr>
                    <w:lang w:eastAsia="fi-FI"/>
                  </w:rPr>
                  <w:t xml:space="preserve"> %</w:t>
                </w:r>
              </w:p>
            </w:tc>
            <w:tc>
              <w:tcPr>
                <w:tcW w:w="1701" w:type="dxa"/>
                <w:shd w:val="clear" w:color="auto" w:fill="auto"/>
              </w:tcPr>
              <w:p w14:paraId="00D3A06B" w14:textId="77777777" w:rsidR="007456D0" w:rsidRPr="00D7087F" w:rsidRDefault="00FD0D4B" w:rsidP="00E6020A">
                <w:pPr>
                  <w:pStyle w:val="LLNormaali"/>
                  <w:jc w:val="right"/>
                  <w:rPr>
                    <w:lang w:eastAsia="fi-FI"/>
                  </w:rPr>
                </w:pPr>
                <w:r>
                  <w:rPr>
                    <w:lang w:eastAsia="fi-FI"/>
                  </w:rPr>
                  <w:t>878</w:t>
                </w:r>
              </w:p>
            </w:tc>
          </w:tr>
          <w:tr w:rsidR="007456D0" w:rsidRPr="00D7087F" w14:paraId="43A3E71D" w14:textId="77777777" w:rsidTr="00E6020A">
            <w:trPr>
              <w:trHeight w:val="290"/>
            </w:trPr>
            <w:tc>
              <w:tcPr>
                <w:tcW w:w="1880" w:type="dxa"/>
                <w:shd w:val="clear" w:color="auto" w:fill="auto"/>
                <w:noWrap/>
                <w:vAlign w:val="bottom"/>
                <w:hideMark/>
              </w:tcPr>
              <w:p w14:paraId="7BE35231" w14:textId="77777777" w:rsidR="007456D0" w:rsidRPr="00D7087F" w:rsidRDefault="007456D0" w:rsidP="00E6020A">
                <w:pPr>
                  <w:pStyle w:val="LLNormaali"/>
                  <w:rPr>
                    <w:lang w:eastAsia="fi-FI"/>
                  </w:rPr>
                </w:pPr>
                <w:r w:rsidRPr="00D7087F">
                  <w:rPr>
                    <w:lang w:eastAsia="fi-FI"/>
                  </w:rPr>
                  <w:t>Etelä-Karjala</w:t>
                </w:r>
              </w:p>
            </w:tc>
            <w:tc>
              <w:tcPr>
                <w:tcW w:w="1597" w:type="dxa"/>
                <w:shd w:val="clear" w:color="auto" w:fill="auto"/>
                <w:noWrap/>
                <w:vAlign w:val="bottom"/>
              </w:tcPr>
              <w:p w14:paraId="5AD519AF" w14:textId="77777777" w:rsidR="007456D0" w:rsidRPr="00D7087F" w:rsidRDefault="00FD0D4B" w:rsidP="00E6020A">
                <w:pPr>
                  <w:pStyle w:val="LLNormaali"/>
                  <w:jc w:val="right"/>
                  <w:rPr>
                    <w:lang w:eastAsia="fi-FI"/>
                  </w:rPr>
                </w:pPr>
                <w:r>
                  <w:rPr>
                    <w:lang w:eastAsia="fi-FI"/>
                  </w:rPr>
                  <w:t>39</w:t>
                </w:r>
              </w:p>
            </w:tc>
            <w:tc>
              <w:tcPr>
                <w:tcW w:w="1905" w:type="dxa"/>
                <w:shd w:val="clear" w:color="auto" w:fill="auto"/>
                <w:noWrap/>
                <w:vAlign w:val="bottom"/>
                <w:hideMark/>
              </w:tcPr>
              <w:p w14:paraId="3C474064" w14:textId="77777777" w:rsidR="007456D0" w:rsidRPr="00D7087F" w:rsidRDefault="00FD0D4B" w:rsidP="00E6020A">
                <w:pPr>
                  <w:pStyle w:val="LLNormaali"/>
                  <w:jc w:val="right"/>
                  <w:rPr>
                    <w:lang w:eastAsia="fi-FI"/>
                  </w:rPr>
                </w:pPr>
                <w:r>
                  <w:rPr>
                    <w:lang w:eastAsia="fi-FI"/>
                  </w:rPr>
                  <w:t>5</w:t>
                </w:r>
                <w:r w:rsidR="007456D0" w:rsidRPr="00D7087F">
                  <w:rPr>
                    <w:lang w:eastAsia="fi-FI"/>
                  </w:rPr>
                  <w:t xml:space="preserve"> %</w:t>
                </w:r>
              </w:p>
            </w:tc>
            <w:tc>
              <w:tcPr>
                <w:tcW w:w="1701" w:type="dxa"/>
                <w:shd w:val="clear" w:color="auto" w:fill="auto"/>
                <w:noWrap/>
                <w:vAlign w:val="bottom"/>
              </w:tcPr>
              <w:p w14:paraId="147E12CC" w14:textId="77777777" w:rsidR="007456D0" w:rsidRPr="00D7087F" w:rsidRDefault="00FD0D4B" w:rsidP="00E6020A">
                <w:pPr>
                  <w:pStyle w:val="LLNormaali"/>
                  <w:jc w:val="right"/>
                  <w:rPr>
                    <w:lang w:eastAsia="fi-FI"/>
                  </w:rPr>
                </w:pPr>
                <w:r>
                  <w:rPr>
                    <w:lang w:eastAsia="fi-FI"/>
                  </w:rPr>
                  <w:t>20</w:t>
                </w:r>
              </w:p>
            </w:tc>
          </w:tr>
          <w:tr w:rsidR="007456D0" w:rsidRPr="00D7087F" w14:paraId="474CB3A9" w14:textId="77777777" w:rsidTr="00E6020A">
            <w:trPr>
              <w:trHeight w:val="290"/>
            </w:trPr>
            <w:tc>
              <w:tcPr>
                <w:tcW w:w="1880" w:type="dxa"/>
                <w:shd w:val="clear" w:color="auto" w:fill="auto"/>
                <w:noWrap/>
                <w:vAlign w:val="bottom"/>
                <w:hideMark/>
              </w:tcPr>
              <w:p w14:paraId="01E6168F" w14:textId="77777777" w:rsidR="007456D0" w:rsidRPr="00D7087F" w:rsidRDefault="007456D0" w:rsidP="00E6020A">
                <w:pPr>
                  <w:pStyle w:val="LLNormaali"/>
                  <w:rPr>
                    <w:lang w:eastAsia="fi-FI"/>
                  </w:rPr>
                </w:pPr>
                <w:r w:rsidRPr="00D7087F">
                  <w:rPr>
                    <w:lang w:eastAsia="fi-FI"/>
                  </w:rPr>
                  <w:t>Etelä-Pohjanmaa</w:t>
                </w:r>
              </w:p>
            </w:tc>
            <w:tc>
              <w:tcPr>
                <w:tcW w:w="1597" w:type="dxa"/>
                <w:shd w:val="clear" w:color="auto" w:fill="auto"/>
                <w:noWrap/>
                <w:vAlign w:val="bottom"/>
              </w:tcPr>
              <w:p w14:paraId="72FC2950" w14:textId="77777777" w:rsidR="007456D0" w:rsidRPr="00D7087F" w:rsidRDefault="00FD0D4B" w:rsidP="00E6020A">
                <w:pPr>
                  <w:pStyle w:val="LLNormaali"/>
                  <w:jc w:val="right"/>
                  <w:rPr>
                    <w:lang w:eastAsia="fi-FI"/>
                  </w:rPr>
                </w:pPr>
                <w:r>
                  <w:rPr>
                    <w:lang w:eastAsia="fi-FI"/>
                  </w:rPr>
                  <w:t>60</w:t>
                </w:r>
              </w:p>
            </w:tc>
            <w:tc>
              <w:tcPr>
                <w:tcW w:w="1905" w:type="dxa"/>
                <w:shd w:val="clear" w:color="auto" w:fill="auto"/>
                <w:noWrap/>
                <w:vAlign w:val="bottom"/>
                <w:hideMark/>
              </w:tcPr>
              <w:p w14:paraId="4EC9D933" w14:textId="77777777" w:rsidR="007456D0" w:rsidRPr="00D7087F" w:rsidRDefault="007456D0" w:rsidP="00E6020A">
                <w:pPr>
                  <w:pStyle w:val="LLNormaali"/>
                  <w:jc w:val="right"/>
                  <w:rPr>
                    <w:lang w:eastAsia="fi-FI"/>
                  </w:rPr>
                </w:pPr>
                <w:r>
                  <w:rPr>
                    <w:lang w:eastAsia="fi-FI"/>
                  </w:rPr>
                  <w:t>4</w:t>
                </w:r>
                <w:r w:rsidRPr="00D7087F">
                  <w:rPr>
                    <w:lang w:eastAsia="fi-FI"/>
                  </w:rPr>
                  <w:t xml:space="preserve"> %</w:t>
                </w:r>
              </w:p>
            </w:tc>
            <w:tc>
              <w:tcPr>
                <w:tcW w:w="1701" w:type="dxa"/>
                <w:shd w:val="clear" w:color="auto" w:fill="auto"/>
                <w:noWrap/>
                <w:vAlign w:val="bottom"/>
              </w:tcPr>
              <w:p w14:paraId="309E631A" w14:textId="77777777" w:rsidR="007456D0" w:rsidRPr="00D7087F" w:rsidRDefault="00FD0D4B" w:rsidP="00E6020A">
                <w:pPr>
                  <w:pStyle w:val="LLNormaali"/>
                  <w:jc w:val="right"/>
                  <w:rPr>
                    <w:lang w:eastAsia="fi-FI"/>
                  </w:rPr>
                </w:pPr>
                <w:r>
                  <w:rPr>
                    <w:lang w:eastAsia="fi-FI"/>
                  </w:rPr>
                  <w:t>40</w:t>
                </w:r>
              </w:p>
            </w:tc>
          </w:tr>
          <w:tr w:rsidR="007456D0" w:rsidRPr="00D7087F" w14:paraId="3DE12CDD" w14:textId="77777777" w:rsidTr="00E6020A">
            <w:trPr>
              <w:trHeight w:val="290"/>
            </w:trPr>
            <w:tc>
              <w:tcPr>
                <w:tcW w:w="1880" w:type="dxa"/>
                <w:shd w:val="clear" w:color="auto" w:fill="auto"/>
                <w:noWrap/>
                <w:vAlign w:val="bottom"/>
                <w:hideMark/>
              </w:tcPr>
              <w:p w14:paraId="649544B7" w14:textId="77777777" w:rsidR="007456D0" w:rsidRPr="00D7087F" w:rsidRDefault="007456D0" w:rsidP="00E6020A">
                <w:pPr>
                  <w:pStyle w:val="LLNormaali"/>
                  <w:rPr>
                    <w:lang w:eastAsia="fi-FI"/>
                  </w:rPr>
                </w:pPr>
                <w:r w:rsidRPr="00D7087F">
                  <w:rPr>
                    <w:lang w:eastAsia="fi-FI"/>
                  </w:rPr>
                  <w:t>Etelä-Savo</w:t>
                </w:r>
              </w:p>
            </w:tc>
            <w:tc>
              <w:tcPr>
                <w:tcW w:w="1597" w:type="dxa"/>
                <w:shd w:val="clear" w:color="auto" w:fill="auto"/>
                <w:noWrap/>
                <w:vAlign w:val="bottom"/>
              </w:tcPr>
              <w:p w14:paraId="4D7A1704" w14:textId="77777777" w:rsidR="007456D0" w:rsidRPr="00D7087F" w:rsidRDefault="00FD0D4B" w:rsidP="00E6020A">
                <w:pPr>
                  <w:pStyle w:val="LLNormaali"/>
                  <w:jc w:val="right"/>
                  <w:rPr>
                    <w:lang w:eastAsia="fi-FI"/>
                  </w:rPr>
                </w:pPr>
                <w:r>
                  <w:rPr>
                    <w:lang w:eastAsia="fi-FI"/>
                  </w:rPr>
                  <w:t>46</w:t>
                </w:r>
              </w:p>
            </w:tc>
            <w:tc>
              <w:tcPr>
                <w:tcW w:w="1905" w:type="dxa"/>
                <w:shd w:val="clear" w:color="auto" w:fill="auto"/>
                <w:noWrap/>
                <w:vAlign w:val="bottom"/>
                <w:hideMark/>
              </w:tcPr>
              <w:p w14:paraId="5FD1DBED" w14:textId="77777777" w:rsidR="007456D0" w:rsidRPr="00D7087F" w:rsidRDefault="007456D0" w:rsidP="00E6020A">
                <w:pPr>
                  <w:pStyle w:val="LLNormaali"/>
                  <w:jc w:val="right"/>
                  <w:rPr>
                    <w:lang w:eastAsia="fi-FI"/>
                  </w:rPr>
                </w:pPr>
                <w:r>
                  <w:rPr>
                    <w:lang w:eastAsia="fi-FI"/>
                  </w:rPr>
                  <w:t>4</w:t>
                </w:r>
                <w:r w:rsidRPr="00D7087F">
                  <w:rPr>
                    <w:lang w:eastAsia="fi-FI"/>
                  </w:rPr>
                  <w:t xml:space="preserve"> %</w:t>
                </w:r>
              </w:p>
            </w:tc>
            <w:tc>
              <w:tcPr>
                <w:tcW w:w="1701" w:type="dxa"/>
                <w:shd w:val="clear" w:color="auto" w:fill="auto"/>
                <w:noWrap/>
                <w:vAlign w:val="bottom"/>
              </w:tcPr>
              <w:p w14:paraId="10EF0D62" w14:textId="77777777" w:rsidR="007456D0" w:rsidRPr="00D7087F" w:rsidRDefault="00FD0D4B" w:rsidP="00E6020A">
                <w:pPr>
                  <w:pStyle w:val="LLNormaali"/>
                  <w:jc w:val="right"/>
                  <w:rPr>
                    <w:lang w:eastAsia="fi-FI"/>
                  </w:rPr>
                </w:pPr>
                <w:r>
                  <w:rPr>
                    <w:lang w:eastAsia="fi-FI"/>
                  </w:rPr>
                  <w:t>32</w:t>
                </w:r>
              </w:p>
            </w:tc>
          </w:tr>
          <w:tr w:rsidR="007456D0" w:rsidRPr="00D7087F" w14:paraId="7DE986BA" w14:textId="77777777" w:rsidTr="00E6020A">
            <w:trPr>
              <w:trHeight w:val="290"/>
            </w:trPr>
            <w:tc>
              <w:tcPr>
                <w:tcW w:w="1880" w:type="dxa"/>
                <w:shd w:val="clear" w:color="auto" w:fill="auto"/>
                <w:noWrap/>
                <w:vAlign w:val="bottom"/>
                <w:hideMark/>
              </w:tcPr>
              <w:p w14:paraId="0282DFF9" w14:textId="77777777" w:rsidR="007456D0" w:rsidRPr="00D7087F" w:rsidRDefault="007456D0" w:rsidP="00E6020A">
                <w:pPr>
                  <w:pStyle w:val="LLNormaali"/>
                  <w:rPr>
                    <w:lang w:eastAsia="fi-FI"/>
                  </w:rPr>
                </w:pPr>
                <w:r w:rsidRPr="00D7087F">
                  <w:rPr>
                    <w:lang w:eastAsia="fi-FI"/>
                  </w:rPr>
                  <w:t>Helsinki</w:t>
                </w:r>
              </w:p>
            </w:tc>
            <w:tc>
              <w:tcPr>
                <w:tcW w:w="1597" w:type="dxa"/>
                <w:shd w:val="clear" w:color="auto" w:fill="auto"/>
                <w:noWrap/>
                <w:vAlign w:val="bottom"/>
              </w:tcPr>
              <w:p w14:paraId="71D70415" w14:textId="77777777" w:rsidR="007456D0" w:rsidRPr="00D7087F" w:rsidRDefault="00FD0D4B" w:rsidP="00E6020A">
                <w:pPr>
                  <w:pStyle w:val="LLNormaali"/>
                  <w:jc w:val="right"/>
                  <w:rPr>
                    <w:lang w:eastAsia="fi-FI"/>
                  </w:rPr>
                </w:pPr>
                <w:r>
                  <w:rPr>
                    <w:lang w:eastAsia="fi-FI"/>
                  </w:rPr>
                  <w:t>81,5</w:t>
                </w:r>
              </w:p>
            </w:tc>
            <w:tc>
              <w:tcPr>
                <w:tcW w:w="1905" w:type="dxa"/>
                <w:shd w:val="clear" w:color="auto" w:fill="auto"/>
                <w:noWrap/>
                <w:vAlign w:val="bottom"/>
                <w:hideMark/>
              </w:tcPr>
              <w:p w14:paraId="60C49569" w14:textId="77777777" w:rsidR="007456D0" w:rsidRPr="00D7087F" w:rsidRDefault="00FD0D4B" w:rsidP="00E6020A">
                <w:pPr>
                  <w:pStyle w:val="LLNormaali"/>
                  <w:jc w:val="right"/>
                  <w:rPr>
                    <w:lang w:eastAsia="fi-FI"/>
                  </w:rPr>
                </w:pPr>
                <w:r>
                  <w:rPr>
                    <w:lang w:eastAsia="fi-FI"/>
                  </w:rPr>
                  <w:t>3</w:t>
                </w:r>
                <w:r w:rsidR="007456D0" w:rsidRPr="00D7087F">
                  <w:rPr>
                    <w:lang w:eastAsia="fi-FI"/>
                  </w:rPr>
                  <w:t xml:space="preserve"> %</w:t>
                </w:r>
              </w:p>
            </w:tc>
            <w:tc>
              <w:tcPr>
                <w:tcW w:w="1701" w:type="dxa"/>
                <w:shd w:val="clear" w:color="auto" w:fill="auto"/>
                <w:noWrap/>
                <w:vAlign w:val="bottom"/>
              </w:tcPr>
              <w:p w14:paraId="70A4D0C2" w14:textId="77777777" w:rsidR="007456D0" w:rsidRPr="00D7087F" w:rsidRDefault="00FD0D4B" w:rsidP="00E6020A">
                <w:pPr>
                  <w:pStyle w:val="LLNormaali"/>
                  <w:jc w:val="right"/>
                  <w:rPr>
                    <w:lang w:eastAsia="fi-FI"/>
                  </w:rPr>
                </w:pPr>
                <w:r>
                  <w:rPr>
                    <w:lang w:eastAsia="fi-FI"/>
                  </w:rPr>
                  <w:t>64</w:t>
                </w:r>
              </w:p>
            </w:tc>
          </w:tr>
          <w:tr w:rsidR="007456D0" w:rsidRPr="00D7087F" w14:paraId="5964533A" w14:textId="77777777" w:rsidTr="00E6020A">
            <w:trPr>
              <w:trHeight w:val="290"/>
            </w:trPr>
            <w:tc>
              <w:tcPr>
                <w:tcW w:w="1880" w:type="dxa"/>
                <w:shd w:val="clear" w:color="auto" w:fill="auto"/>
                <w:noWrap/>
                <w:vAlign w:val="bottom"/>
                <w:hideMark/>
              </w:tcPr>
              <w:p w14:paraId="02E28F46" w14:textId="77777777" w:rsidR="007456D0" w:rsidRPr="00D7087F" w:rsidRDefault="007456D0" w:rsidP="00E6020A">
                <w:pPr>
                  <w:pStyle w:val="LLNormaali"/>
                  <w:rPr>
                    <w:lang w:eastAsia="fi-FI"/>
                  </w:rPr>
                </w:pPr>
                <w:r w:rsidRPr="00D7087F">
                  <w:rPr>
                    <w:lang w:eastAsia="fi-FI"/>
                  </w:rPr>
                  <w:t>Itä-Uusimaa</w:t>
                </w:r>
              </w:p>
            </w:tc>
            <w:tc>
              <w:tcPr>
                <w:tcW w:w="1597" w:type="dxa"/>
                <w:shd w:val="clear" w:color="auto" w:fill="auto"/>
                <w:noWrap/>
                <w:vAlign w:val="bottom"/>
              </w:tcPr>
              <w:p w14:paraId="489F3417" w14:textId="77777777" w:rsidR="007456D0" w:rsidRPr="00D7087F" w:rsidRDefault="00FD0D4B" w:rsidP="00E6020A">
                <w:pPr>
                  <w:pStyle w:val="LLNormaali"/>
                  <w:jc w:val="right"/>
                  <w:rPr>
                    <w:lang w:eastAsia="fi-FI"/>
                  </w:rPr>
                </w:pPr>
                <w:r>
                  <w:rPr>
                    <w:lang w:eastAsia="fi-FI"/>
                  </w:rPr>
                  <w:t>27,5</w:t>
                </w:r>
              </w:p>
            </w:tc>
            <w:tc>
              <w:tcPr>
                <w:tcW w:w="1905" w:type="dxa"/>
                <w:shd w:val="clear" w:color="auto" w:fill="auto"/>
                <w:noWrap/>
                <w:vAlign w:val="bottom"/>
                <w:hideMark/>
              </w:tcPr>
              <w:p w14:paraId="1E9E3106" w14:textId="77777777" w:rsidR="007456D0" w:rsidRPr="00D7087F" w:rsidRDefault="007456D0" w:rsidP="00E6020A">
                <w:pPr>
                  <w:pStyle w:val="LLNormaali"/>
                  <w:jc w:val="right"/>
                  <w:rPr>
                    <w:lang w:eastAsia="fi-FI"/>
                  </w:rPr>
                </w:pPr>
                <w:r>
                  <w:rPr>
                    <w:lang w:eastAsia="fi-FI"/>
                  </w:rPr>
                  <w:t>5</w:t>
                </w:r>
                <w:r w:rsidRPr="00D7087F">
                  <w:rPr>
                    <w:lang w:eastAsia="fi-FI"/>
                  </w:rPr>
                  <w:t xml:space="preserve"> %</w:t>
                </w:r>
              </w:p>
            </w:tc>
            <w:tc>
              <w:tcPr>
                <w:tcW w:w="1701" w:type="dxa"/>
                <w:shd w:val="clear" w:color="auto" w:fill="auto"/>
                <w:noWrap/>
                <w:vAlign w:val="bottom"/>
              </w:tcPr>
              <w:p w14:paraId="35CB756B" w14:textId="77777777" w:rsidR="007456D0" w:rsidRPr="00D7087F" w:rsidRDefault="007456D0" w:rsidP="00E6020A">
                <w:pPr>
                  <w:pStyle w:val="LLNormaali"/>
                  <w:jc w:val="right"/>
                  <w:rPr>
                    <w:lang w:eastAsia="fi-FI"/>
                  </w:rPr>
                </w:pPr>
                <w:r>
                  <w:rPr>
                    <w:lang w:eastAsia="fi-FI"/>
                  </w:rPr>
                  <w:t>9</w:t>
                </w:r>
              </w:p>
            </w:tc>
          </w:tr>
          <w:tr w:rsidR="007456D0" w:rsidRPr="00D7087F" w14:paraId="0A9ED6F9" w14:textId="77777777" w:rsidTr="00E6020A">
            <w:trPr>
              <w:trHeight w:val="290"/>
            </w:trPr>
            <w:tc>
              <w:tcPr>
                <w:tcW w:w="1880" w:type="dxa"/>
                <w:shd w:val="clear" w:color="auto" w:fill="auto"/>
                <w:noWrap/>
                <w:vAlign w:val="bottom"/>
                <w:hideMark/>
              </w:tcPr>
              <w:p w14:paraId="78D9AB3D" w14:textId="77777777" w:rsidR="007456D0" w:rsidRPr="00D7087F" w:rsidRDefault="007456D0" w:rsidP="00E6020A">
                <w:pPr>
                  <w:pStyle w:val="LLNormaali"/>
                  <w:rPr>
                    <w:lang w:eastAsia="fi-FI"/>
                  </w:rPr>
                </w:pPr>
                <w:r w:rsidRPr="00D7087F">
                  <w:rPr>
                    <w:lang w:eastAsia="fi-FI"/>
                  </w:rPr>
                  <w:t>Kainuu</w:t>
                </w:r>
              </w:p>
            </w:tc>
            <w:tc>
              <w:tcPr>
                <w:tcW w:w="1597" w:type="dxa"/>
                <w:shd w:val="clear" w:color="auto" w:fill="auto"/>
                <w:noWrap/>
                <w:vAlign w:val="bottom"/>
              </w:tcPr>
              <w:p w14:paraId="518B34D3" w14:textId="77777777" w:rsidR="007456D0" w:rsidRPr="00D7087F" w:rsidRDefault="00FD0D4B" w:rsidP="00E6020A">
                <w:pPr>
                  <w:pStyle w:val="LLNormaali"/>
                  <w:jc w:val="right"/>
                  <w:rPr>
                    <w:lang w:eastAsia="fi-FI"/>
                  </w:rPr>
                </w:pPr>
                <w:r>
                  <w:rPr>
                    <w:lang w:eastAsia="fi-FI"/>
                  </w:rPr>
                  <w:t>29</w:t>
                </w:r>
              </w:p>
            </w:tc>
            <w:tc>
              <w:tcPr>
                <w:tcW w:w="1905" w:type="dxa"/>
                <w:shd w:val="clear" w:color="auto" w:fill="auto"/>
                <w:noWrap/>
                <w:vAlign w:val="bottom"/>
                <w:hideMark/>
              </w:tcPr>
              <w:p w14:paraId="6476719F" w14:textId="77777777" w:rsidR="007456D0" w:rsidRPr="00D7087F" w:rsidRDefault="00FD0D4B" w:rsidP="00E6020A">
                <w:pPr>
                  <w:pStyle w:val="LLNormaali"/>
                  <w:jc w:val="right"/>
                  <w:rPr>
                    <w:lang w:eastAsia="fi-FI"/>
                  </w:rPr>
                </w:pPr>
                <w:r>
                  <w:rPr>
                    <w:lang w:eastAsia="fi-FI"/>
                  </w:rPr>
                  <w:t>5</w:t>
                </w:r>
                <w:r w:rsidR="007456D0" w:rsidRPr="00D7087F">
                  <w:rPr>
                    <w:lang w:eastAsia="fi-FI"/>
                  </w:rPr>
                  <w:t xml:space="preserve"> %</w:t>
                </w:r>
              </w:p>
            </w:tc>
            <w:tc>
              <w:tcPr>
                <w:tcW w:w="1701" w:type="dxa"/>
                <w:shd w:val="clear" w:color="auto" w:fill="auto"/>
                <w:noWrap/>
                <w:vAlign w:val="bottom"/>
              </w:tcPr>
              <w:p w14:paraId="2EF1BAFA" w14:textId="77777777" w:rsidR="007456D0" w:rsidRPr="00D7087F" w:rsidRDefault="00FD0D4B" w:rsidP="00E6020A">
                <w:pPr>
                  <w:pStyle w:val="LLNormaali"/>
                  <w:jc w:val="right"/>
                  <w:rPr>
                    <w:lang w:eastAsia="fi-FI"/>
                  </w:rPr>
                </w:pPr>
                <w:r>
                  <w:rPr>
                    <w:lang w:eastAsia="fi-FI"/>
                  </w:rPr>
                  <w:t>15</w:t>
                </w:r>
              </w:p>
            </w:tc>
          </w:tr>
          <w:tr w:rsidR="007456D0" w:rsidRPr="00D7087F" w14:paraId="3A75220F" w14:textId="77777777" w:rsidTr="00E6020A">
            <w:trPr>
              <w:trHeight w:val="290"/>
            </w:trPr>
            <w:tc>
              <w:tcPr>
                <w:tcW w:w="1880" w:type="dxa"/>
                <w:shd w:val="clear" w:color="auto" w:fill="auto"/>
                <w:noWrap/>
                <w:vAlign w:val="bottom"/>
                <w:hideMark/>
              </w:tcPr>
              <w:p w14:paraId="0AA9D33F" w14:textId="77777777" w:rsidR="007456D0" w:rsidRPr="00D7087F" w:rsidRDefault="007456D0" w:rsidP="00E6020A">
                <w:pPr>
                  <w:pStyle w:val="LLNormaali"/>
                  <w:rPr>
                    <w:lang w:eastAsia="fi-FI"/>
                  </w:rPr>
                </w:pPr>
                <w:r w:rsidRPr="00D7087F">
                  <w:rPr>
                    <w:lang w:eastAsia="fi-FI"/>
                  </w:rPr>
                  <w:t>Kanta-Häme</w:t>
                </w:r>
              </w:p>
            </w:tc>
            <w:tc>
              <w:tcPr>
                <w:tcW w:w="1597" w:type="dxa"/>
                <w:shd w:val="clear" w:color="auto" w:fill="auto"/>
                <w:noWrap/>
                <w:vAlign w:val="bottom"/>
              </w:tcPr>
              <w:p w14:paraId="3019C1A0" w14:textId="77777777" w:rsidR="007456D0" w:rsidRPr="00D7087F" w:rsidRDefault="00FD0D4B" w:rsidP="00E6020A">
                <w:pPr>
                  <w:pStyle w:val="LLNormaali"/>
                  <w:jc w:val="right"/>
                  <w:rPr>
                    <w:lang w:eastAsia="fi-FI"/>
                  </w:rPr>
                </w:pPr>
                <w:r>
                  <w:rPr>
                    <w:lang w:eastAsia="fi-FI"/>
                  </w:rPr>
                  <w:t>49,5</w:t>
                </w:r>
              </w:p>
            </w:tc>
            <w:tc>
              <w:tcPr>
                <w:tcW w:w="1905" w:type="dxa"/>
                <w:shd w:val="clear" w:color="auto" w:fill="auto"/>
                <w:noWrap/>
                <w:vAlign w:val="bottom"/>
                <w:hideMark/>
              </w:tcPr>
              <w:p w14:paraId="6725D144" w14:textId="77777777" w:rsidR="007456D0" w:rsidRPr="00D7087F" w:rsidRDefault="00FD0D4B" w:rsidP="00E6020A">
                <w:pPr>
                  <w:pStyle w:val="LLNormaali"/>
                  <w:jc w:val="right"/>
                  <w:rPr>
                    <w:lang w:eastAsia="fi-FI"/>
                  </w:rPr>
                </w:pPr>
                <w:r>
                  <w:rPr>
                    <w:lang w:eastAsia="fi-FI"/>
                  </w:rPr>
                  <w:t>4</w:t>
                </w:r>
                <w:r w:rsidR="007456D0" w:rsidRPr="00D7087F">
                  <w:rPr>
                    <w:lang w:eastAsia="fi-FI"/>
                  </w:rPr>
                  <w:t xml:space="preserve"> %</w:t>
                </w:r>
              </w:p>
            </w:tc>
            <w:tc>
              <w:tcPr>
                <w:tcW w:w="1701" w:type="dxa"/>
                <w:shd w:val="clear" w:color="auto" w:fill="auto"/>
                <w:noWrap/>
                <w:vAlign w:val="bottom"/>
              </w:tcPr>
              <w:p w14:paraId="30DA1C1C" w14:textId="77777777" w:rsidR="007456D0" w:rsidRPr="00D7087F" w:rsidRDefault="00FD0D4B" w:rsidP="00E6020A">
                <w:pPr>
                  <w:pStyle w:val="LLNormaali"/>
                  <w:jc w:val="right"/>
                  <w:rPr>
                    <w:lang w:eastAsia="fi-FI"/>
                  </w:rPr>
                </w:pPr>
                <w:r>
                  <w:rPr>
                    <w:lang w:eastAsia="fi-FI"/>
                  </w:rPr>
                  <w:t>33</w:t>
                </w:r>
              </w:p>
            </w:tc>
          </w:tr>
          <w:tr w:rsidR="007456D0" w:rsidRPr="00D7087F" w14:paraId="09027033" w14:textId="77777777" w:rsidTr="00E6020A">
            <w:trPr>
              <w:trHeight w:val="290"/>
            </w:trPr>
            <w:tc>
              <w:tcPr>
                <w:tcW w:w="1880" w:type="dxa"/>
                <w:shd w:val="clear" w:color="auto" w:fill="auto"/>
                <w:noWrap/>
                <w:vAlign w:val="bottom"/>
                <w:hideMark/>
              </w:tcPr>
              <w:p w14:paraId="3AA862A8" w14:textId="77777777" w:rsidR="007456D0" w:rsidRPr="00D7087F" w:rsidRDefault="007456D0" w:rsidP="00E6020A">
                <w:pPr>
                  <w:pStyle w:val="LLNormaali"/>
                  <w:rPr>
                    <w:lang w:eastAsia="fi-FI"/>
                  </w:rPr>
                </w:pPr>
                <w:r w:rsidRPr="00D7087F">
                  <w:rPr>
                    <w:lang w:eastAsia="fi-FI"/>
                  </w:rPr>
                  <w:t>Keski-Pohjanmaa</w:t>
                </w:r>
              </w:p>
            </w:tc>
            <w:tc>
              <w:tcPr>
                <w:tcW w:w="1597" w:type="dxa"/>
                <w:shd w:val="clear" w:color="auto" w:fill="auto"/>
                <w:noWrap/>
                <w:vAlign w:val="bottom"/>
              </w:tcPr>
              <w:p w14:paraId="68DD8C43" w14:textId="77777777" w:rsidR="007456D0" w:rsidRPr="00D7087F" w:rsidRDefault="00210557" w:rsidP="00E6020A">
                <w:pPr>
                  <w:pStyle w:val="LLNormaali"/>
                  <w:jc w:val="right"/>
                  <w:rPr>
                    <w:lang w:eastAsia="fi-FI"/>
                  </w:rPr>
                </w:pPr>
                <w:r>
                  <w:rPr>
                    <w:lang w:eastAsia="fi-FI"/>
                  </w:rPr>
                  <w:t>24</w:t>
                </w:r>
              </w:p>
            </w:tc>
            <w:tc>
              <w:tcPr>
                <w:tcW w:w="1905" w:type="dxa"/>
                <w:shd w:val="clear" w:color="auto" w:fill="auto"/>
                <w:noWrap/>
                <w:vAlign w:val="bottom"/>
                <w:hideMark/>
              </w:tcPr>
              <w:p w14:paraId="165AE040" w14:textId="77777777" w:rsidR="007456D0" w:rsidRPr="00D7087F" w:rsidRDefault="007456D0" w:rsidP="00E6020A">
                <w:pPr>
                  <w:pStyle w:val="LLNormaali"/>
                  <w:jc w:val="right"/>
                  <w:rPr>
                    <w:lang w:eastAsia="fi-FI"/>
                  </w:rPr>
                </w:pPr>
                <w:r>
                  <w:rPr>
                    <w:lang w:eastAsia="fi-FI"/>
                  </w:rPr>
                  <w:t>5</w:t>
                </w:r>
                <w:r w:rsidRPr="00D7087F">
                  <w:rPr>
                    <w:lang w:eastAsia="fi-FI"/>
                  </w:rPr>
                  <w:t xml:space="preserve"> %</w:t>
                </w:r>
              </w:p>
            </w:tc>
            <w:tc>
              <w:tcPr>
                <w:tcW w:w="1701" w:type="dxa"/>
                <w:shd w:val="clear" w:color="auto" w:fill="auto"/>
                <w:noWrap/>
                <w:vAlign w:val="bottom"/>
              </w:tcPr>
              <w:p w14:paraId="3759BF08" w14:textId="77777777" w:rsidR="007456D0" w:rsidRPr="00D7087F" w:rsidRDefault="00210557" w:rsidP="00E6020A">
                <w:pPr>
                  <w:pStyle w:val="LLNormaali"/>
                  <w:jc w:val="right"/>
                  <w:rPr>
                    <w:lang w:eastAsia="fi-FI"/>
                  </w:rPr>
                </w:pPr>
                <w:r>
                  <w:rPr>
                    <w:lang w:eastAsia="fi-FI"/>
                  </w:rPr>
                  <w:t>15</w:t>
                </w:r>
              </w:p>
            </w:tc>
          </w:tr>
          <w:tr w:rsidR="007456D0" w:rsidRPr="00D7087F" w14:paraId="23E53E45" w14:textId="77777777" w:rsidTr="00E6020A">
            <w:trPr>
              <w:trHeight w:val="290"/>
            </w:trPr>
            <w:tc>
              <w:tcPr>
                <w:tcW w:w="1880" w:type="dxa"/>
                <w:shd w:val="clear" w:color="auto" w:fill="auto"/>
                <w:noWrap/>
                <w:vAlign w:val="bottom"/>
                <w:hideMark/>
              </w:tcPr>
              <w:p w14:paraId="3D970348" w14:textId="77777777" w:rsidR="007456D0" w:rsidRPr="00D7087F" w:rsidRDefault="007456D0" w:rsidP="00E6020A">
                <w:pPr>
                  <w:pStyle w:val="LLNormaali"/>
                  <w:rPr>
                    <w:lang w:eastAsia="fi-FI"/>
                  </w:rPr>
                </w:pPr>
                <w:r w:rsidRPr="00D7087F">
                  <w:rPr>
                    <w:lang w:eastAsia="fi-FI"/>
                  </w:rPr>
                  <w:t>Keski-Suomi</w:t>
                </w:r>
              </w:p>
            </w:tc>
            <w:tc>
              <w:tcPr>
                <w:tcW w:w="1597" w:type="dxa"/>
                <w:shd w:val="clear" w:color="auto" w:fill="auto"/>
                <w:noWrap/>
                <w:vAlign w:val="bottom"/>
              </w:tcPr>
              <w:p w14:paraId="6565C82E" w14:textId="77777777" w:rsidR="007456D0" w:rsidRPr="00D7087F" w:rsidRDefault="00210557" w:rsidP="00E6020A">
                <w:pPr>
                  <w:pStyle w:val="LLNormaali"/>
                  <w:jc w:val="right"/>
                  <w:rPr>
                    <w:lang w:eastAsia="fi-FI"/>
                  </w:rPr>
                </w:pPr>
                <w:r>
                  <w:rPr>
                    <w:lang w:eastAsia="fi-FI"/>
                  </w:rPr>
                  <w:t>70</w:t>
                </w:r>
              </w:p>
            </w:tc>
            <w:tc>
              <w:tcPr>
                <w:tcW w:w="1905" w:type="dxa"/>
                <w:shd w:val="clear" w:color="auto" w:fill="auto"/>
                <w:noWrap/>
                <w:vAlign w:val="bottom"/>
                <w:hideMark/>
              </w:tcPr>
              <w:p w14:paraId="0CBD838D" w14:textId="77777777" w:rsidR="007456D0" w:rsidRPr="00D7087F" w:rsidRDefault="00210557" w:rsidP="00E6020A">
                <w:pPr>
                  <w:pStyle w:val="LLNormaali"/>
                  <w:jc w:val="right"/>
                  <w:rPr>
                    <w:lang w:eastAsia="fi-FI"/>
                  </w:rPr>
                </w:pPr>
                <w:r>
                  <w:rPr>
                    <w:lang w:eastAsia="fi-FI"/>
                  </w:rPr>
                  <w:t>4</w:t>
                </w:r>
                <w:r w:rsidR="007456D0" w:rsidRPr="00D7087F">
                  <w:rPr>
                    <w:lang w:eastAsia="fi-FI"/>
                  </w:rPr>
                  <w:t xml:space="preserve"> %</w:t>
                </w:r>
              </w:p>
            </w:tc>
            <w:tc>
              <w:tcPr>
                <w:tcW w:w="1701" w:type="dxa"/>
                <w:shd w:val="clear" w:color="auto" w:fill="auto"/>
                <w:noWrap/>
                <w:vAlign w:val="bottom"/>
              </w:tcPr>
              <w:p w14:paraId="5D6C6ED8" w14:textId="77777777" w:rsidR="007456D0" w:rsidRPr="00D7087F" w:rsidRDefault="00210557" w:rsidP="00E6020A">
                <w:pPr>
                  <w:pStyle w:val="LLNormaali"/>
                  <w:jc w:val="right"/>
                  <w:rPr>
                    <w:lang w:eastAsia="fi-FI"/>
                  </w:rPr>
                </w:pPr>
                <w:r>
                  <w:rPr>
                    <w:lang w:eastAsia="fi-FI"/>
                  </w:rPr>
                  <w:t>39</w:t>
                </w:r>
              </w:p>
            </w:tc>
          </w:tr>
          <w:tr w:rsidR="007456D0" w:rsidRPr="00D7087F" w14:paraId="2C518337" w14:textId="77777777" w:rsidTr="00E6020A">
            <w:trPr>
              <w:trHeight w:val="290"/>
            </w:trPr>
            <w:tc>
              <w:tcPr>
                <w:tcW w:w="1880" w:type="dxa"/>
                <w:shd w:val="clear" w:color="auto" w:fill="auto"/>
                <w:noWrap/>
                <w:vAlign w:val="bottom"/>
                <w:hideMark/>
              </w:tcPr>
              <w:p w14:paraId="2C92A2D3" w14:textId="77777777" w:rsidR="007456D0" w:rsidRPr="00D7087F" w:rsidRDefault="007456D0" w:rsidP="00E6020A">
                <w:pPr>
                  <w:pStyle w:val="LLNormaali"/>
                  <w:rPr>
                    <w:lang w:eastAsia="fi-FI"/>
                  </w:rPr>
                </w:pPr>
                <w:r w:rsidRPr="00D7087F">
                  <w:rPr>
                    <w:lang w:eastAsia="fi-FI"/>
                  </w:rPr>
                  <w:t>Keski-Uusimaa</w:t>
                </w:r>
              </w:p>
            </w:tc>
            <w:tc>
              <w:tcPr>
                <w:tcW w:w="1597" w:type="dxa"/>
                <w:shd w:val="clear" w:color="auto" w:fill="auto"/>
                <w:noWrap/>
                <w:vAlign w:val="bottom"/>
              </w:tcPr>
              <w:p w14:paraId="107D569E" w14:textId="77777777" w:rsidR="007456D0" w:rsidRPr="00D7087F" w:rsidRDefault="00210557" w:rsidP="00E6020A">
                <w:pPr>
                  <w:pStyle w:val="LLNormaali"/>
                  <w:jc w:val="right"/>
                  <w:rPr>
                    <w:lang w:eastAsia="fi-FI"/>
                  </w:rPr>
                </w:pPr>
                <w:r>
                  <w:rPr>
                    <w:lang w:eastAsia="fi-FI"/>
                  </w:rPr>
                  <w:t>43,5</w:t>
                </w:r>
              </w:p>
            </w:tc>
            <w:tc>
              <w:tcPr>
                <w:tcW w:w="1905" w:type="dxa"/>
                <w:shd w:val="clear" w:color="auto" w:fill="auto"/>
                <w:noWrap/>
                <w:vAlign w:val="bottom"/>
                <w:hideMark/>
              </w:tcPr>
              <w:p w14:paraId="33709655" w14:textId="77777777" w:rsidR="007456D0" w:rsidRPr="00D7087F" w:rsidRDefault="007456D0" w:rsidP="00E6020A">
                <w:pPr>
                  <w:pStyle w:val="LLNormaali"/>
                  <w:jc w:val="right"/>
                  <w:rPr>
                    <w:lang w:eastAsia="fi-FI"/>
                  </w:rPr>
                </w:pPr>
                <w:r>
                  <w:rPr>
                    <w:lang w:eastAsia="fi-FI"/>
                  </w:rPr>
                  <w:t>5</w:t>
                </w:r>
                <w:r w:rsidRPr="00D7087F">
                  <w:rPr>
                    <w:lang w:eastAsia="fi-FI"/>
                  </w:rPr>
                  <w:t xml:space="preserve"> %</w:t>
                </w:r>
              </w:p>
            </w:tc>
            <w:tc>
              <w:tcPr>
                <w:tcW w:w="1701" w:type="dxa"/>
                <w:shd w:val="clear" w:color="auto" w:fill="auto"/>
                <w:noWrap/>
                <w:vAlign w:val="bottom"/>
              </w:tcPr>
              <w:p w14:paraId="014417CB" w14:textId="77777777" w:rsidR="007456D0" w:rsidRPr="00D7087F" w:rsidRDefault="00210557" w:rsidP="00E6020A">
                <w:pPr>
                  <w:pStyle w:val="LLNormaali"/>
                  <w:jc w:val="right"/>
                  <w:rPr>
                    <w:lang w:eastAsia="fi-FI"/>
                  </w:rPr>
                </w:pPr>
                <w:r>
                  <w:rPr>
                    <w:lang w:eastAsia="fi-FI"/>
                  </w:rPr>
                  <w:t>29</w:t>
                </w:r>
              </w:p>
            </w:tc>
          </w:tr>
          <w:tr w:rsidR="007456D0" w:rsidRPr="00D7087F" w14:paraId="279EA09E" w14:textId="77777777" w:rsidTr="00E6020A">
            <w:trPr>
              <w:trHeight w:val="290"/>
            </w:trPr>
            <w:tc>
              <w:tcPr>
                <w:tcW w:w="1880" w:type="dxa"/>
                <w:shd w:val="clear" w:color="auto" w:fill="auto"/>
                <w:noWrap/>
                <w:vAlign w:val="bottom"/>
                <w:hideMark/>
              </w:tcPr>
              <w:p w14:paraId="4E239EDC" w14:textId="77777777" w:rsidR="007456D0" w:rsidRPr="00D7087F" w:rsidRDefault="007456D0" w:rsidP="00E6020A">
                <w:pPr>
                  <w:pStyle w:val="LLNormaali"/>
                  <w:rPr>
                    <w:lang w:eastAsia="fi-FI"/>
                  </w:rPr>
                </w:pPr>
                <w:r w:rsidRPr="00D7087F">
                  <w:rPr>
                    <w:lang w:eastAsia="fi-FI"/>
                  </w:rPr>
                  <w:t>Kymenlaakso</w:t>
                </w:r>
              </w:p>
            </w:tc>
            <w:tc>
              <w:tcPr>
                <w:tcW w:w="1597" w:type="dxa"/>
                <w:shd w:val="clear" w:color="auto" w:fill="auto"/>
                <w:noWrap/>
                <w:vAlign w:val="bottom"/>
              </w:tcPr>
              <w:p w14:paraId="47924702" w14:textId="77777777" w:rsidR="007456D0" w:rsidRPr="00D7087F" w:rsidRDefault="00210557" w:rsidP="00E6020A">
                <w:pPr>
                  <w:pStyle w:val="LLNormaali"/>
                  <w:jc w:val="right"/>
                  <w:rPr>
                    <w:lang w:eastAsia="fi-FI"/>
                  </w:rPr>
                </w:pPr>
                <w:r>
                  <w:rPr>
                    <w:lang w:eastAsia="fi-FI"/>
                  </w:rPr>
                  <w:t>60,5</w:t>
                </w:r>
              </w:p>
            </w:tc>
            <w:tc>
              <w:tcPr>
                <w:tcW w:w="1905" w:type="dxa"/>
                <w:shd w:val="clear" w:color="auto" w:fill="auto"/>
                <w:noWrap/>
                <w:vAlign w:val="bottom"/>
                <w:hideMark/>
              </w:tcPr>
              <w:p w14:paraId="51BAFB3B" w14:textId="77777777" w:rsidR="007456D0" w:rsidRPr="00D7087F" w:rsidRDefault="007456D0" w:rsidP="00E6020A">
                <w:pPr>
                  <w:pStyle w:val="LLNormaali"/>
                  <w:jc w:val="right"/>
                  <w:rPr>
                    <w:lang w:eastAsia="fi-FI"/>
                  </w:rPr>
                </w:pPr>
                <w:r>
                  <w:rPr>
                    <w:lang w:eastAsia="fi-FI"/>
                  </w:rPr>
                  <w:t>5</w:t>
                </w:r>
                <w:r w:rsidRPr="00D7087F">
                  <w:rPr>
                    <w:lang w:eastAsia="fi-FI"/>
                  </w:rPr>
                  <w:t xml:space="preserve"> %</w:t>
                </w:r>
              </w:p>
            </w:tc>
            <w:tc>
              <w:tcPr>
                <w:tcW w:w="1701" w:type="dxa"/>
                <w:shd w:val="clear" w:color="auto" w:fill="auto"/>
                <w:noWrap/>
                <w:vAlign w:val="bottom"/>
              </w:tcPr>
              <w:p w14:paraId="0D44E8AB" w14:textId="77777777" w:rsidR="007456D0" w:rsidRPr="00D7087F" w:rsidRDefault="00210557" w:rsidP="00E6020A">
                <w:pPr>
                  <w:pStyle w:val="LLNormaali"/>
                  <w:jc w:val="right"/>
                  <w:rPr>
                    <w:lang w:eastAsia="fi-FI"/>
                  </w:rPr>
                </w:pPr>
                <w:r>
                  <w:rPr>
                    <w:lang w:eastAsia="fi-FI"/>
                  </w:rPr>
                  <w:t>31</w:t>
                </w:r>
              </w:p>
            </w:tc>
          </w:tr>
          <w:tr w:rsidR="007456D0" w:rsidRPr="00D7087F" w14:paraId="133AC041" w14:textId="77777777" w:rsidTr="00E6020A">
            <w:trPr>
              <w:trHeight w:val="290"/>
            </w:trPr>
            <w:tc>
              <w:tcPr>
                <w:tcW w:w="1880" w:type="dxa"/>
                <w:shd w:val="clear" w:color="auto" w:fill="auto"/>
                <w:noWrap/>
                <w:vAlign w:val="bottom"/>
                <w:hideMark/>
              </w:tcPr>
              <w:p w14:paraId="0B84A598" w14:textId="77777777" w:rsidR="007456D0" w:rsidRPr="00D7087F" w:rsidRDefault="007456D0" w:rsidP="00E6020A">
                <w:pPr>
                  <w:pStyle w:val="LLNormaali"/>
                  <w:rPr>
                    <w:lang w:eastAsia="fi-FI"/>
                  </w:rPr>
                </w:pPr>
                <w:r w:rsidRPr="00D7087F">
                  <w:rPr>
                    <w:lang w:eastAsia="fi-FI"/>
                  </w:rPr>
                  <w:t xml:space="preserve">Lappi </w:t>
                </w:r>
              </w:p>
            </w:tc>
            <w:tc>
              <w:tcPr>
                <w:tcW w:w="1597" w:type="dxa"/>
                <w:shd w:val="clear" w:color="auto" w:fill="auto"/>
                <w:noWrap/>
                <w:vAlign w:val="bottom"/>
              </w:tcPr>
              <w:p w14:paraId="7AD163AD" w14:textId="77777777" w:rsidR="007456D0" w:rsidRPr="00D7087F" w:rsidRDefault="00210557" w:rsidP="00E6020A">
                <w:pPr>
                  <w:pStyle w:val="LLNormaali"/>
                  <w:jc w:val="right"/>
                  <w:rPr>
                    <w:lang w:eastAsia="fi-FI"/>
                  </w:rPr>
                </w:pPr>
                <w:r>
                  <w:rPr>
                    <w:lang w:eastAsia="fi-FI"/>
                  </w:rPr>
                  <w:t>57,5</w:t>
                </w:r>
              </w:p>
            </w:tc>
            <w:tc>
              <w:tcPr>
                <w:tcW w:w="1905" w:type="dxa"/>
                <w:shd w:val="clear" w:color="auto" w:fill="auto"/>
                <w:noWrap/>
                <w:vAlign w:val="bottom"/>
                <w:hideMark/>
              </w:tcPr>
              <w:p w14:paraId="4DE9CB2C" w14:textId="77777777" w:rsidR="007456D0" w:rsidRPr="00D7087F" w:rsidRDefault="007456D0" w:rsidP="00E6020A">
                <w:pPr>
                  <w:pStyle w:val="LLNormaali"/>
                  <w:jc w:val="right"/>
                  <w:rPr>
                    <w:lang w:eastAsia="fi-FI"/>
                  </w:rPr>
                </w:pPr>
                <w:r>
                  <w:rPr>
                    <w:lang w:eastAsia="fi-FI"/>
                  </w:rPr>
                  <w:t>4</w:t>
                </w:r>
                <w:r w:rsidRPr="00D7087F">
                  <w:rPr>
                    <w:lang w:eastAsia="fi-FI"/>
                  </w:rPr>
                  <w:t xml:space="preserve"> %</w:t>
                </w:r>
              </w:p>
            </w:tc>
            <w:tc>
              <w:tcPr>
                <w:tcW w:w="1701" w:type="dxa"/>
                <w:shd w:val="clear" w:color="auto" w:fill="auto"/>
                <w:noWrap/>
                <w:vAlign w:val="bottom"/>
              </w:tcPr>
              <w:p w14:paraId="1D244368" w14:textId="77777777" w:rsidR="007456D0" w:rsidRPr="00D7087F" w:rsidRDefault="00210557" w:rsidP="00E6020A">
                <w:pPr>
                  <w:pStyle w:val="LLNormaali"/>
                  <w:jc w:val="right"/>
                  <w:rPr>
                    <w:lang w:eastAsia="fi-FI"/>
                  </w:rPr>
                </w:pPr>
                <w:r>
                  <w:rPr>
                    <w:lang w:eastAsia="fi-FI"/>
                  </w:rPr>
                  <w:t>35</w:t>
                </w:r>
              </w:p>
            </w:tc>
          </w:tr>
          <w:tr w:rsidR="007456D0" w:rsidRPr="00D7087F" w14:paraId="29C07A29" w14:textId="77777777" w:rsidTr="00E6020A">
            <w:trPr>
              <w:trHeight w:val="290"/>
            </w:trPr>
            <w:tc>
              <w:tcPr>
                <w:tcW w:w="1880" w:type="dxa"/>
                <w:shd w:val="clear" w:color="auto" w:fill="auto"/>
                <w:noWrap/>
                <w:vAlign w:val="bottom"/>
                <w:hideMark/>
              </w:tcPr>
              <w:p w14:paraId="4FEE3E6D" w14:textId="77777777" w:rsidR="007456D0" w:rsidRPr="00D7087F" w:rsidRDefault="007456D0" w:rsidP="00E6020A">
                <w:pPr>
                  <w:pStyle w:val="LLNormaali"/>
                  <w:rPr>
                    <w:lang w:eastAsia="fi-FI"/>
                  </w:rPr>
                </w:pPr>
                <w:r w:rsidRPr="00D7087F">
                  <w:rPr>
                    <w:lang w:eastAsia="fi-FI"/>
                  </w:rPr>
                  <w:t>Länsi-Uusimaa</w:t>
                </w:r>
              </w:p>
            </w:tc>
            <w:tc>
              <w:tcPr>
                <w:tcW w:w="1597" w:type="dxa"/>
                <w:shd w:val="clear" w:color="auto" w:fill="auto"/>
                <w:noWrap/>
                <w:vAlign w:val="bottom"/>
              </w:tcPr>
              <w:p w14:paraId="01DDBA03" w14:textId="77777777" w:rsidR="007456D0" w:rsidRPr="00D7087F" w:rsidRDefault="00210557" w:rsidP="00E6020A">
                <w:pPr>
                  <w:pStyle w:val="LLNormaali"/>
                  <w:jc w:val="right"/>
                  <w:rPr>
                    <w:lang w:eastAsia="fi-FI"/>
                  </w:rPr>
                </w:pPr>
                <w:r>
                  <w:rPr>
                    <w:lang w:eastAsia="fi-FI"/>
                  </w:rPr>
                  <w:t>91</w:t>
                </w:r>
              </w:p>
            </w:tc>
            <w:tc>
              <w:tcPr>
                <w:tcW w:w="1905" w:type="dxa"/>
                <w:shd w:val="clear" w:color="auto" w:fill="auto"/>
                <w:noWrap/>
                <w:vAlign w:val="bottom"/>
                <w:hideMark/>
              </w:tcPr>
              <w:p w14:paraId="3235B379" w14:textId="77777777" w:rsidR="007456D0" w:rsidRPr="00D7087F" w:rsidRDefault="00210557" w:rsidP="00E6020A">
                <w:pPr>
                  <w:pStyle w:val="LLNormaali"/>
                  <w:jc w:val="right"/>
                  <w:rPr>
                    <w:lang w:eastAsia="fi-FI"/>
                  </w:rPr>
                </w:pPr>
                <w:r>
                  <w:rPr>
                    <w:lang w:eastAsia="fi-FI"/>
                  </w:rPr>
                  <w:t>4</w:t>
                </w:r>
                <w:r w:rsidR="007456D0" w:rsidRPr="00D7087F">
                  <w:rPr>
                    <w:lang w:eastAsia="fi-FI"/>
                  </w:rPr>
                  <w:t xml:space="preserve"> %</w:t>
                </w:r>
              </w:p>
            </w:tc>
            <w:tc>
              <w:tcPr>
                <w:tcW w:w="1701" w:type="dxa"/>
                <w:shd w:val="clear" w:color="auto" w:fill="auto"/>
                <w:noWrap/>
                <w:vAlign w:val="bottom"/>
              </w:tcPr>
              <w:p w14:paraId="5132ED25" w14:textId="77777777" w:rsidR="007456D0" w:rsidRPr="00D7087F" w:rsidRDefault="00210557" w:rsidP="00E6020A">
                <w:pPr>
                  <w:pStyle w:val="LLNormaali"/>
                  <w:jc w:val="right"/>
                  <w:rPr>
                    <w:lang w:eastAsia="fi-FI"/>
                  </w:rPr>
                </w:pPr>
                <w:r>
                  <w:rPr>
                    <w:lang w:eastAsia="fi-FI"/>
                  </w:rPr>
                  <w:t>55</w:t>
                </w:r>
              </w:p>
            </w:tc>
          </w:tr>
          <w:tr w:rsidR="007456D0" w:rsidRPr="00D7087F" w14:paraId="70455DCE" w14:textId="77777777" w:rsidTr="00E6020A">
            <w:trPr>
              <w:trHeight w:val="290"/>
            </w:trPr>
            <w:tc>
              <w:tcPr>
                <w:tcW w:w="1880" w:type="dxa"/>
                <w:shd w:val="clear" w:color="auto" w:fill="auto"/>
                <w:noWrap/>
                <w:vAlign w:val="bottom"/>
                <w:hideMark/>
              </w:tcPr>
              <w:p w14:paraId="581B48F1" w14:textId="77777777" w:rsidR="007456D0" w:rsidRPr="00D7087F" w:rsidRDefault="007456D0" w:rsidP="00E6020A">
                <w:pPr>
                  <w:pStyle w:val="LLNormaali"/>
                  <w:rPr>
                    <w:lang w:eastAsia="fi-FI"/>
                  </w:rPr>
                </w:pPr>
                <w:r w:rsidRPr="00D7087F">
                  <w:rPr>
                    <w:lang w:eastAsia="fi-FI"/>
                  </w:rPr>
                  <w:t>Pirkanmaa</w:t>
                </w:r>
              </w:p>
            </w:tc>
            <w:tc>
              <w:tcPr>
                <w:tcW w:w="1597" w:type="dxa"/>
                <w:shd w:val="clear" w:color="auto" w:fill="auto"/>
                <w:noWrap/>
                <w:vAlign w:val="bottom"/>
              </w:tcPr>
              <w:p w14:paraId="29CA1B6C" w14:textId="77777777" w:rsidR="007456D0" w:rsidRPr="00D7087F" w:rsidRDefault="00E561CA" w:rsidP="00E6020A">
                <w:pPr>
                  <w:pStyle w:val="LLNormaali"/>
                  <w:jc w:val="right"/>
                  <w:rPr>
                    <w:lang w:eastAsia="fi-FI"/>
                  </w:rPr>
                </w:pPr>
                <w:r>
                  <w:rPr>
                    <w:lang w:eastAsia="fi-FI"/>
                  </w:rPr>
                  <w:t>132,5</w:t>
                </w:r>
              </w:p>
            </w:tc>
            <w:tc>
              <w:tcPr>
                <w:tcW w:w="1905" w:type="dxa"/>
                <w:shd w:val="clear" w:color="auto" w:fill="auto"/>
                <w:noWrap/>
                <w:vAlign w:val="bottom"/>
                <w:hideMark/>
              </w:tcPr>
              <w:p w14:paraId="498AB7DB" w14:textId="77777777" w:rsidR="007456D0" w:rsidRPr="00D7087F" w:rsidRDefault="00E561CA" w:rsidP="00E6020A">
                <w:pPr>
                  <w:pStyle w:val="LLNormaali"/>
                  <w:jc w:val="right"/>
                  <w:rPr>
                    <w:lang w:eastAsia="fi-FI"/>
                  </w:rPr>
                </w:pPr>
                <w:r>
                  <w:rPr>
                    <w:lang w:eastAsia="fi-FI"/>
                  </w:rPr>
                  <w:t>4</w:t>
                </w:r>
                <w:r w:rsidR="007456D0" w:rsidRPr="00D7087F">
                  <w:rPr>
                    <w:lang w:eastAsia="fi-FI"/>
                  </w:rPr>
                  <w:t xml:space="preserve"> %</w:t>
                </w:r>
              </w:p>
            </w:tc>
            <w:tc>
              <w:tcPr>
                <w:tcW w:w="1701" w:type="dxa"/>
                <w:shd w:val="clear" w:color="auto" w:fill="auto"/>
                <w:noWrap/>
                <w:vAlign w:val="bottom"/>
              </w:tcPr>
              <w:p w14:paraId="69BC1A2F" w14:textId="77777777" w:rsidR="007456D0" w:rsidRPr="00D7087F" w:rsidRDefault="00E561CA" w:rsidP="00E6020A">
                <w:pPr>
                  <w:pStyle w:val="LLNormaali"/>
                  <w:jc w:val="right"/>
                  <w:rPr>
                    <w:lang w:eastAsia="fi-FI"/>
                  </w:rPr>
                </w:pPr>
                <w:r>
                  <w:rPr>
                    <w:lang w:eastAsia="fi-FI"/>
                  </w:rPr>
                  <w:t>85</w:t>
                </w:r>
              </w:p>
            </w:tc>
          </w:tr>
          <w:tr w:rsidR="007456D0" w:rsidRPr="00D7087F" w14:paraId="41C5EF83" w14:textId="77777777" w:rsidTr="00E6020A">
            <w:trPr>
              <w:trHeight w:val="290"/>
            </w:trPr>
            <w:tc>
              <w:tcPr>
                <w:tcW w:w="1880" w:type="dxa"/>
                <w:shd w:val="clear" w:color="auto" w:fill="auto"/>
                <w:noWrap/>
                <w:vAlign w:val="bottom"/>
                <w:hideMark/>
              </w:tcPr>
              <w:p w14:paraId="302C94C8" w14:textId="77777777" w:rsidR="007456D0" w:rsidRPr="00D7087F" w:rsidRDefault="007456D0" w:rsidP="00E6020A">
                <w:pPr>
                  <w:pStyle w:val="LLNormaali"/>
                  <w:rPr>
                    <w:lang w:eastAsia="fi-FI"/>
                  </w:rPr>
                </w:pPr>
                <w:r w:rsidRPr="00D7087F">
                  <w:rPr>
                    <w:lang w:eastAsia="fi-FI"/>
                  </w:rPr>
                  <w:t>Pohjanmaa</w:t>
                </w:r>
              </w:p>
            </w:tc>
            <w:tc>
              <w:tcPr>
                <w:tcW w:w="1597" w:type="dxa"/>
                <w:shd w:val="clear" w:color="auto" w:fill="auto"/>
                <w:noWrap/>
                <w:vAlign w:val="bottom"/>
              </w:tcPr>
              <w:p w14:paraId="39549AB1" w14:textId="77777777" w:rsidR="007456D0" w:rsidRPr="00D7087F" w:rsidRDefault="00E561CA" w:rsidP="00E6020A">
                <w:pPr>
                  <w:pStyle w:val="LLNormaali"/>
                  <w:jc w:val="right"/>
                  <w:rPr>
                    <w:lang w:eastAsia="fi-FI"/>
                  </w:rPr>
                </w:pPr>
                <w:r>
                  <w:rPr>
                    <w:lang w:eastAsia="fi-FI"/>
                  </w:rPr>
                  <w:t>54</w:t>
                </w:r>
              </w:p>
            </w:tc>
            <w:tc>
              <w:tcPr>
                <w:tcW w:w="1905" w:type="dxa"/>
                <w:shd w:val="clear" w:color="auto" w:fill="auto"/>
                <w:noWrap/>
                <w:vAlign w:val="bottom"/>
                <w:hideMark/>
              </w:tcPr>
              <w:p w14:paraId="7DBF5090" w14:textId="77777777" w:rsidR="007456D0" w:rsidRPr="00D7087F" w:rsidRDefault="00E561CA" w:rsidP="00E6020A">
                <w:pPr>
                  <w:pStyle w:val="LLNormaali"/>
                  <w:jc w:val="right"/>
                  <w:rPr>
                    <w:lang w:eastAsia="fi-FI"/>
                  </w:rPr>
                </w:pPr>
                <w:r>
                  <w:rPr>
                    <w:lang w:eastAsia="fi-FI"/>
                  </w:rPr>
                  <w:t>4</w:t>
                </w:r>
                <w:r w:rsidR="007456D0" w:rsidRPr="00D7087F">
                  <w:rPr>
                    <w:lang w:eastAsia="fi-FI"/>
                  </w:rPr>
                  <w:t xml:space="preserve"> %</w:t>
                </w:r>
              </w:p>
            </w:tc>
            <w:tc>
              <w:tcPr>
                <w:tcW w:w="1701" w:type="dxa"/>
                <w:shd w:val="clear" w:color="auto" w:fill="auto"/>
                <w:noWrap/>
                <w:vAlign w:val="bottom"/>
              </w:tcPr>
              <w:p w14:paraId="2F82A378" w14:textId="77777777" w:rsidR="007456D0" w:rsidRPr="00D7087F" w:rsidRDefault="00E561CA" w:rsidP="00E6020A">
                <w:pPr>
                  <w:pStyle w:val="LLNormaali"/>
                  <w:jc w:val="right"/>
                  <w:rPr>
                    <w:lang w:eastAsia="fi-FI"/>
                  </w:rPr>
                </w:pPr>
                <w:r>
                  <w:rPr>
                    <w:lang w:eastAsia="fi-FI"/>
                  </w:rPr>
                  <w:t>35</w:t>
                </w:r>
              </w:p>
            </w:tc>
          </w:tr>
          <w:tr w:rsidR="007456D0" w:rsidRPr="00D7087F" w14:paraId="2B1819E2" w14:textId="77777777" w:rsidTr="00E6020A">
            <w:trPr>
              <w:trHeight w:val="290"/>
            </w:trPr>
            <w:tc>
              <w:tcPr>
                <w:tcW w:w="1880" w:type="dxa"/>
                <w:shd w:val="clear" w:color="auto" w:fill="auto"/>
                <w:noWrap/>
                <w:vAlign w:val="bottom"/>
                <w:hideMark/>
              </w:tcPr>
              <w:p w14:paraId="618241EA" w14:textId="77777777" w:rsidR="007456D0" w:rsidRPr="00D7087F" w:rsidRDefault="007456D0" w:rsidP="00E6020A">
                <w:pPr>
                  <w:pStyle w:val="LLNormaali"/>
                  <w:rPr>
                    <w:lang w:eastAsia="fi-FI"/>
                  </w:rPr>
                </w:pPr>
                <w:r w:rsidRPr="00D7087F">
                  <w:rPr>
                    <w:lang w:eastAsia="fi-FI"/>
                  </w:rPr>
                  <w:t>Pohjois-Karjala</w:t>
                </w:r>
              </w:p>
            </w:tc>
            <w:tc>
              <w:tcPr>
                <w:tcW w:w="1597" w:type="dxa"/>
                <w:shd w:val="clear" w:color="auto" w:fill="auto"/>
                <w:noWrap/>
                <w:vAlign w:val="bottom"/>
              </w:tcPr>
              <w:p w14:paraId="5D27993B" w14:textId="77777777" w:rsidR="007456D0" w:rsidRPr="00D7087F" w:rsidRDefault="00E561CA" w:rsidP="00E6020A">
                <w:pPr>
                  <w:pStyle w:val="LLNormaali"/>
                  <w:jc w:val="right"/>
                  <w:rPr>
                    <w:lang w:eastAsia="fi-FI"/>
                  </w:rPr>
                </w:pPr>
                <w:r>
                  <w:rPr>
                    <w:lang w:eastAsia="fi-FI"/>
                  </w:rPr>
                  <w:t>90</w:t>
                </w:r>
              </w:p>
            </w:tc>
            <w:tc>
              <w:tcPr>
                <w:tcW w:w="1905" w:type="dxa"/>
                <w:shd w:val="clear" w:color="auto" w:fill="auto"/>
                <w:noWrap/>
                <w:vAlign w:val="bottom"/>
                <w:hideMark/>
              </w:tcPr>
              <w:p w14:paraId="532E4380" w14:textId="77777777" w:rsidR="007456D0" w:rsidRPr="00D7087F" w:rsidRDefault="007456D0" w:rsidP="00E6020A">
                <w:pPr>
                  <w:pStyle w:val="LLNormaali"/>
                  <w:jc w:val="right"/>
                  <w:rPr>
                    <w:lang w:eastAsia="fi-FI"/>
                  </w:rPr>
                </w:pPr>
                <w:r>
                  <w:rPr>
                    <w:lang w:eastAsia="fi-FI"/>
                  </w:rPr>
                  <w:t>7</w:t>
                </w:r>
                <w:r w:rsidRPr="00D7087F">
                  <w:rPr>
                    <w:lang w:eastAsia="fi-FI"/>
                  </w:rPr>
                  <w:t xml:space="preserve"> %</w:t>
                </w:r>
              </w:p>
            </w:tc>
            <w:tc>
              <w:tcPr>
                <w:tcW w:w="1701" w:type="dxa"/>
                <w:shd w:val="clear" w:color="auto" w:fill="auto"/>
                <w:noWrap/>
                <w:vAlign w:val="bottom"/>
              </w:tcPr>
              <w:p w14:paraId="30E061E3" w14:textId="77777777" w:rsidR="007456D0" w:rsidRPr="00D7087F" w:rsidRDefault="00E561CA" w:rsidP="00E6020A">
                <w:pPr>
                  <w:pStyle w:val="LLNormaali"/>
                  <w:jc w:val="right"/>
                  <w:rPr>
                    <w:lang w:eastAsia="fi-FI"/>
                  </w:rPr>
                </w:pPr>
                <w:r>
                  <w:rPr>
                    <w:lang w:eastAsia="fi-FI"/>
                  </w:rPr>
                  <w:t>50</w:t>
                </w:r>
              </w:p>
            </w:tc>
          </w:tr>
          <w:tr w:rsidR="007456D0" w:rsidRPr="00D7087F" w14:paraId="74278CFE" w14:textId="77777777" w:rsidTr="00E6020A">
            <w:trPr>
              <w:trHeight w:val="290"/>
            </w:trPr>
            <w:tc>
              <w:tcPr>
                <w:tcW w:w="1880" w:type="dxa"/>
                <w:shd w:val="clear" w:color="auto" w:fill="auto"/>
                <w:noWrap/>
                <w:vAlign w:val="bottom"/>
                <w:hideMark/>
              </w:tcPr>
              <w:p w14:paraId="56A5B377" w14:textId="77777777" w:rsidR="007456D0" w:rsidRPr="00D7087F" w:rsidRDefault="007456D0" w:rsidP="00E6020A">
                <w:pPr>
                  <w:pStyle w:val="LLNormaali"/>
                  <w:rPr>
                    <w:lang w:eastAsia="fi-FI"/>
                  </w:rPr>
                </w:pPr>
                <w:r w:rsidRPr="00D7087F">
                  <w:rPr>
                    <w:lang w:eastAsia="fi-FI"/>
                  </w:rPr>
                  <w:t>Pohjois-Pohjanmaa</w:t>
                </w:r>
              </w:p>
            </w:tc>
            <w:tc>
              <w:tcPr>
                <w:tcW w:w="1597" w:type="dxa"/>
                <w:shd w:val="clear" w:color="auto" w:fill="auto"/>
                <w:noWrap/>
                <w:vAlign w:val="bottom"/>
              </w:tcPr>
              <w:p w14:paraId="2DE2B732" w14:textId="77777777" w:rsidR="007456D0" w:rsidRPr="00D7087F" w:rsidRDefault="00E561CA" w:rsidP="00E6020A">
                <w:pPr>
                  <w:pStyle w:val="LLNormaali"/>
                  <w:jc w:val="right"/>
                  <w:rPr>
                    <w:lang w:eastAsia="fi-FI"/>
                  </w:rPr>
                </w:pPr>
                <w:r>
                  <w:rPr>
                    <w:lang w:eastAsia="fi-FI"/>
                  </w:rPr>
                  <w:t>117</w:t>
                </w:r>
              </w:p>
            </w:tc>
            <w:tc>
              <w:tcPr>
                <w:tcW w:w="1905" w:type="dxa"/>
                <w:shd w:val="clear" w:color="auto" w:fill="auto"/>
                <w:noWrap/>
                <w:vAlign w:val="bottom"/>
                <w:hideMark/>
              </w:tcPr>
              <w:p w14:paraId="6D9AC045" w14:textId="77777777" w:rsidR="007456D0" w:rsidRPr="00D7087F" w:rsidRDefault="00E561CA" w:rsidP="00E6020A">
                <w:pPr>
                  <w:pStyle w:val="LLNormaali"/>
                  <w:jc w:val="right"/>
                  <w:rPr>
                    <w:lang w:eastAsia="fi-FI"/>
                  </w:rPr>
                </w:pPr>
                <w:r>
                  <w:rPr>
                    <w:lang w:eastAsia="fi-FI"/>
                  </w:rPr>
                  <w:t>4</w:t>
                </w:r>
                <w:r w:rsidR="007456D0" w:rsidRPr="00D7087F">
                  <w:rPr>
                    <w:lang w:eastAsia="fi-FI"/>
                  </w:rPr>
                  <w:t xml:space="preserve"> %</w:t>
                </w:r>
              </w:p>
            </w:tc>
            <w:tc>
              <w:tcPr>
                <w:tcW w:w="1701" w:type="dxa"/>
                <w:shd w:val="clear" w:color="auto" w:fill="auto"/>
                <w:noWrap/>
                <w:vAlign w:val="bottom"/>
              </w:tcPr>
              <w:p w14:paraId="64CEFF5D" w14:textId="77777777" w:rsidR="007456D0" w:rsidRPr="00D7087F" w:rsidRDefault="00E561CA" w:rsidP="00E6020A">
                <w:pPr>
                  <w:pStyle w:val="LLNormaali"/>
                  <w:jc w:val="right"/>
                  <w:rPr>
                    <w:lang w:eastAsia="fi-FI"/>
                  </w:rPr>
                </w:pPr>
                <w:r>
                  <w:rPr>
                    <w:lang w:eastAsia="fi-FI"/>
                  </w:rPr>
                  <w:t>75</w:t>
                </w:r>
              </w:p>
            </w:tc>
          </w:tr>
          <w:tr w:rsidR="007456D0" w:rsidRPr="00D7087F" w14:paraId="018A8D1F" w14:textId="77777777" w:rsidTr="00E6020A">
            <w:trPr>
              <w:trHeight w:val="290"/>
            </w:trPr>
            <w:tc>
              <w:tcPr>
                <w:tcW w:w="1880" w:type="dxa"/>
                <w:shd w:val="clear" w:color="auto" w:fill="auto"/>
                <w:noWrap/>
                <w:vAlign w:val="bottom"/>
                <w:hideMark/>
              </w:tcPr>
              <w:p w14:paraId="2C58CFEE" w14:textId="77777777" w:rsidR="007456D0" w:rsidRPr="00D7087F" w:rsidRDefault="007456D0" w:rsidP="00E6020A">
                <w:pPr>
                  <w:pStyle w:val="LLNormaali"/>
                  <w:rPr>
                    <w:lang w:eastAsia="fi-FI"/>
                  </w:rPr>
                </w:pPr>
                <w:r w:rsidRPr="00D7087F">
                  <w:rPr>
                    <w:lang w:eastAsia="fi-FI"/>
                  </w:rPr>
                  <w:t>Pohjois-Savo</w:t>
                </w:r>
              </w:p>
            </w:tc>
            <w:tc>
              <w:tcPr>
                <w:tcW w:w="1597" w:type="dxa"/>
                <w:shd w:val="clear" w:color="auto" w:fill="auto"/>
                <w:noWrap/>
                <w:vAlign w:val="bottom"/>
              </w:tcPr>
              <w:p w14:paraId="662DA76A" w14:textId="77777777" w:rsidR="007456D0" w:rsidRPr="00D7087F" w:rsidRDefault="00E561CA" w:rsidP="00E6020A">
                <w:pPr>
                  <w:pStyle w:val="LLNormaali"/>
                  <w:jc w:val="right"/>
                  <w:rPr>
                    <w:lang w:eastAsia="fi-FI"/>
                  </w:rPr>
                </w:pPr>
                <w:r>
                  <w:rPr>
                    <w:lang w:eastAsia="fi-FI"/>
                  </w:rPr>
                  <w:t>80,5</w:t>
                </w:r>
              </w:p>
            </w:tc>
            <w:tc>
              <w:tcPr>
                <w:tcW w:w="1905" w:type="dxa"/>
                <w:shd w:val="clear" w:color="auto" w:fill="auto"/>
                <w:noWrap/>
                <w:vAlign w:val="bottom"/>
                <w:hideMark/>
              </w:tcPr>
              <w:p w14:paraId="007C7211" w14:textId="77777777" w:rsidR="007456D0" w:rsidRPr="00D7087F" w:rsidRDefault="00E561CA" w:rsidP="00E6020A">
                <w:pPr>
                  <w:pStyle w:val="LLNormaali"/>
                  <w:jc w:val="right"/>
                  <w:rPr>
                    <w:lang w:eastAsia="fi-FI"/>
                  </w:rPr>
                </w:pPr>
                <w:r>
                  <w:rPr>
                    <w:lang w:eastAsia="fi-FI"/>
                  </w:rPr>
                  <w:t>4</w:t>
                </w:r>
                <w:r w:rsidR="007456D0" w:rsidRPr="00D7087F">
                  <w:rPr>
                    <w:lang w:eastAsia="fi-FI"/>
                  </w:rPr>
                  <w:t xml:space="preserve"> %</w:t>
                </w:r>
              </w:p>
            </w:tc>
            <w:tc>
              <w:tcPr>
                <w:tcW w:w="1701" w:type="dxa"/>
                <w:shd w:val="clear" w:color="auto" w:fill="auto"/>
                <w:noWrap/>
                <w:vAlign w:val="bottom"/>
              </w:tcPr>
              <w:p w14:paraId="4130A083" w14:textId="77777777" w:rsidR="007456D0" w:rsidRPr="00D7087F" w:rsidRDefault="00E561CA" w:rsidP="00E6020A">
                <w:pPr>
                  <w:pStyle w:val="LLNormaali"/>
                  <w:jc w:val="right"/>
                  <w:rPr>
                    <w:lang w:eastAsia="fi-FI"/>
                  </w:rPr>
                </w:pPr>
                <w:r>
                  <w:rPr>
                    <w:lang w:eastAsia="fi-FI"/>
                  </w:rPr>
                  <w:t>53</w:t>
                </w:r>
              </w:p>
            </w:tc>
          </w:tr>
          <w:tr w:rsidR="007456D0" w:rsidRPr="00D7087F" w14:paraId="0180B771" w14:textId="77777777" w:rsidTr="00E6020A">
            <w:trPr>
              <w:trHeight w:val="290"/>
            </w:trPr>
            <w:tc>
              <w:tcPr>
                <w:tcW w:w="1880" w:type="dxa"/>
                <w:shd w:val="clear" w:color="auto" w:fill="auto"/>
                <w:noWrap/>
                <w:vAlign w:val="bottom"/>
                <w:hideMark/>
              </w:tcPr>
              <w:p w14:paraId="3B54A0CC" w14:textId="77777777" w:rsidR="007456D0" w:rsidRPr="00D7087F" w:rsidRDefault="007456D0" w:rsidP="00E6020A">
                <w:pPr>
                  <w:pStyle w:val="LLNormaali"/>
                  <w:rPr>
                    <w:lang w:eastAsia="fi-FI"/>
                  </w:rPr>
                </w:pPr>
                <w:r w:rsidRPr="00D7087F">
                  <w:rPr>
                    <w:lang w:eastAsia="fi-FI"/>
                  </w:rPr>
                  <w:t>Päijät-Häme</w:t>
                </w:r>
              </w:p>
            </w:tc>
            <w:tc>
              <w:tcPr>
                <w:tcW w:w="1597" w:type="dxa"/>
                <w:shd w:val="clear" w:color="auto" w:fill="auto"/>
                <w:noWrap/>
                <w:vAlign w:val="bottom"/>
              </w:tcPr>
              <w:p w14:paraId="38A99757" w14:textId="77777777" w:rsidR="007456D0" w:rsidRPr="00D7087F" w:rsidRDefault="00E561CA" w:rsidP="00E6020A">
                <w:pPr>
                  <w:pStyle w:val="LLNormaali"/>
                  <w:jc w:val="right"/>
                  <w:rPr>
                    <w:lang w:eastAsia="fi-FI"/>
                  </w:rPr>
                </w:pPr>
                <w:r>
                  <w:rPr>
                    <w:lang w:eastAsia="fi-FI"/>
                  </w:rPr>
                  <w:t>57,5</w:t>
                </w:r>
              </w:p>
            </w:tc>
            <w:tc>
              <w:tcPr>
                <w:tcW w:w="1905" w:type="dxa"/>
                <w:shd w:val="clear" w:color="auto" w:fill="auto"/>
                <w:noWrap/>
                <w:vAlign w:val="bottom"/>
                <w:hideMark/>
              </w:tcPr>
              <w:p w14:paraId="5D1FB2C1" w14:textId="77777777" w:rsidR="007456D0" w:rsidRPr="00D7087F" w:rsidRDefault="00E561CA" w:rsidP="00E6020A">
                <w:pPr>
                  <w:pStyle w:val="LLNormaali"/>
                  <w:jc w:val="right"/>
                  <w:rPr>
                    <w:lang w:eastAsia="fi-FI"/>
                  </w:rPr>
                </w:pPr>
                <w:r>
                  <w:rPr>
                    <w:lang w:eastAsia="fi-FI"/>
                  </w:rPr>
                  <w:t>4</w:t>
                </w:r>
                <w:r w:rsidR="007456D0" w:rsidRPr="00D7087F">
                  <w:rPr>
                    <w:lang w:eastAsia="fi-FI"/>
                  </w:rPr>
                  <w:t xml:space="preserve"> %</w:t>
                </w:r>
              </w:p>
            </w:tc>
            <w:tc>
              <w:tcPr>
                <w:tcW w:w="1701" w:type="dxa"/>
                <w:shd w:val="clear" w:color="auto" w:fill="auto"/>
                <w:noWrap/>
                <w:vAlign w:val="bottom"/>
              </w:tcPr>
              <w:p w14:paraId="24198143" w14:textId="77777777" w:rsidR="007456D0" w:rsidRPr="00D7087F" w:rsidRDefault="00E561CA" w:rsidP="00E6020A">
                <w:pPr>
                  <w:pStyle w:val="LLNormaali"/>
                  <w:jc w:val="right"/>
                  <w:rPr>
                    <w:lang w:eastAsia="fi-FI"/>
                  </w:rPr>
                </w:pPr>
                <w:r>
                  <w:rPr>
                    <w:lang w:eastAsia="fi-FI"/>
                  </w:rPr>
                  <w:t>28</w:t>
                </w:r>
              </w:p>
            </w:tc>
          </w:tr>
          <w:tr w:rsidR="007456D0" w:rsidRPr="00D7087F" w14:paraId="6ED7E406" w14:textId="77777777" w:rsidTr="00E6020A">
            <w:trPr>
              <w:trHeight w:val="290"/>
            </w:trPr>
            <w:tc>
              <w:tcPr>
                <w:tcW w:w="1880" w:type="dxa"/>
                <w:shd w:val="clear" w:color="auto" w:fill="auto"/>
                <w:noWrap/>
                <w:vAlign w:val="bottom"/>
                <w:hideMark/>
              </w:tcPr>
              <w:p w14:paraId="420A2432" w14:textId="77777777" w:rsidR="007456D0" w:rsidRPr="00D7087F" w:rsidRDefault="007456D0" w:rsidP="00E6020A">
                <w:pPr>
                  <w:pStyle w:val="LLNormaali"/>
                  <w:rPr>
                    <w:lang w:eastAsia="fi-FI"/>
                  </w:rPr>
                </w:pPr>
                <w:r w:rsidRPr="00D7087F">
                  <w:rPr>
                    <w:lang w:eastAsia="fi-FI"/>
                  </w:rPr>
                  <w:t>Satakunta</w:t>
                </w:r>
              </w:p>
            </w:tc>
            <w:tc>
              <w:tcPr>
                <w:tcW w:w="1597" w:type="dxa"/>
                <w:shd w:val="clear" w:color="auto" w:fill="auto"/>
                <w:noWrap/>
                <w:vAlign w:val="bottom"/>
              </w:tcPr>
              <w:p w14:paraId="1A1B6A35" w14:textId="77777777" w:rsidR="007456D0" w:rsidRPr="00D7087F" w:rsidRDefault="00E561CA" w:rsidP="00E6020A">
                <w:pPr>
                  <w:pStyle w:val="LLNormaali"/>
                  <w:jc w:val="right"/>
                  <w:rPr>
                    <w:lang w:eastAsia="fi-FI"/>
                  </w:rPr>
                </w:pPr>
                <w:r>
                  <w:rPr>
                    <w:lang w:eastAsia="fi-FI"/>
                  </w:rPr>
                  <w:t>91</w:t>
                </w:r>
              </w:p>
            </w:tc>
            <w:tc>
              <w:tcPr>
                <w:tcW w:w="1905" w:type="dxa"/>
                <w:shd w:val="clear" w:color="auto" w:fill="auto"/>
                <w:noWrap/>
                <w:vAlign w:val="bottom"/>
                <w:hideMark/>
              </w:tcPr>
              <w:p w14:paraId="28C6429B" w14:textId="77777777" w:rsidR="007456D0" w:rsidRPr="00D7087F" w:rsidRDefault="007456D0" w:rsidP="00E6020A">
                <w:pPr>
                  <w:pStyle w:val="LLNormaali"/>
                  <w:jc w:val="right"/>
                  <w:rPr>
                    <w:lang w:eastAsia="fi-FI"/>
                  </w:rPr>
                </w:pPr>
                <w:r>
                  <w:rPr>
                    <w:lang w:eastAsia="fi-FI"/>
                  </w:rPr>
                  <w:t>5</w:t>
                </w:r>
                <w:r w:rsidRPr="00D7087F">
                  <w:rPr>
                    <w:lang w:eastAsia="fi-FI"/>
                  </w:rPr>
                  <w:t xml:space="preserve"> %</w:t>
                </w:r>
              </w:p>
            </w:tc>
            <w:tc>
              <w:tcPr>
                <w:tcW w:w="1701" w:type="dxa"/>
                <w:shd w:val="clear" w:color="auto" w:fill="auto"/>
                <w:noWrap/>
                <w:vAlign w:val="bottom"/>
              </w:tcPr>
              <w:p w14:paraId="58F5F57F" w14:textId="77777777" w:rsidR="007456D0" w:rsidRPr="00D7087F" w:rsidRDefault="00E561CA" w:rsidP="00E6020A">
                <w:pPr>
                  <w:pStyle w:val="LLNormaali"/>
                  <w:jc w:val="right"/>
                  <w:rPr>
                    <w:lang w:eastAsia="fi-FI"/>
                  </w:rPr>
                </w:pPr>
                <w:r>
                  <w:rPr>
                    <w:lang w:eastAsia="fi-FI"/>
                  </w:rPr>
                  <w:t>47</w:t>
                </w:r>
              </w:p>
            </w:tc>
          </w:tr>
          <w:tr w:rsidR="007456D0" w:rsidRPr="00D7087F" w14:paraId="29B2D809" w14:textId="77777777" w:rsidTr="00E6020A">
            <w:trPr>
              <w:trHeight w:val="290"/>
            </w:trPr>
            <w:tc>
              <w:tcPr>
                <w:tcW w:w="1880" w:type="dxa"/>
                <w:shd w:val="clear" w:color="auto" w:fill="auto"/>
                <w:noWrap/>
                <w:vAlign w:val="bottom"/>
                <w:hideMark/>
              </w:tcPr>
              <w:p w14:paraId="6B53A0AE" w14:textId="77777777" w:rsidR="007456D0" w:rsidRPr="00D7087F" w:rsidRDefault="007456D0" w:rsidP="00E6020A">
                <w:pPr>
                  <w:pStyle w:val="LLNormaali"/>
                  <w:rPr>
                    <w:lang w:eastAsia="fi-FI"/>
                  </w:rPr>
                </w:pPr>
                <w:r w:rsidRPr="00D7087F">
                  <w:rPr>
                    <w:lang w:eastAsia="fi-FI"/>
                  </w:rPr>
                  <w:t>Vantaa</w:t>
                </w:r>
                <w:r>
                  <w:rPr>
                    <w:lang w:eastAsia="fi-FI"/>
                  </w:rPr>
                  <w:t xml:space="preserve"> ja </w:t>
                </w:r>
                <w:r w:rsidRPr="00D7087F">
                  <w:rPr>
                    <w:lang w:eastAsia="fi-FI"/>
                  </w:rPr>
                  <w:t>Kerava</w:t>
                </w:r>
              </w:p>
            </w:tc>
            <w:tc>
              <w:tcPr>
                <w:tcW w:w="1597" w:type="dxa"/>
                <w:shd w:val="clear" w:color="auto" w:fill="auto"/>
                <w:noWrap/>
                <w:vAlign w:val="bottom"/>
              </w:tcPr>
              <w:p w14:paraId="02481FA3" w14:textId="77777777" w:rsidR="007456D0" w:rsidRPr="00D7087F" w:rsidRDefault="00E561CA" w:rsidP="00E6020A">
                <w:pPr>
                  <w:pStyle w:val="LLNormaali"/>
                  <w:jc w:val="right"/>
                  <w:rPr>
                    <w:lang w:eastAsia="fi-FI"/>
                  </w:rPr>
                </w:pPr>
                <w:r>
                  <w:rPr>
                    <w:lang w:eastAsia="fi-FI"/>
                  </w:rPr>
                  <w:t>43</w:t>
                </w:r>
              </w:p>
            </w:tc>
            <w:tc>
              <w:tcPr>
                <w:tcW w:w="1905" w:type="dxa"/>
                <w:shd w:val="clear" w:color="auto" w:fill="auto"/>
                <w:noWrap/>
                <w:vAlign w:val="bottom"/>
                <w:hideMark/>
              </w:tcPr>
              <w:p w14:paraId="23F25D66" w14:textId="77777777" w:rsidR="007456D0" w:rsidRPr="00D7087F" w:rsidRDefault="00E561CA" w:rsidP="00E6020A">
                <w:pPr>
                  <w:pStyle w:val="LLNormaali"/>
                  <w:jc w:val="right"/>
                  <w:rPr>
                    <w:lang w:eastAsia="fi-FI"/>
                  </w:rPr>
                </w:pPr>
                <w:r>
                  <w:rPr>
                    <w:lang w:eastAsia="fi-FI"/>
                  </w:rPr>
                  <w:t>4</w:t>
                </w:r>
                <w:r w:rsidR="007456D0" w:rsidRPr="00D7087F">
                  <w:rPr>
                    <w:lang w:eastAsia="fi-FI"/>
                  </w:rPr>
                  <w:t xml:space="preserve"> %</w:t>
                </w:r>
              </w:p>
            </w:tc>
            <w:tc>
              <w:tcPr>
                <w:tcW w:w="1701" w:type="dxa"/>
                <w:shd w:val="clear" w:color="auto" w:fill="auto"/>
                <w:noWrap/>
                <w:vAlign w:val="bottom"/>
              </w:tcPr>
              <w:p w14:paraId="23F5D9D7" w14:textId="77777777" w:rsidR="007456D0" w:rsidRPr="00D7087F" w:rsidRDefault="00E561CA" w:rsidP="00E6020A">
                <w:pPr>
                  <w:pStyle w:val="LLNormaali"/>
                  <w:jc w:val="right"/>
                  <w:rPr>
                    <w:lang w:eastAsia="fi-FI"/>
                  </w:rPr>
                </w:pPr>
                <w:r>
                  <w:rPr>
                    <w:lang w:eastAsia="fi-FI"/>
                  </w:rPr>
                  <w:t>21</w:t>
                </w:r>
              </w:p>
            </w:tc>
          </w:tr>
          <w:tr w:rsidR="007456D0" w:rsidRPr="00D7087F" w14:paraId="7C965887" w14:textId="77777777" w:rsidTr="00E6020A">
            <w:trPr>
              <w:trHeight w:val="290"/>
            </w:trPr>
            <w:tc>
              <w:tcPr>
                <w:tcW w:w="1880" w:type="dxa"/>
                <w:shd w:val="clear" w:color="auto" w:fill="auto"/>
                <w:noWrap/>
                <w:vAlign w:val="bottom"/>
                <w:hideMark/>
              </w:tcPr>
              <w:p w14:paraId="4D169D52" w14:textId="77777777" w:rsidR="007456D0" w:rsidRPr="00D7087F" w:rsidRDefault="007456D0" w:rsidP="00E6020A">
                <w:pPr>
                  <w:pStyle w:val="LLNormaali"/>
                  <w:rPr>
                    <w:lang w:eastAsia="fi-FI"/>
                  </w:rPr>
                </w:pPr>
                <w:r w:rsidRPr="00D7087F">
                  <w:rPr>
                    <w:lang w:eastAsia="fi-FI"/>
                  </w:rPr>
                  <w:t>Varsinais-Suomi</w:t>
                </w:r>
              </w:p>
            </w:tc>
            <w:tc>
              <w:tcPr>
                <w:tcW w:w="1597" w:type="dxa"/>
                <w:shd w:val="clear" w:color="auto" w:fill="auto"/>
                <w:noWrap/>
                <w:vAlign w:val="bottom"/>
              </w:tcPr>
              <w:p w14:paraId="779E3AA3" w14:textId="77777777" w:rsidR="007456D0" w:rsidRPr="00D7087F" w:rsidRDefault="00E561CA" w:rsidP="00E6020A">
                <w:pPr>
                  <w:pStyle w:val="LLNormaali"/>
                  <w:jc w:val="right"/>
                  <w:rPr>
                    <w:lang w:eastAsia="fi-FI"/>
                  </w:rPr>
                </w:pPr>
                <w:r>
                  <w:rPr>
                    <w:lang w:eastAsia="fi-FI"/>
                  </w:rPr>
                  <w:t>108</w:t>
                </w:r>
              </w:p>
            </w:tc>
            <w:tc>
              <w:tcPr>
                <w:tcW w:w="1905" w:type="dxa"/>
                <w:shd w:val="clear" w:color="auto" w:fill="auto"/>
                <w:noWrap/>
                <w:vAlign w:val="bottom"/>
                <w:hideMark/>
              </w:tcPr>
              <w:p w14:paraId="0C3C75FB" w14:textId="77777777" w:rsidR="007456D0" w:rsidRPr="00D7087F" w:rsidRDefault="00B73FC3" w:rsidP="00E6020A">
                <w:pPr>
                  <w:pStyle w:val="LLNormaali"/>
                  <w:jc w:val="right"/>
                  <w:rPr>
                    <w:lang w:eastAsia="fi-FI"/>
                  </w:rPr>
                </w:pPr>
                <w:r>
                  <w:rPr>
                    <w:lang w:eastAsia="fi-FI"/>
                  </w:rPr>
                  <w:t>3</w:t>
                </w:r>
                <w:r w:rsidR="007456D0" w:rsidRPr="00D7087F">
                  <w:rPr>
                    <w:lang w:eastAsia="fi-FI"/>
                  </w:rPr>
                  <w:t xml:space="preserve"> %</w:t>
                </w:r>
              </w:p>
            </w:tc>
            <w:tc>
              <w:tcPr>
                <w:tcW w:w="1701" w:type="dxa"/>
                <w:shd w:val="clear" w:color="auto" w:fill="auto"/>
                <w:noWrap/>
                <w:vAlign w:val="bottom"/>
              </w:tcPr>
              <w:p w14:paraId="0686CDEB" w14:textId="77777777" w:rsidR="007456D0" w:rsidRPr="00D7087F" w:rsidRDefault="00E561CA" w:rsidP="00E6020A">
                <w:pPr>
                  <w:pStyle w:val="LLNormaali"/>
                  <w:jc w:val="right"/>
                  <w:rPr>
                    <w:lang w:eastAsia="fi-FI"/>
                  </w:rPr>
                </w:pPr>
                <w:r>
                  <w:rPr>
                    <w:lang w:eastAsia="fi-FI"/>
                  </w:rPr>
                  <w:t>67</w:t>
                </w:r>
              </w:p>
            </w:tc>
          </w:tr>
        </w:tbl>
        <w:p w14:paraId="2ECF4109" w14:textId="77777777" w:rsidR="007456D0" w:rsidRDefault="007456D0" w:rsidP="007456D0">
          <w:pPr>
            <w:pStyle w:val="LLPerustelujenkappalejako"/>
          </w:pPr>
        </w:p>
        <w:p w14:paraId="5FFEB1D6" w14:textId="77777777" w:rsidR="006652A4" w:rsidRDefault="006652A4" w:rsidP="006652A4">
          <w:pPr>
            <w:pStyle w:val="LLPerustelujenkappalejako"/>
          </w:pPr>
          <w:r>
            <w:lastRenderedPageBreak/>
            <w:t>Mitoituksen siirto usean vuoden päähän voi aiheuttaa sen, että osa 0,65:tä korkeamman mitoituksen yksiköistä saattaa laskea mitoitustaan. Tämä vähentäisi ympärivuorokautisten palveluiden henkilöstön kokonaismäärää, joten epäsuorasti lakimuutos saattaisi tuoda hieman arvioitua enemmän säästöä. Näiden yksiköiden osuutta ja siten vaikutuksia kustannuksiin ja henkilöstötarpeeseen ei ole mahdollista tarkkaan arvioida, mutta ainakaan kaikilta 0,65 mitoituksen ylittäneiltä yksiköiltä mitoituksen laskeminen ei onnistu. Esimerkiksi osassa yksiköistä asiakasrakenne edellyttää 0,65:tä korkeampaa mitoitusta. Lisäksi suuri osa yksiköistä on kooltaan niin pieniä, että mitoituksen asettaminen tarkalleen 0,65:een o</w:t>
          </w:r>
          <w:r w:rsidR="007D2D8E">
            <w:t>lisi</w:t>
          </w:r>
          <w:r>
            <w:t xml:space="preserve"> edellyttänyt osa-aikaisten ja jopa tuntityöntekijöiden palkkaamista. Haastavassa henkilöstön saatavuustilanteessa osa-aikaisten työntekijöiden palkkaaminen ei välttämättä onnistu, joten todennäköisesti niiden on pitänyt palkata kokoaikaisia työntekijöitä. Näin ollen nämä yksiköt pysynevät edelleen nykyisessä 0,65:tä korkeammassa mitoituksessa. Lisäksi yksityisten palveluntuottajien osalta sopimukset saattavat rajoittaa sitä, miten niiden mitoitukset voivat muuttua sopimusaikana.</w:t>
          </w:r>
        </w:p>
        <w:p w14:paraId="48F94817" w14:textId="77777777" w:rsidR="007456D0" w:rsidRPr="003B7D80" w:rsidRDefault="007456D0" w:rsidP="007456D0">
          <w:pPr>
            <w:pStyle w:val="LLP3Otsikkotaso"/>
          </w:pPr>
          <w:bookmarkStart w:id="30" w:name="_Toc119005721"/>
          <w:r w:rsidRPr="003B7D80">
            <w:t>Työllisyysvaikutukset</w:t>
          </w:r>
          <w:bookmarkEnd w:id="30"/>
          <w:r w:rsidRPr="003B7D80">
            <w:t xml:space="preserve"> </w:t>
          </w:r>
        </w:p>
        <w:p w14:paraId="1E4F8308" w14:textId="77777777" w:rsidR="007456D0" w:rsidRDefault="007456D0" w:rsidP="007456D0">
          <w:pPr>
            <w:pStyle w:val="LLPerustelujenkappalejako"/>
          </w:pPr>
          <w:bookmarkStart w:id="31" w:name="_Hlk138064645"/>
          <w:r>
            <w:t>Esityksen suora vaikutus on se, että m</w:t>
          </w:r>
          <w:r w:rsidRPr="003B7D80">
            <w:t xml:space="preserve">uutos helpottaa työvoiman </w:t>
          </w:r>
          <w:r>
            <w:t xml:space="preserve">riittävyyttä ja </w:t>
          </w:r>
          <w:r w:rsidRPr="003B7D80">
            <w:t xml:space="preserve">saatavuutta väliaikaisesti, kun </w:t>
          </w:r>
          <w:r>
            <w:t>noin neljän vuoden</w:t>
          </w:r>
          <w:r w:rsidRPr="003B7D80">
            <w:t xml:space="preserve"> ajan </w:t>
          </w:r>
          <w:r>
            <w:t xml:space="preserve">lakisääteinen </w:t>
          </w:r>
          <w:r w:rsidRPr="003B7D80">
            <w:t>vähimmäismitoitus on pienempi</w:t>
          </w:r>
          <w:r>
            <w:t xml:space="preserve"> </w:t>
          </w:r>
          <w:r w:rsidRPr="003B7D80">
            <w:t xml:space="preserve">kuin se nykyisen vanhuspalvelulain mukaan olisi. </w:t>
          </w:r>
          <w:bookmarkEnd w:id="31"/>
          <w:r w:rsidRPr="003B7D80">
            <w:t xml:space="preserve">Kuten taloudellisten vaikutusten osuudessa on kuvattu, mitoituksen </w:t>
          </w:r>
          <w:r>
            <w:t xml:space="preserve">voimaantulon </w:t>
          </w:r>
          <w:r w:rsidRPr="003B7D80">
            <w:t xml:space="preserve">siirto vähentää tarvetta lisätä henkilöstöä noin </w:t>
          </w:r>
          <w:r w:rsidR="00E61E0C">
            <w:t>1 450</w:t>
          </w:r>
          <w:r w:rsidRPr="003B7D80">
            <w:t xml:space="preserve"> työntekijää vastaavan työpanoksen verran julkisella ja yksityisellä sektorilla yhteensä. Myös sijaisten lisäystarve vähenee.</w:t>
          </w:r>
          <w:r>
            <w:t xml:space="preserve"> </w:t>
          </w:r>
        </w:p>
        <w:p w14:paraId="6B629A3A" w14:textId="3AA6DA80" w:rsidR="007456D0" w:rsidRPr="00A97BD8" w:rsidRDefault="007456D0" w:rsidP="007456D0">
          <w:pPr>
            <w:pStyle w:val="LLPerustelujenkappalejako"/>
          </w:pPr>
          <w:r w:rsidRPr="005415D5">
            <w:t xml:space="preserve">Iäkkäiden palvelujen henkilöstötarve kuitenkin lisääntyy kokonaisuudessaan tulevina vuosina, kun palvelujen tarve kasvaa väestön ikääntymisen myötä. Taulukossa 4 on kuvattu iäkkäiden </w:t>
          </w:r>
          <w:r w:rsidRPr="00A97BD8">
            <w:t xml:space="preserve">palvelujen henkilöstömäärän arvioitu kehitys </w:t>
          </w:r>
          <w:r w:rsidRPr="005415D5">
            <w:t xml:space="preserve">vuosina </w:t>
          </w:r>
          <w:r w:rsidRPr="00A97BD8">
            <w:t xml:space="preserve">2023-2027 siinä tapauksessa, että esityksessä ehdotettu 0,7 mitoituksen </w:t>
          </w:r>
          <w:r w:rsidRPr="005415D5">
            <w:t xml:space="preserve">voimaantulon </w:t>
          </w:r>
          <w:r w:rsidRPr="00A97BD8">
            <w:t xml:space="preserve">siirto toteutuu eli vähimmäismitoitus jatkuu 0,65:nä vuoden 2027 loppuun asti. </w:t>
          </w:r>
          <w:r>
            <w:t xml:space="preserve">Tällöin henkilöstömäärän arvioidaan olevan 66 400 vuonna 2027. </w:t>
          </w:r>
          <w:r w:rsidRPr="00A97BD8">
            <w:t>Mikäli 0,7 tulisi voimaan nykyisen lain mukaan 1.12.</w:t>
          </w:r>
          <w:r w:rsidRPr="005415D5">
            <w:t>2023</w:t>
          </w:r>
          <w:r w:rsidRPr="00A97BD8">
            <w:t>, olisi ympärivuorokautisten palvelujen henkilöstömäärä</w:t>
          </w:r>
          <w:r w:rsidRPr="005415D5">
            <w:t>tarve</w:t>
          </w:r>
          <w:r w:rsidRPr="00A97BD8">
            <w:t xml:space="preserve"> arviolta </w:t>
          </w:r>
          <w:r w:rsidRPr="005415D5">
            <w:t>71 500</w:t>
          </w:r>
          <w:r w:rsidRPr="00A97BD8">
            <w:t xml:space="preserve"> vuonna 2027. </w:t>
          </w:r>
          <w:r w:rsidR="008753E8" w:rsidRPr="008753E8">
            <w:t xml:space="preserve">On huomioitava, että taulukossa </w:t>
          </w:r>
          <w:r w:rsidR="008753E8">
            <w:t>näkyvä</w:t>
          </w:r>
          <w:r w:rsidR="008753E8" w:rsidRPr="008753E8">
            <w:t xml:space="preserve"> henkilöstömäärän kasvu johtuu palvelutarpeen kasvusta eli se ei ole tämän esityksen vaikutusta.</w:t>
          </w:r>
          <w:r w:rsidRPr="00A97BD8">
            <w:t xml:space="preserve"> </w:t>
          </w:r>
        </w:p>
        <w:p w14:paraId="40C3987C" w14:textId="77777777" w:rsidR="007456D0" w:rsidRDefault="007456D0" w:rsidP="007456D0">
          <w:pPr>
            <w:pStyle w:val="LLPerustelujenkappalejako"/>
          </w:pPr>
          <w:r w:rsidRPr="005415D5">
            <w:t>Taulukko 4. Arvio henkilöstömäärän kehityksestä 2023-2027 sekä nykyisellä palvelurakenteella että mahdollisen yhteisöllisen asumisen lisääntymisen myötä</w:t>
          </w:r>
        </w:p>
        <w:tbl>
          <w:tblPr>
            <w:tblStyle w:val="TaulukkoRuudukko"/>
            <w:tblW w:w="0" w:type="auto"/>
            <w:tblLook w:val="04A0" w:firstRow="1" w:lastRow="0" w:firstColumn="1" w:lastColumn="0" w:noHBand="0" w:noVBand="1"/>
          </w:tblPr>
          <w:tblGrid>
            <w:gridCol w:w="2778"/>
            <w:gridCol w:w="2779"/>
            <w:gridCol w:w="2779"/>
          </w:tblGrid>
          <w:tr w:rsidR="007456D0" w14:paraId="1B50EFEB" w14:textId="77777777" w:rsidTr="00E6020A">
            <w:tc>
              <w:tcPr>
                <w:tcW w:w="2778" w:type="dxa"/>
              </w:tcPr>
              <w:p w14:paraId="2ABD98CD" w14:textId="77777777" w:rsidR="007456D0" w:rsidRDefault="007456D0" w:rsidP="00E6020A">
                <w:pPr>
                  <w:pStyle w:val="LLPerustelujenkappalejako"/>
                </w:pPr>
              </w:p>
            </w:tc>
            <w:tc>
              <w:tcPr>
                <w:tcW w:w="2779" w:type="dxa"/>
              </w:tcPr>
              <w:p w14:paraId="469BBC73" w14:textId="77777777" w:rsidR="007456D0" w:rsidRDefault="007456D0" w:rsidP="00E6020A">
                <w:pPr>
                  <w:pStyle w:val="LLPerustelujenkappalejako"/>
                </w:pPr>
                <w:r w:rsidRPr="00A71EDF">
                  <w:t xml:space="preserve">Arvio </w:t>
                </w:r>
                <w:r>
                  <w:t xml:space="preserve">henkilöstömäärästä vuonna </w:t>
                </w:r>
                <w:r w:rsidRPr="00A71EDF">
                  <w:t>2023</w:t>
                </w:r>
              </w:p>
            </w:tc>
            <w:tc>
              <w:tcPr>
                <w:tcW w:w="2779" w:type="dxa"/>
              </w:tcPr>
              <w:p w14:paraId="5F9968A8" w14:textId="77777777" w:rsidR="007456D0" w:rsidRDefault="007456D0" w:rsidP="00E6020A">
                <w:pPr>
                  <w:pStyle w:val="LLPerustelujenkappalejako"/>
                </w:pPr>
                <w:r>
                  <w:t xml:space="preserve">Arvio henkilöstömäärästä vuonna </w:t>
                </w:r>
                <w:r w:rsidRPr="00E672DB">
                  <w:t>2027, jos 0,</w:t>
                </w:r>
                <w:r>
                  <w:t>65</w:t>
                </w:r>
                <w:r w:rsidRPr="00E672DB">
                  <w:t xml:space="preserve"> </w:t>
                </w:r>
                <w:r>
                  <w:t>olisi voimassa</w:t>
                </w:r>
                <w:r w:rsidRPr="00E672DB">
                  <w:t xml:space="preserve"> </w:t>
                </w:r>
                <w:r>
                  <w:t>3</w:t>
                </w:r>
                <w:r w:rsidRPr="00E672DB">
                  <w:t>1.</w:t>
                </w:r>
                <w:r>
                  <w:t>12</w:t>
                </w:r>
                <w:r w:rsidRPr="00E672DB">
                  <w:t>.202</w:t>
                </w:r>
                <w:r>
                  <w:t>7 asti</w:t>
                </w:r>
              </w:p>
            </w:tc>
          </w:tr>
          <w:tr w:rsidR="007456D0" w14:paraId="0EFBED7D" w14:textId="77777777" w:rsidTr="00E6020A">
            <w:tc>
              <w:tcPr>
                <w:tcW w:w="2778" w:type="dxa"/>
              </w:tcPr>
              <w:p w14:paraId="0B10B9A8" w14:textId="77777777" w:rsidR="007456D0" w:rsidRPr="005415D5" w:rsidRDefault="007456D0" w:rsidP="00E6020A">
                <w:pPr>
                  <w:pStyle w:val="LLPerustelujenkappalejako"/>
                </w:pPr>
                <w:r w:rsidRPr="005415D5">
                  <w:t>Nykyisellä palvelurakenteella</w:t>
                </w:r>
              </w:p>
            </w:tc>
            <w:tc>
              <w:tcPr>
                <w:tcW w:w="2779" w:type="dxa"/>
              </w:tcPr>
              <w:p w14:paraId="1BAF06C0" w14:textId="77777777" w:rsidR="007456D0" w:rsidRDefault="007456D0" w:rsidP="00E6020A">
                <w:pPr>
                  <w:pStyle w:val="LLPerustelujenkappalejako"/>
                </w:pPr>
              </w:p>
            </w:tc>
            <w:tc>
              <w:tcPr>
                <w:tcW w:w="2779" w:type="dxa"/>
              </w:tcPr>
              <w:p w14:paraId="24A2A761" w14:textId="77777777" w:rsidR="007456D0" w:rsidRDefault="007456D0" w:rsidP="00E6020A">
                <w:pPr>
                  <w:pStyle w:val="LLPerustelujenkappalejako"/>
                </w:pPr>
              </w:p>
            </w:tc>
          </w:tr>
          <w:tr w:rsidR="007456D0" w14:paraId="2EFDA341" w14:textId="77777777" w:rsidTr="00E6020A">
            <w:tc>
              <w:tcPr>
                <w:tcW w:w="2778" w:type="dxa"/>
              </w:tcPr>
              <w:p w14:paraId="71D27F31" w14:textId="77777777" w:rsidR="007456D0" w:rsidRDefault="007456D0" w:rsidP="00E6020A">
                <w:pPr>
                  <w:pStyle w:val="LLPerustelujenkappalejako"/>
                </w:pPr>
                <w:r>
                  <w:t>Ympärivuorokautiset palvelut</w:t>
                </w:r>
              </w:p>
            </w:tc>
            <w:tc>
              <w:tcPr>
                <w:tcW w:w="2779" w:type="dxa"/>
              </w:tcPr>
              <w:p w14:paraId="33667024" w14:textId="77777777" w:rsidR="007456D0" w:rsidRDefault="007456D0" w:rsidP="00E6020A">
                <w:pPr>
                  <w:pStyle w:val="LLPerustelujenkappalejako"/>
                </w:pPr>
                <w:r>
                  <w:t>56 400</w:t>
                </w:r>
              </w:p>
            </w:tc>
            <w:tc>
              <w:tcPr>
                <w:tcW w:w="2779" w:type="dxa"/>
              </w:tcPr>
              <w:p w14:paraId="7BE8D9EF" w14:textId="77777777" w:rsidR="007456D0" w:rsidRDefault="007456D0" w:rsidP="00E6020A">
                <w:pPr>
                  <w:pStyle w:val="LLPerustelujenkappalejako"/>
                </w:pPr>
                <w:r>
                  <w:t>66 400</w:t>
                </w:r>
              </w:p>
            </w:tc>
          </w:tr>
          <w:tr w:rsidR="007456D0" w14:paraId="08EF2B2B" w14:textId="77777777" w:rsidTr="00E6020A">
            <w:tc>
              <w:tcPr>
                <w:tcW w:w="2778" w:type="dxa"/>
              </w:tcPr>
              <w:p w14:paraId="536CD126" w14:textId="77777777" w:rsidR="007456D0" w:rsidRDefault="007456D0" w:rsidP="00E6020A">
                <w:pPr>
                  <w:pStyle w:val="LLPerustelujenkappalejako"/>
                </w:pPr>
                <w:r>
                  <w:t>Yhteisöllinen asuminen</w:t>
                </w:r>
              </w:p>
            </w:tc>
            <w:tc>
              <w:tcPr>
                <w:tcW w:w="2779" w:type="dxa"/>
              </w:tcPr>
              <w:p w14:paraId="10A08529" w14:textId="77777777" w:rsidR="007456D0" w:rsidRDefault="007456D0" w:rsidP="00E6020A">
                <w:pPr>
                  <w:pStyle w:val="LLPerustelujenkappalejako"/>
                </w:pPr>
                <w:r>
                  <w:t>1 600</w:t>
                </w:r>
              </w:p>
            </w:tc>
            <w:tc>
              <w:tcPr>
                <w:tcW w:w="2779" w:type="dxa"/>
              </w:tcPr>
              <w:p w14:paraId="79212E03" w14:textId="77777777" w:rsidR="007456D0" w:rsidRDefault="007456D0" w:rsidP="00E6020A">
                <w:pPr>
                  <w:pStyle w:val="LLPerustelujenkappalejako"/>
                </w:pPr>
                <w:r>
                  <w:t>1 900</w:t>
                </w:r>
              </w:p>
            </w:tc>
          </w:tr>
          <w:tr w:rsidR="007456D0" w14:paraId="21C73A3B" w14:textId="77777777" w:rsidTr="00E6020A">
            <w:tc>
              <w:tcPr>
                <w:tcW w:w="2778" w:type="dxa"/>
              </w:tcPr>
              <w:p w14:paraId="5A57D0AF" w14:textId="77777777" w:rsidR="007456D0" w:rsidRDefault="007456D0" w:rsidP="00E6020A">
                <w:pPr>
                  <w:pStyle w:val="LLPerustelujenkappalejako"/>
                </w:pPr>
                <w:r>
                  <w:t>Kotihoito</w:t>
                </w:r>
              </w:p>
            </w:tc>
            <w:tc>
              <w:tcPr>
                <w:tcW w:w="2779" w:type="dxa"/>
              </w:tcPr>
              <w:p w14:paraId="75EDAF06" w14:textId="77777777" w:rsidR="007456D0" w:rsidRDefault="007456D0" w:rsidP="00E6020A">
                <w:pPr>
                  <w:pStyle w:val="LLPerustelujenkappalejako"/>
                </w:pPr>
                <w:r>
                  <w:t>19 800</w:t>
                </w:r>
              </w:p>
            </w:tc>
            <w:tc>
              <w:tcPr>
                <w:tcW w:w="2779" w:type="dxa"/>
              </w:tcPr>
              <w:p w14:paraId="3A607723" w14:textId="77777777" w:rsidR="007456D0" w:rsidRDefault="007456D0" w:rsidP="00E6020A">
                <w:pPr>
                  <w:pStyle w:val="LLPerustelujenkappalejako"/>
                </w:pPr>
                <w:r>
                  <w:t>23 000</w:t>
                </w:r>
              </w:p>
            </w:tc>
          </w:tr>
          <w:tr w:rsidR="007456D0" w14:paraId="2F142CC7" w14:textId="77777777" w:rsidTr="00E6020A">
            <w:tc>
              <w:tcPr>
                <w:tcW w:w="2778" w:type="dxa"/>
              </w:tcPr>
              <w:p w14:paraId="7311ABF8" w14:textId="77777777" w:rsidR="007456D0" w:rsidRDefault="007456D0" w:rsidP="00E6020A">
                <w:pPr>
                  <w:pStyle w:val="LLPerustelujenkappalejako"/>
                </w:pPr>
                <w:r>
                  <w:t>Yhteensä</w:t>
                </w:r>
              </w:p>
            </w:tc>
            <w:tc>
              <w:tcPr>
                <w:tcW w:w="2779" w:type="dxa"/>
              </w:tcPr>
              <w:p w14:paraId="07FF2E53" w14:textId="77777777" w:rsidR="007456D0" w:rsidRDefault="007456D0" w:rsidP="00E6020A">
                <w:pPr>
                  <w:pStyle w:val="LLPerustelujenkappalejako"/>
                </w:pPr>
                <w:r>
                  <w:t>77 800</w:t>
                </w:r>
              </w:p>
            </w:tc>
            <w:tc>
              <w:tcPr>
                <w:tcW w:w="2779" w:type="dxa"/>
              </w:tcPr>
              <w:p w14:paraId="63A0E8E9" w14:textId="77777777" w:rsidR="007456D0" w:rsidRDefault="007456D0" w:rsidP="00E6020A">
                <w:pPr>
                  <w:pStyle w:val="LLPerustelujenkappalejako"/>
                </w:pPr>
                <w:r>
                  <w:t>91 300</w:t>
                </w:r>
              </w:p>
            </w:tc>
          </w:tr>
          <w:tr w:rsidR="007456D0" w14:paraId="3702FC0C" w14:textId="77777777" w:rsidTr="00E6020A">
            <w:tc>
              <w:tcPr>
                <w:tcW w:w="2778" w:type="dxa"/>
              </w:tcPr>
              <w:p w14:paraId="3406AAFB" w14:textId="77777777" w:rsidR="007456D0" w:rsidRPr="005415D5" w:rsidRDefault="007456D0" w:rsidP="00E6020A">
                <w:pPr>
                  <w:pStyle w:val="LLPerustelujenkappalejako"/>
                </w:pPr>
                <w:r w:rsidRPr="005415D5">
                  <w:lastRenderedPageBreak/>
                  <w:t>Jos yhteisöllistä asumista lisättäisiin</w:t>
                </w:r>
              </w:p>
            </w:tc>
            <w:tc>
              <w:tcPr>
                <w:tcW w:w="2779" w:type="dxa"/>
              </w:tcPr>
              <w:p w14:paraId="7EDA2D1B" w14:textId="77777777" w:rsidR="007456D0" w:rsidRDefault="007456D0" w:rsidP="00E6020A">
                <w:pPr>
                  <w:pStyle w:val="LLPerustelujenkappalejako"/>
                </w:pPr>
              </w:p>
            </w:tc>
            <w:tc>
              <w:tcPr>
                <w:tcW w:w="2779" w:type="dxa"/>
              </w:tcPr>
              <w:p w14:paraId="1301616B" w14:textId="77777777" w:rsidR="007456D0" w:rsidRDefault="007456D0" w:rsidP="00E6020A">
                <w:pPr>
                  <w:pStyle w:val="LLPerustelujenkappalejako"/>
                </w:pPr>
              </w:p>
            </w:tc>
          </w:tr>
          <w:tr w:rsidR="007456D0" w14:paraId="5A52F8A4" w14:textId="77777777" w:rsidTr="00E6020A">
            <w:tc>
              <w:tcPr>
                <w:tcW w:w="2778" w:type="dxa"/>
              </w:tcPr>
              <w:p w14:paraId="088C185A" w14:textId="77777777" w:rsidR="007456D0" w:rsidRDefault="007456D0" w:rsidP="00E6020A">
                <w:pPr>
                  <w:pStyle w:val="LLPerustelujenkappalejako"/>
                </w:pPr>
                <w:r>
                  <w:t>Ympärivuorokautiset palvelut</w:t>
                </w:r>
              </w:p>
            </w:tc>
            <w:tc>
              <w:tcPr>
                <w:tcW w:w="2779" w:type="dxa"/>
              </w:tcPr>
              <w:p w14:paraId="018EECD2" w14:textId="77777777" w:rsidR="007456D0" w:rsidRDefault="007456D0" w:rsidP="00E6020A">
                <w:pPr>
                  <w:pStyle w:val="LLPerustelujenkappalejako"/>
                </w:pPr>
                <w:r>
                  <w:t>56 400</w:t>
                </w:r>
              </w:p>
            </w:tc>
            <w:tc>
              <w:tcPr>
                <w:tcW w:w="2779" w:type="dxa"/>
              </w:tcPr>
              <w:p w14:paraId="631FE9A3" w14:textId="77777777" w:rsidR="007456D0" w:rsidRDefault="007456D0" w:rsidP="00E6020A">
                <w:pPr>
                  <w:pStyle w:val="LLPerustelujenkappalejako"/>
                </w:pPr>
                <w:r>
                  <w:t>58 400</w:t>
                </w:r>
              </w:p>
            </w:tc>
          </w:tr>
          <w:tr w:rsidR="007456D0" w14:paraId="65E9ED24" w14:textId="77777777" w:rsidTr="00E6020A">
            <w:tc>
              <w:tcPr>
                <w:tcW w:w="2778" w:type="dxa"/>
              </w:tcPr>
              <w:p w14:paraId="3C199C7F" w14:textId="77777777" w:rsidR="007456D0" w:rsidRDefault="007456D0" w:rsidP="00E6020A">
                <w:pPr>
                  <w:pStyle w:val="LLPerustelujenkappalejako"/>
                </w:pPr>
                <w:r>
                  <w:t>Yhteisöllinen asuminen</w:t>
                </w:r>
              </w:p>
            </w:tc>
            <w:tc>
              <w:tcPr>
                <w:tcW w:w="2779" w:type="dxa"/>
              </w:tcPr>
              <w:p w14:paraId="3D9583B6" w14:textId="77777777" w:rsidR="007456D0" w:rsidRDefault="007456D0" w:rsidP="00E6020A">
                <w:pPr>
                  <w:pStyle w:val="LLPerustelujenkappalejako"/>
                </w:pPr>
                <w:r>
                  <w:t>1 600</w:t>
                </w:r>
              </w:p>
            </w:tc>
            <w:tc>
              <w:tcPr>
                <w:tcW w:w="2779" w:type="dxa"/>
              </w:tcPr>
              <w:p w14:paraId="2BEAB336" w14:textId="77777777" w:rsidR="007456D0" w:rsidRDefault="007456D0" w:rsidP="00E6020A">
                <w:pPr>
                  <w:pStyle w:val="LLPerustelujenkappalejako"/>
                </w:pPr>
                <w:r>
                  <w:t>7 000</w:t>
                </w:r>
              </w:p>
            </w:tc>
          </w:tr>
          <w:tr w:rsidR="007456D0" w14:paraId="4F903080" w14:textId="77777777" w:rsidTr="00E6020A">
            <w:tc>
              <w:tcPr>
                <w:tcW w:w="2778" w:type="dxa"/>
              </w:tcPr>
              <w:p w14:paraId="5A3B65B4" w14:textId="77777777" w:rsidR="007456D0" w:rsidRDefault="007456D0" w:rsidP="00E6020A">
                <w:pPr>
                  <w:pStyle w:val="LLPerustelujenkappalejako"/>
                </w:pPr>
                <w:r>
                  <w:t>Kotihoito</w:t>
                </w:r>
              </w:p>
            </w:tc>
            <w:tc>
              <w:tcPr>
                <w:tcW w:w="2779" w:type="dxa"/>
              </w:tcPr>
              <w:p w14:paraId="33B98C40" w14:textId="77777777" w:rsidR="007456D0" w:rsidRDefault="007456D0" w:rsidP="00E6020A">
                <w:pPr>
                  <w:pStyle w:val="LLPerustelujenkappalejako"/>
                </w:pPr>
                <w:r>
                  <w:t>19 800</w:t>
                </w:r>
              </w:p>
            </w:tc>
            <w:tc>
              <w:tcPr>
                <w:tcW w:w="2779" w:type="dxa"/>
              </w:tcPr>
              <w:p w14:paraId="70462F44" w14:textId="77777777" w:rsidR="007456D0" w:rsidRDefault="007456D0" w:rsidP="00E6020A">
                <w:pPr>
                  <w:pStyle w:val="LLPerustelujenkappalejako"/>
                </w:pPr>
                <w:r>
                  <w:t>21 900</w:t>
                </w:r>
              </w:p>
            </w:tc>
          </w:tr>
          <w:tr w:rsidR="007456D0" w14:paraId="1CB4329D" w14:textId="77777777" w:rsidTr="00E6020A">
            <w:tc>
              <w:tcPr>
                <w:tcW w:w="2778" w:type="dxa"/>
              </w:tcPr>
              <w:p w14:paraId="69A16E72" w14:textId="77777777" w:rsidR="007456D0" w:rsidRDefault="007456D0" w:rsidP="00E6020A">
                <w:pPr>
                  <w:pStyle w:val="LLPerustelujenkappalejako"/>
                </w:pPr>
                <w:r>
                  <w:t>Yhteensä</w:t>
                </w:r>
              </w:p>
            </w:tc>
            <w:tc>
              <w:tcPr>
                <w:tcW w:w="2779" w:type="dxa"/>
              </w:tcPr>
              <w:p w14:paraId="71170458" w14:textId="77777777" w:rsidR="007456D0" w:rsidRDefault="007456D0" w:rsidP="00E6020A">
                <w:pPr>
                  <w:pStyle w:val="LLPerustelujenkappalejako"/>
                </w:pPr>
                <w:r>
                  <w:t>77 800</w:t>
                </w:r>
              </w:p>
            </w:tc>
            <w:tc>
              <w:tcPr>
                <w:tcW w:w="2779" w:type="dxa"/>
              </w:tcPr>
              <w:p w14:paraId="1B0EAA9E" w14:textId="77777777" w:rsidR="007456D0" w:rsidRDefault="007456D0" w:rsidP="00E6020A">
                <w:pPr>
                  <w:pStyle w:val="LLPerustelujenkappalejako"/>
                </w:pPr>
                <w:r>
                  <w:t>87 300</w:t>
                </w:r>
              </w:p>
            </w:tc>
          </w:tr>
        </w:tbl>
        <w:p w14:paraId="480661E3" w14:textId="77777777" w:rsidR="007456D0" w:rsidRDefault="007456D0" w:rsidP="007456D0">
          <w:pPr>
            <w:pStyle w:val="LLPerustelujenkappalejako"/>
          </w:pPr>
        </w:p>
        <w:p w14:paraId="37E62BCA" w14:textId="77777777" w:rsidR="000B2824" w:rsidRDefault="007456D0" w:rsidP="00B55554">
          <w:pPr>
            <w:pStyle w:val="LLPerustelujenkappalejako"/>
          </w:pPr>
          <w:r w:rsidRPr="001C0309">
            <w:t>Palvelurakenne i</w:t>
          </w:r>
          <w:r>
            <w:t>äkkäide</w:t>
          </w:r>
          <w:r w:rsidRPr="001C0309">
            <w:t xml:space="preserve">n </w:t>
          </w:r>
          <w:r>
            <w:t>palveluissa</w:t>
          </w:r>
          <w:r w:rsidRPr="001C0309">
            <w:t xml:space="preserve"> todennäköisesti muuttuu </w:t>
          </w:r>
          <w:r>
            <w:t>lähivuosina</w:t>
          </w:r>
          <w:r w:rsidRPr="001C0309">
            <w:t>, kun 1.1.2023 voimaan tulleen la</w:t>
          </w:r>
          <w:r>
            <w:t>kimuutokse</w:t>
          </w:r>
          <w:r w:rsidRPr="001C0309">
            <w:t>n toimeenpano etenee ja yhteisöllinen asuminen yleistyy</w:t>
          </w:r>
          <w:r>
            <w:t>.</w:t>
          </w:r>
          <w:r w:rsidRPr="001C0309">
            <w:t xml:space="preserve"> </w:t>
          </w:r>
          <w:r w:rsidRPr="00A97BD8">
            <w:t>T</w:t>
          </w:r>
          <w:r>
            <w:t>ästä syystä t</w:t>
          </w:r>
          <w:r w:rsidRPr="00A97BD8">
            <w:t xml:space="preserve">aulukossa 4 on esitetty </w:t>
          </w:r>
          <w:r w:rsidRPr="005415D5">
            <w:t>arvioitu henkilöstömäärän kehitys sekä nykyisellä palvelurakenteella että siinä tapauksessa, että yhteisöllinen asuminen lisääntyis</w:t>
          </w:r>
          <w:r w:rsidRPr="001478D8">
            <w:t>i</w:t>
          </w:r>
          <w:r w:rsidRPr="00A97BD8">
            <w:rPr>
              <w:rStyle w:val="Alaviitteenviite"/>
            </w:rPr>
            <w:footnoteReference w:id="8"/>
          </w:r>
          <w:r w:rsidRPr="00A97BD8">
            <w:t xml:space="preserve">. Kotihoidon ja ympärivuorokautisen palveluasumisen väliin sijoittuvan </w:t>
          </w:r>
          <w:r w:rsidRPr="005415D5">
            <w:t xml:space="preserve">yhteisöllisen asumisen lisääntyminen osaltaan parantaisi henkilöstön riittävyyttä iäkkäiden palveluissa. Yhteisöllinen asuminen mahdollistaisi paremmin tarpeita vastaavan palvelun esimerkiksi osalle niistä asiakkaista, jotka nyt vaihtoehtojen puutteessa sijoitetaan ympärivuorokautiseen hoitoon. Myös kotihoidossa on asiakkaita, joiden palvelujen tarve on jo niin suuri, että he tarvitsisivat turvallisen asuinympäristön tai mahdollisuuden yöaikaiseen palveluun, mutta he eivät vielä </w:t>
          </w:r>
          <w:r>
            <w:t>tarvitse</w:t>
          </w:r>
          <w:r w:rsidRPr="005415D5">
            <w:t xml:space="preserve"> ympärivuorokautis</w:t>
          </w:r>
          <w:r>
            <w:t>ta</w:t>
          </w:r>
          <w:r w:rsidRPr="005415D5">
            <w:t xml:space="preserve"> palveluasumis</w:t>
          </w:r>
          <w:r>
            <w:t>ta</w:t>
          </w:r>
          <w:r w:rsidRPr="005415D5">
            <w:t xml:space="preserve">. Tämä </w:t>
          </w:r>
          <w:r>
            <w:t xml:space="preserve">arvio </w:t>
          </w:r>
          <w:r w:rsidRPr="00A97BD8">
            <w:t>perustuu RAI-tietoihin, joiden mukaan sekä ympärivuorokautisessa palveluasumisessa että kotihoidossa on palvelutarpeeltaan hyvin erilaisia asiakkaita. RAI-järjestelmä on ollut 1.4.2023 lähtien käytössä kattavasti kaikissa iäkkäiden palveluissa ja koko maassa</w:t>
          </w:r>
          <w:r w:rsidRPr="00A97BD8">
            <w:rPr>
              <w:rStyle w:val="Alaviitteenviite"/>
            </w:rPr>
            <w:footnoteReference w:id="9"/>
          </w:r>
          <w:r w:rsidRPr="00A97BD8">
            <w:t xml:space="preserve">, joten se mahdollistaa palvelujen kohdentamisen paremmin asiakkaiden tarpeiden mukaan. Tällöin myös henkilöstömäärä saadaan paremmin optimoitua. On kuitenkin huomioitava, että palvelurakenteen muutos </w:t>
          </w:r>
          <w:r>
            <w:t>vaatii aikaa</w:t>
          </w:r>
          <w:r w:rsidRPr="00A97BD8">
            <w:t>.</w:t>
          </w:r>
          <w:r w:rsidRPr="00BD3DC0">
            <w:t xml:space="preserve"> </w:t>
          </w:r>
        </w:p>
        <w:p w14:paraId="142AB48F" w14:textId="77777777" w:rsidR="007456D0" w:rsidRDefault="00B55554" w:rsidP="00B55554">
          <w:pPr>
            <w:pStyle w:val="LLPerustelujenkappalejako"/>
          </w:pPr>
          <w:r>
            <w:t>Palvelurakenteen muuttaminen on sisällytetty myös hallitusohjelmaan osana kokonaisuutta, jolla vahvistetaan hyvinvointialuetaloutta toimintoja tehostamalla, muuttamalla toimintatapoja sekä lisäämällä yhteistyöalueittaista koordinaatiota. Siihen liittyvinä toimenpiteinä mainitaan m</w:t>
          </w:r>
          <w:r w:rsidR="000B2824">
            <w:t>uun muassa</w:t>
          </w:r>
          <w:r>
            <w:t xml:space="preserve"> palvelurakenteen kehittäminen ja yhteisöllisen asumisen lisääminen. Näiden toimien osalta alueiden rahoitusta ei kuitenkaan leikata etukäteen, vaan realisoituvat säästöt todennetaan jälkikäteistarkistuksen perusteella.</w:t>
          </w:r>
        </w:p>
        <w:p w14:paraId="455D9310" w14:textId="2FA136CC" w:rsidR="007456D0" w:rsidRDefault="007456D0" w:rsidP="007456D0">
          <w:pPr>
            <w:pStyle w:val="LLPerustelujenkappalejako"/>
          </w:pPr>
          <w:r>
            <w:t>Henkilöstömitoituksen toimeenpanoa</w:t>
          </w:r>
          <w:r w:rsidRPr="003B7D80">
            <w:t xml:space="preserve"> tehdään haastavassa henkilöstötilanteessa</w:t>
          </w:r>
          <w:r>
            <w:t xml:space="preserve">, jossa nykyisen työvoimapulan lisäksi haasteena on esimerkiksi henkilöstön eläköityminen. </w:t>
          </w:r>
          <w:r w:rsidRPr="003B7D80">
            <w:t xml:space="preserve">Kummassakin </w:t>
          </w:r>
          <w:r w:rsidR="000B2824">
            <w:t xml:space="preserve">viime hallituskaudella </w:t>
          </w:r>
          <w:r>
            <w:t xml:space="preserve"> </w:t>
          </w:r>
          <w:r w:rsidRPr="003B7D80">
            <w:t>annetussa iäkkäiden henkilöiden palvelujen uudistamis</w:t>
          </w:r>
          <w:r>
            <w:t>ta koskevassa</w:t>
          </w:r>
          <w:r w:rsidRPr="003B7D80">
            <w:t xml:space="preserve"> </w:t>
          </w:r>
          <w:r w:rsidRPr="003B7D80">
            <w:lastRenderedPageBreak/>
            <w:t>hallituksen esityksessä</w:t>
          </w:r>
          <w:r w:rsidRPr="003B7D80">
            <w:rPr>
              <w:rStyle w:val="Alaviitteenviite"/>
            </w:rPr>
            <w:footnoteReference w:id="10"/>
          </w:r>
          <w:r w:rsidRPr="003B7D80">
            <w:t xml:space="preserve"> on työllisyysvaikutukset -luvussa kuvattu laajasti työvoiman saatavuutta eri näkökulmista: henkilöstön saatavuu</w:t>
          </w:r>
          <w:r>
            <w:t>stilanteen kuvaus</w:t>
          </w:r>
          <w:r w:rsidRPr="003B7D80">
            <w:t xml:space="preserve">, alan koulutuksen kehitys, henkilöstön eläköityminen, osa-aikatyön yleisyys, muilla aloilla työskentelevien määrä ja ulkomaisen työvoiman käyttömahdollisuudet. </w:t>
          </w:r>
          <w:r w:rsidR="0057702F" w:rsidRPr="0057702F">
            <w:t xml:space="preserve">Tiedot näistä teemoista eivät ole oleellisesti muuttuneet. </w:t>
          </w:r>
          <w:r w:rsidRPr="003B7D80">
            <w:t>Esimerkiksi Kevan uu</w:t>
          </w:r>
          <w:r>
            <w:t>si</w:t>
          </w:r>
          <w:r w:rsidRPr="003B7D80">
            <w:t>mmat tiedot antavat edelleen samanlaisen kuvan kuntien henkilöstön eläköitymisestä</w:t>
          </w:r>
          <w:r>
            <w:rPr>
              <w:rStyle w:val="Alaviitteenviite"/>
            </w:rPr>
            <w:footnoteReference w:id="11"/>
          </w:r>
          <w:r w:rsidRPr="003B7D80">
            <w:t>: Lisäksi esimerkiksi muilla aloilla työskentelevien määrä oli Kuntatyönantajien selvityksen mukaan vuonna 2018 samalla tasolla kuin vuonna 2017, jota koskevat tiedot hallituksen esityksessä 4/2020 julkaistiin.</w:t>
          </w:r>
          <w:r>
            <w:rPr>
              <w:rStyle w:val="Alaviitteenviite"/>
            </w:rPr>
            <w:footnoteReference w:id="12"/>
          </w:r>
          <w:r w:rsidRPr="003B7D80">
            <w:t xml:space="preserve"> Keskustelu </w:t>
          </w:r>
          <w:r w:rsidRPr="00511529">
            <w:t>alanvaihtoaikeista</w:t>
          </w:r>
          <w:r w:rsidRPr="003B7D80">
            <w:t xml:space="preserve"> on tosin lisääntynyt julkisuudessa erityisesti vuodesta 2019 lähtien ja myös koronan on arveltu vaikuttavan. Tutkimusta ja selvityksiä on alanvaihtoaikeista, mutta alan vaihdosta tuoretta tutkittua tai tilastotietoa ei kuitenkaan ole</w:t>
          </w:r>
          <w:r>
            <w:rPr>
              <w:rStyle w:val="Alaviitteenviite"/>
            </w:rPr>
            <w:footnoteReference w:id="13"/>
          </w:r>
          <w:r w:rsidRPr="003B7D80">
            <w:t>. Henkilöstön saatavuudesta on tietoa muun muassa Ammattibarometrissa, joka julkaistaan kaksi kertaa vuodessa (</w:t>
          </w:r>
          <w:hyperlink r:id="rId12" w:history="1">
            <w:r w:rsidRPr="003B7D80">
              <w:rPr>
                <w:rStyle w:val="Hyperlinkki"/>
              </w:rPr>
              <w:t>www.ammattibarometri.fi</w:t>
            </w:r>
          </w:hyperlink>
          <w:r w:rsidRPr="003B7D80">
            <w:t>). Sen mukaan sairaanhoitajista ja lähihoitajista on paljon pulaa koko maassa.</w:t>
          </w:r>
          <w:r>
            <w:t xml:space="preserve"> Koulutuksen kehityksestä löytyy uusin tieto </w:t>
          </w:r>
          <w:r w:rsidRPr="008858AE">
            <w:t>Opetushallinnon tilastopalvelu</w:t>
          </w:r>
          <w:r>
            <w:t>sta</w:t>
          </w:r>
          <w:r>
            <w:rPr>
              <w:rStyle w:val="Alaviitteenviite"/>
            </w:rPr>
            <w:footnoteReference w:id="14"/>
          </w:r>
          <w:r>
            <w:t>.</w:t>
          </w:r>
        </w:p>
        <w:p w14:paraId="31DFA0BC" w14:textId="1195AB72" w:rsidR="007456D0" w:rsidRDefault="007456D0" w:rsidP="007456D0">
          <w:pPr>
            <w:pStyle w:val="LLPerustelujenkappalejako"/>
          </w:pPr>
          <w:r>
            <w:t xml:space="preserve">Mitoituksen voimaantulon siirto antaa lisäaikaa myös sosiaali- ja terveydenhuollon </w:t>
          </w:r>
          <w:r w:rsidR="001E125F">
            <w:t xml:space="preserve">järjestämisen </w:t>
          </w:r>
          <w:r>
            <w:t xml:space="preserve">uudistuksen ja muiden uudistusten henkilöstön riittävyyttä parantaville </w:t>
          </w:r>
          <w:r w:rsidR="007157C3" w:rsidRPr="007157C3">
            <w:t xml:space="preserve">toimenpiteille ja </w:t>
          </w:r>
          <w:r>
            <w:t xml:space="preserve">vaikutuksille. Sosiaali- ja terveydenhuollon uudistus toi </w:t>
          </w:r>
          <w:r w:rsidRPr="00212823">
            <w:t xml:space="preserve">isommat järjestäjät ja tuotantoalueet, </w:t>
          </w:r>
          <w:r>
            <w:t xml:space="preserve">mikä </w:t>
          </w:r>
          <w:r w:rsidRPr="00212823">
            <w:t>todennäköisesti mahdollistaa paremman henkilöstön kokonaissuunnittelun. Se taas todennäköisesti parantaa henkilöstön saatavuutta ja esimerkiksi mahdollistaa henkilöstölle enemmän valinnanmahdollisuuksia löytää itselle sopiva tehtävä. Aiemmat tutkimukset esimerkiksi yhteistoiminta-alueista ovat osoittaneet, että laajemmat alueet mahdollistavat osaamisen, rekrytoinnin ja sijaisten hankkimisen keskitt</w:t>
          </w:r>
          <w:r>
            <w:t>ä</w:t>
          </w:r>
          <w:r w:rsidRPr="00212823">
            <w:t>misen (Heinämäki 2010.).</w:t>
          </w:r>
          <w:r>
            <w:t xml:space="preserve"> Henkilöstön riittävyyden ja saatavuuden parantamiseen tähtääviä toimenpiteitä (esimerkiksi henkilöstörakenteen monipuolistaminen) on kuvattu </w:t>
          </w:r>
          <w:r w:rsidRPr="00241E6D">
            <w:t>Nykytilan kuvaus -luvussa</w:t>
          </w:r>
          <w:r>
            <w:t>.</w:t>
          </w:r>
        </w:p>
        <w:p w14:paraId="6B26108E" w14:textId="77777777" w:rsidR="007456D0" w:rsidRDefault="007456D0" w:rsidP="007456D0">
          <w:pPr>
            <w:pStyle w:val="LLPerustelujenkappalejako"/>
          </w:pPr>
          <w:r>
            <w:t xml:space="preserve">Osalla toimintayksiköistä on 1.4.2023 lähtien voimassa ollutta vähimmäismitoitusta (0,65) korkeampi mitoitus. </w:t>
          </w:r>
          <w:r w:rsidR="00C7620D">
            <w:t>Ennakkotietojen mukaan t</w:t>
          </w:r>
          <w:r>
            <w:t xml:space="preserve">oukokuussa 2023 </w:t>
          </w:r>
          <w:r w:rsidR="00D00700">
            <w:t xml:space="preserve">23 </w:t>
          </w:r>
          <w:r>
            <w:t>prosentilla toimintayksiköistä (N=</w:t>
          </w:r>
          <w:r w:rsidR="00D00700">
            <w:t>410</w:t>
          </w:r>
          <w:r>
            <w:t xml:space="preserve">) mitoitus oli 0,70-0,74 ja </w:t>
          </w:r>
          <w:r w:rsidR="00D00700">
            <w:t>17</w:t>
          </w:r>
          <w:r>
            <w:t xml:space="preserve"> prosentilla (N=</w:t>
          </w:r>
          <w:r w:rsidR="00D00700">
            <w:t>309</w:t>
          </w:r>
          <w:r>
            <w:t>) vähintään 0,75. Vanhuspalvelulain 20 §:n mukaan t</w:t>
          </w:r>
          <w:r w:rsidRPr="005A177D">
            <w:t>oimintayksikössä on oltava henkilöstö, jonka määrä, koulutus ja tehtävärakenne vastaavat toimintayksikön palveluja saavien iäkkäiden henkilöiden määrää ja heidän toimintakykynsä edellyttämää palvelun tarvetta ja joka turvaa heille laadukkaat palvelut.</w:t>
          </w:r>
          <w:r>
            <w:t xml:space="preserve"> On kuitenkin olemassa riski, että 0,7 mitoituksen voimaantulon siirto usealla vuodella voi joissain toimintayksiköissä johtaa 0,65:ä korkeamman mitoituksen laskemiseen ja henkilöstön vähentämiseen.</w:t>
          </w:r>
        </w:p>
        <w:p w14:paraId="2E5603A2" w14:textId="77777777" w:rsidR="007456D0" w:rsidRPr="003B7D80" w:rsidRDefault="007456D0" w:rsidP="007456D0">
          <w:pPr>
            <w:pStyle w:val="LLP3Otsikkotaso"/>
          </w:pPr>
          <w:bookmarkStart w:id="32" w:name="_Toc119005722"/>
          <w:r w:rsidRPr="003B7D80">
            <w:t>Yritysvaikutukset</w:t>
          </w:r>
          <w:bookmarkEnd w:id="32"/>
        </w:p>
        <w:p w14:paraId="34D634FF" w14:textId="77777777" w:rsidR="007456D0" w:rsidRPr="003B7D80" w:rsidRDefault="007456D0" w:rsidP="007456D0">
          <w:pPr>
            <w:pStyle w:val="LLPerustelujenkappalejako"/>
          </w:pPr>
          <w:r w:rsidRPr="003B7D80">
            <w:t xml:space="preserve">Yksityiset palveluntuottajat tuottavat </w:t>
          </w:r>
          <w:r>
            <w:t>52</w:t>
          </w:r>
          <w:r w:rsidRPr="003B7D80">
            <w:t xml:space="preserve"> prosenttia iäkkäiden ympärivuorokautisesta hoidosta</w:t>
          </w:r>
          <w:r>
            <w:t xml:space="preserve"> asiakasmääristä laskettuna</w:t>
          </w:r>
          <w:r w:rsidRPr="003B7D80">
            <w:t xml:space="preserve">. Kuten taloudellisten vaikutusten osuudessa on kuvattu, mitoituksen </w:t>
          </w:r>
          <w:r>
            <w:t xml:space="preserve">voimaantulon </w:t>
          </w:r>
          <w:r w:rsidRPr="003B7D80">
            <w:t xml:space="preserve">siirto </w:t>
          </w:r>
          <w:r>
            <w:t xml:space="preserve">voisi </w:t>
          </w:r>
          <w:r w:rsidRPr="003B7D80">
            <w:t xml:space="preserve">helpottaa yksityisten palveluntuottajien henkilöstön lisäystarpeita </w:t>
          </w:r>
          <w:r>
            <w:t xml:space="preserve">noin </w:t>
          </w:r>
          <w:r w:rsidR="00373A56">
            <w:t>900</w:t>
          </w:r>
          <w:r w:rsidRPr="003B7D80">
            <w:t xml:space="preserve"> työntekijän työpanoksen verran</w:t>
          </w:r>
          <w:r>
            <w:t>, mikä</w:t>
          </w:r>
          <w:r w:rsidRPr="00BF2497">
            <w:t xml:space="preserve"> </w:t>
          </w:r>
          <w:r>
            <w:t xml:space="preserve">on </w:t>
          </w:r>
          <w:r w:rsidR="00373A56">
            <w:t>viisi</w:t>
          </w:r>
          <w:r w:rsidRPr="003B7D80">
            <w:t xml:space="preserve"> prosenttia nykyisestä </w:t>
          </w:r>
          <w:r>
            <w:t xml:space="preserve">yksityisten palveluntuottajien välittömän asiakastyön </w:t>
          </w:r>
          <w:r w:rsidRPr="003B7D80">
            <w:t>henkilöstömäärästä.</w:t>
          </w:r>
        </w:p>
        <w:p w14:paraId="18BBD7A2" w14:textId="77777777" w:rsidR="007456D0" w:rsidRDefault="007456D0" w:rsidP="007456D0">
          <w:pPr>
            <w:pStyle w:val="LLPerustelujenkappalejako"/>
          </w:pPr>
          <w:r w:rsidRPr="003B7D80">
            <w:lastRenderedPageBreak/>
            <w:t xml:space="preserve">Mitoituksen </w:t>
          </w:r>
          <w:r>
            <w:t xml:space="preserve">voimaantulon </w:t>
          </w:r>
          <w:r w:rsidRPr="003B7D80">
            <w:t xml:space="preserve">siirto helpottaa </w:t>
          </w:r>
          <w:r>
            <w:t xml:space="preserve">valtakunnallisesti </w:t>
          </w:r>
          <w:r w:rsidRPr="003B7D80">
            <w:t xml:space="preserve">henkilöstön saatavuutta ja </w:t>
          </w:r>
          <w:r>
            <w:t xml:space="preserve">tämä voi </w:t>
          </w:r>
          <w:r w:rsidRPr="003B7D80">
            <w:t>antaa yksityisille palveluntuottajille lisäaikaa henkilöstön saatavuutta parantavien toimenpiteiden tekemiseen</w:t>
          </w:r>
          <w:r>
            <w:t>.</w:t>
          </w:r>
          <w:r w:rsidRPr="003B7D80">
            <w:t xml:space="preserve"> </w:t>
          </w:r>
        </w:p>
        <w:p w14:paraId="794C0FC8" w14:textId="77777777" w:rsidR="007456D0" w:rsidRPr="003B7D80" w:rsidRDefault="007456D0" w:rsidP="007456D0">
          <w:pPr>
            <w:pStyle w:val="LLPerustelujenkappalejako"/>
          </w:pPr>
          <w:r w:rsidRPr="003B7D80">
            <w:t xml:space="preserve">Yksityiset palveluntuottajat myyvät </w:t>
          </w:r>
          <w:r>
            <w:t xml:space="preserve">lähes kaikki </w:t>
          </w:r>
          <w:r w:rsidRPr="003B7D80">
            <w:t>palvelut hyvinvointialueille,</w:t>
          </w:r>
          <w:r>
            <w:t xml:space="preserve"> joten esityksen </w:t>
          </w:r>
          <w:r w:rsidRPr="003B7D80">
            <w:t xml:space="preserve">todellisiin kustannusvaikutuksiin vaikuttaa se, </w:t>
          </w:r>
          <w:r w:rsidRPr="00056D5D">
            <w:t xml:space="preserve">miten </w:t>
          </w:r>
          <w:r>
            <w:t>henkilöstö</w:t>
          </w:r>
          <w:r w:rsidRPr="00056D5D">
            <w:t>mitoitukse</w:t>
          </w:r>
          <w:r>
            <w:t>sta ja palvelusopimusten hinnoista on sovittu ja sovitaan ostopalvelu</w:t>
          </w:r>
          <w:r w:rsidRPr="00056D5D">
            <w:t>sopimuksissa</w:t>
          </w:r>
          <w:r>
            <w:t>.</w:t>
          </w:r>
        </w:p>
        <w:p w14:paraId="760652C1" w14:textId="77777777" w:rsidR="007456D0" w:rsidRPr="003B7D80" w:rsidRDefault="007456D0" w:rsidP="007456D0">
          <w:pPr>
            <w:pStyle w:val="LLP3Otsikkotaso"/>
          </w:pPr>
          <w:bookmarkStart w:id="33" w:name="_Toc119005723"/>
          <w:r w:rsidRPr="003B7D80">
            <w:t>Vaikutukset viranomaisten toimintaan</w:t>
          </w:r>
          <w:bookmarkEnd w:id="33"/>
          <w:r w:rsidRPr="003B7D80">
            <w:t xml:space="preserve"> </w:t>
          </w:r>
        </w:p>
        <w:p w14:paraId="6BA1B3EA" w14:textId="77777777" w:rsidR="007456D0" w:rsidRPr="003B7D80" w:rsidRDefault="007456D0" w:rsidP="007456D0">
          <w:pPr>
            <w:pStyle w:val="LLPValiotsikko"/>
          </w:pPr>
          <w:r w:rsidRPr="003B7D80">
            <w:t>Vaikutukset hyvinvointialueiden toimintaan</w:t>
          </w:r>
        </w:p>
        <w:p w14:paraId="35801750" w14:textId="77777777" w:rsidR="007456D0" w:rsidRPr="003B7D80" w:rsidRDefault="007456D0" w:rsidP="007456D0">
          <w:pPr>
            <w:pStyle w:val="LLPerustelujenkappalejako"/>
          </w:pPr>
          <w:r w:rsidRPr="003B7D80">
            <w:t xml:space="preserve">Julkiset palveluntuottajat tuottavat </w:t>
          </w:r>
          <w:r>
            <w:t>48</w:t>
          </w:r>
          <w:r w:rsidRPr="003B7D80">
            <w:t xml:space="preserve"> prosenttia iäkkäiden ympärivuorokautisesta hoidosta</w:t>
          </w:r>
          <w:r>
            <w:t xml:space="preserve"> asiakasmääristä laskettuna</w:t>
          </w:r>
          <w:r w:rsidRPr="003B7D80">
            <w:t xml:space="preserve">. Kuten taloudellisten vaikutusten osuudessa on kuvattu, mitoituksen </w:t>
          </w:r>
          <w:r>
            <w:t xml:space="preserve">voimaantulon </w:t>
          </w:r>
          <w:r w:rsidRPr="003B7D80">
            <w:t xml:space="preserve">siirto helpottaa julkisten palveluntuottajien henkilöstön lisäystarpeita </w:t>
          </w:r>
          <w:r>
            <w:t xml:space="preserve">noin </w:t>
          </w:r>
          <w:r w:rsidR="00373A56">
            <w:t>550</w:t>
          </w:r>
          <w:r w:rsidRPr="003B7D80">
            <w:t xml:space="preserve"> työntekijän työpanoksen verran</w:t>
          </w:r>
          <w:r>
            <w:t>, mikä</w:t>
          </w:r>
          <w:r w:rsidRPr="00BF2497">
            <w:t xml:space="preserve"> </w:t>
          </w:r>
          <w:r>
            <w:t xml:space="preserve">on </w:t>
          </w:r>
          <w:r w:rsidR="00373A56">
            <w:t>kolme</w:t>
          </w:r>
          <w:r w:rsidRPr="003B7D80">
            <w:t xml:space="preserve"> prosenttia nykyisestä </w:t>
          </w:r>
          <w:r>
            <w:t xml:space="preserve">julkisten palveluntuottajien välittömän asiakastyön </w:t>
          </w:r>
          <w:r w:rsidRPr="003B7D80">
            <w:t>henkilöstömäärästä.</w:t>
          </w:r>
        </w:p>
        <w:p w14:paraId="08F92CEB" w14:textId="77777777" w:rsidR="0046748F" w:rsidRDefault="007456D0" w:rsidP="0046748F">
          <w:pPr>
            <w:pStyle w:val="LLPerustelujenkappalejako"/>
          </w:pPr>
          <w:r w:rsidRPr="003B7D80">
            <w:t xml:space="preserve">Mitoituksen </w:t>
          </w:r>
          <w:r>
            <w:t xml:space="preserve">voimaantulon </w:t>
          </w:r>
          <w:r w:rsidRPr="003B7D80">
            <w:t>siirto helpottaa henkilöstön saatavuutta ja antaa hyvinvointialueille lisäaikaa henkilöstön saatavuutta parantavien toimenpiteiden tekemiseen</w:t>
          </w:r>
          <w:r>
            <w:t>.</w:t>
          </w:r>
          <w:r w:rsidRPr="003B7D80">
            <w:t xml:space="preserve"> </w:t>
          </w:r>
        </w:p>
        <w:p w14:paraId="0E0B22EB" w14:textId="149E0315" w:rsidR="007456D0" w:rsidRPr="003B7D80" w:rsidRDefault="0046748F" w:rsidP="0046748F">
          <w:pPr>
            <w:pStyle w:val="LLPerustelujenkappalejako"/>
          </w:pPr>
          <w:r>
            <w:t xml:space="preserve">Mitoituksen voimaantulon siirto helpottaa hyvinvointialueiden iäkkäiden palvelujen järjestä-mistä. Kun ympärivuorokautisiin palveluihin tarvitaan vähemmän henkilökuntaa, on helpompaa saada järjestettyä riittävästi iäkkäiden ympärivuorokautisten palvelujen asiakaspaikkoja. Lisäksi henkilöstötilanteen paraneminen helpottaa myös muiden iäkkäiden palvelujen, esimerkiksi kotihoidon järjestämistä. Kun henkilöstön lisäystarve pienenee ympärivuorokautisissa palveluissa, se vähentää myös painetta niiden ostopalvelukustannusten nousulle ja samalla hyvinvointialueiden iäkkäiden palvelujen kokonaiskustannusten nousulle.  </w:t>
          </w:r>
        </w:p>
        <w:p w14:paraId="5C475674" w14:textId="77777777" w:rsidR="007456D0" w:rsidRPr="003B7D80" w:rsidRDefault="007456D0" w:rsidP="007456D0">
          <w:pPr>
            <w:pStyle w:val="LLPValiotsikko"/>
          </w:pPr>
          <w:r w:rsidRPr="003B7D80">
            <w:t>Vaikutukset valvontaan</w:t>
          </w:r>
        </w:p>
        <w:p w14:paraId="37CC8C1D" w14:textId="77777777" w:rsidR="007456D0" w:rsidRDefault="007B6A8F" w:rsidP="007456D0">
          <w:pPr>
            <w:pStyle w:val="LLPerustelujenkappalejako"/>
          </w:pPr>
          <w:r>
            <w:t xml:space="preserve">Iäkkäiden palveluja valvovat </w:t>
          </w:r>
          <w:r w:rsidR="007456D0" w:rsidRPr="003B7D80">
            <w:t>Valvira, aluehallintovirastot ja hyvinvointialueet</w:t>
          </w:r>
          <w:r w:rsidR="007456D0">
            <w:t>.</w:t>
          </w:r>
        </w:p>
        <w:p w14:paraId="3D28048F" w14:textId="77777777" w:rsidR="009155A8" w:rsidRPr="003B7D80" w:rsidRDefault="007456D0" w:rsidP="007456D0">
          <w:pPr>
            <w:pStyle w:val="LLPerustelujenkappalejako"/>
          </w:pPr>
          <w:r w:rsidRPr="003B7D80">
            <w:t xml:space="preserve">Mitoituksen </w:t>
          </w:r>
          <w:r>
            <w:t xml:space="preserve">voimaantulon </w:t>
          </w:r>
          <w:r w:rsidRPr="003B7D80">
            <w:t xml:space="preserve">siirto saattaa vähentää hieman </w:t>
          </w:r>
          <w:r>
            <w:t xml:space="preserve">mitoitusta koskevan velvoitteen </w:t>
          </w:r>
          <w:r w:rsidRPr="003B7D80">
            <w:t>valvon</w:t>
          </w:r>
          <w:r>
            <w:t xml:space="preserve">taan liittyvien toimenpiteiden </w:t>
          </w:r>
          <w:r w:rsidRPr="003B7D80">
            <w:t xml:space="preserve">tarvetta </w:t>
          </w:r>
          <w:r>
            <w:t xml:space="preserve">voimassa olevaan </w:t>
          </w:r>
          <w:r w:rsidRPr="003B7D80">
            <w:t xml:space="preserve">aikatauluun verrattuna, kun henkilöstön lisäykselle kohti 0,7 </w:t>
          </w:r>
          <w:r>
            <w:t xml:space="preserve">työntekijän </w:t>
          </w:r>
          <w:r w:rsidRPr="003B7D80">
            <w:t>mitoituksen täyttämis</w:t>
          </w:r>
          <w:r>
            <w:t>tä</w:t>
          </w:r>
          <w:r w:rsidRPr="003B7D80">
            <w:t xml:space="preserve"> on käytettävissä pidempi aika</w:t>
          </w:r>
          <w:r>
            <w:t>. Laki sosiaali- ja terveydenhuollon valvonnasta (741/2023) tulee voimaan 1.1.2024</w:t>
          </w:r>
          <w:r w:rsidR="00F8565E">
            <w:t>.</w:t>
          </w:r>
          <w:r w:rsidR="00841DEE">
            <w:t xml:space="preserve"> </w:t>
          </w:r>
          <w:r w:rsidR="00F8565E" w:rsidRPr="00F8565E">
            <w:t xml:space="preserve">Laissa on muun ohella muassa säädetty palveluntuottajaa ja toimintaa koskevista edellytyksistä sekä palveluntuottajien ja palveluyksikköjen rekisteröinnistä. Nykyisin ympärivuorokautisten sosiaalipalvelujen tuottamiseen yksityisistä sosiaalipalveluista annetussa laissa (922/2011) edellytetty lupamenettely poistuu. Kaikki </w:t>
          </w:r>
          <w:r w:rsidR="00772A3C">
            <w:t>valvonta</w:t>
          </w:r>
          <w:r w:rsidR="00F8565E" w:rsidRPr="00F8565E">
            <w:t>lain sovelta</w:t>
          </w:r>
          <w:r w:rsidR="00F8565E">
            <w:t>misalaan kuuluvat palvelut tule</w:t>
          </w:r>
          <w:r w:rsidR="00F8565E" w:rsidRPr="00F8565E">
            <w:t>vat laissa säädetyn rekisteröinnin piiriin. Tietyin edellytyksin p</w:t>
          </w:r>
          <w:r w:rsidR="00F8565E">
            <w:t>alveluyksikkö voi tulla myös en</w:t>
          </w:r>
          <w:r w:rsidR="00F8565E" w:rsidRPr="00F8565E">
            <w:t>nakkotarkastuksen piiriin. Mitoituksen voimaantulon siirrolla voi olla vaikutuksia myös edellä mainitun rekisteröinnin ehtoihin tai ennakkotarkastuksen tarpeellisuuden arvioinnissa huomioon otettaviin seikkoihin.</w:t>
          </w:r>
        </w:p>
        <w:p w14:paraId="4343BB7D" w14:textId="77777777" w:rsidR="007456D0" w:rsidRPr="003B7D80" w:rsidRDefault="007456D0" w:rsidP="007456D0">
          <w:pPr>
            <w:pStyle w:val="LLP3Otsikkotaso"/>
          </w:pPr>
          <w:bookmarkStart w:id="34" w:name="_Toc119005724"/>
          <w:r w:rsidRPr="003B7D80">
            <w:t>Muut yhteiskunnalliset vaikutukset</w:t>
          </w:r>
          <w:bookmarkEnd w:id="34"/>
          <w:r w:rsidRPr="003B7D80">
            <w:t xml:space="preserve"> </w:t>
          </w:r>
        </w:p>
        <w:p w14:paraId="187C8693" w14:textId="77777777" w:rsidR="007456D0" w:rsidRPr="003B7D80" w:rsidRDefault="007456D0" w:rsidP="007456D0">
          <w:pPr>
            <w:pStyle w:val="LLPerustelujenkappalejako"/>
          </w:pPr>
          <w:r w:rsidRPr="003B7D80">
            <w:t>Vaikutukset asiakkaisiin, omaisiin, henkilöstön työhyvinvointiin ja palvelujärjestelmään kokonaisuutena</w:t>
          </w:r>
        </w:p>
        <w:p w14:paraId="7C4378E9" w14:textId="77777777" w:rsidR="007456D0" w:rsidRDefault="007456D0" w:rsidP="007456D0">
          <w:pPr>
            <w:pStyle w:val="LLPerustelujenkappalejako"/>
          </w:pPr>
          <w:r w:rsidRPr="00823CE7">
            <w:lastRenderedPageBreak/>
            <w:t xml:space="preserve">Henkilöstömitoituksen säätämiseen johtaneessa hallituksen esityksessä </w:t>
          </w:r>
          <w:r w:rsidR="000619BD">
            <w:t>(</w:t>
          </w:r>
          <w:r w:rsidRPr="00823CE7">
            <w:t>HE 4/2020 vp</w:t>
          </w:r>
          <w:r w:rsidR="000619BD">
            <w:t>)</w:t>
          </w:r>
          <w:r w:rsidRPr="00823CE7">
            <w:t xml:space="preserve"> </w:t>
          </w:r>
          <w:r w:rsidRPr="003B7D80">
            <w:t xml:space="preserve">on kuvattu tutkimustietoon perustuen, millaisia vaikutuksia henkilöstömitoituksen nostolla on asiakkaisiin, omaisiin ja henkilöstön työhyvinvointiin. </w:t>
          </w:r>
          <w:r>
            <w:t>Sen mukaan henkilöstömäärän nostolla on yleisesti positiivisia vaikutuksia asiakkaiden palvelujen laatuun ja henkilöstön työhyvinvointiin, mutta se ei pelkästään riitä, vaan myös esimerkiksi johtamisella voidaan merkittävästi vaikuttaa molempiin asioihin.</w:t>
          </w:r>
        </w:p>
        <w:p w14:paraId="438275BC" w14:textId="77777777" w:rsidR="007456D0" w:rsidRPr="003B7D80" w:rsidRDefault="007456D0" w:rsidP="007456D0">
          <w:pPr>
            <w:pStyle w:val="LLPerustelujenkappalejako"/>
          </w:pPr>
          <w:r>
            <w:t xml:space="preserve">Koska vuonna 2020 säädetty henkilöstömitoitus ei toteudu alkuperäisessä </w:t>
          </w:r>
          <w:r w:rsidRPr="00D32C99">
            <w:t xml:space="preserve">eikä vuoden </w:t>
          </w:r>
          <w:r>
            <w:t xml:space="preserve">2023 </w:t>
          </w:r>
          <w:r w:rsidRPr="00D32C99">
            <w:t>keväällä muutetussa</w:t>
          </w:r>
          <w:r>
            <w:t xml:space="preserve"> aikataulussa, myös uudistuksella tavoiteltujen täysien asiakkaiden hoidon</w:t>
          </w:r>
          <w:r w:rsidR="001E125F">
            <w:t xml:space="preserve"> ja huolenpidon</w:t>
          </w:r>
          <w:r>
            <w:t xml:space="preserve"> laatuun ja henkilöstön työhyvinvointiin tulevien vaikutusten toteutuminen siirtyy usealla vuodella. Voimaantulon siirtymisen </w:t>
          </w:r>
          <w:r w:rsidRPr="003B7D80">
            <w:t xml:space="preserve">vuoksi iäkkäiden ympärivuorokautisen hoidon henkilöstömäärä on </w:t>
          </w:r>
          <w:r>
            <w:t xml:space="preserve">laskennallisesti noin neljän vuoden ajan vähintään noin </w:t>
          </w:r>
          <w:r w:rsidR="00E61E0C">
            <w:t>1 450</w:t>
          </w:r>
          <w:r w:rsidRPr="003B7D80">
            <w:t xml:space="preserve"> työntekijän työpanosta vastaavaa määrää pienempi, kuin se olisi ilman siirtoa. </w:t>
          </w:r>
          <w:r>
            <w:t>Tämä</w:t>
          </w:r>
          <w:r w:rsidRPr="00BF2497">
            <w:t xml:space="preserve"> </w:t>
          </w:r>
          <w:r>
            <w:t xml:space="preserve">on </w:t>
          </w:r>
          <w:r w:rsidR="00E61E0C">
            <w:t>neljä</w:t>
          </w:r>
          <w:r w:rsidRPr="003B7D80">
            <w:t xml:space="preserve"> prosenttia nykyisestä </w:t>
          </w:r>
          <w:r>
            <w:t xml:space="preserve">välittömän asiakastyön </w:t>
          </w:r>
          <w:r w:rsidRPr="003B7D80">
            <w:t>henkilöstö</w:t>
          </w:r>
          <w:r>
            <w:t>n yhteis</w:t>
          </w:r>
          <w:r w:rsidRPr="003B7D80">
            <w:t>määrästä</w:t>
          </w:r>
          <w:r>
            <w:t xml:space="preserve">. Keskimäärin mitoituksen nosto 0,65:stä 0,7 merkitsisi toimintayksiköille noin </w:t>
          </w:r>
          <w:r w:rsidR="00D00700">
            <w:t>yhden</w:t>
          </w:r>
          <w:r>
            <w:t xml:space="preserve"> henkilöstötyöpanoksen lisäämistä. Eniten vaikutusta todennäköisesti olisi mahdollisuuksiin tarjota asiakkaiden toimintakykyä ylläpitävää </w:t>
          </w:r>
          <w:r w:rsidRPr="00D32C99">
            <w:t xml:space="preserve">ja sosiaalista kanssakäymistä edistävää toimintaa </w:t>
          </w:r>
          <w:r w:rsidRPr="00382B13">
            <w:t xml:space="preserve">sekä </w:t>
          </w:r>
          <w:r>
            <w:t xml:space="preserve">toteuttaa </w:t>
          </w:r>
          <w:r w:rsidR="001E125F">
            <w:t xml:space="preserve">sellaista </w:t>
          </w:r>
          <w:r w:rsidRPr="00382B13">
            <w:t>yksilöllis</w:t>
          </w:r>
          <w:r>
            <w:t>tä</w:t>
          </w:r>
          <w:r w:rsidRPr="00382B13">
            <w:t xml:space="preserve"> hoi</w:t>
          </w:r>
          <w:r>
            <w:t>toa</w:t>
          </w:r>
          <w:r w:rsidRPr="00382B13">
            <w:t xml:space="preserve"> ja </w:t>
          </w:r>
          <w:r>
            <w:t>huolenpitoa, johon korkea</w:t>
          </w:r>
          <w:r w:rsidR="000619BD">
            <w:t>mpi</w:t>
          </w:r>
          <w:r>
            <w:t xml:space="preserve"> henkilöstömitoitus antaisi paremmat mahdollisuudet. </w:t>
          </w:r>
        </w:p>
        <w:p w14:paraId="7EEB8722" w14:textId="77777777" w:rsidR="007456D0" w:rsidRPr="00A97BD8" w:rsidRDefault="007456D0" w:rsidP="007456D0">
          <w:pPr>
            <w:pStyle w:val="LLPerustelujenkappalejako"/>
          </w:pPr>
          <w:r w:rsidRPr="005415D5">
            <w:t xml:space="preserve">Mitoituksen </w:t>
          </w:r>
          <w:r>
            <w:t xml:space="preserve">voimaantulon </w:t>
          </w:r>
          <w:r w:rsidRPr="005415D5">
            <w:t xml:space="preserve">siirto antaa lisäaikaa palvelurakenteen uudistamiselle, jota on kuvattu Työllisyysvaikutukset -luvussa. Mitoituksen </w:t>
          </w:r>
          <w:r>
            <w:t xml:space="preserve">voimaantulon </w:t>
          </w:r>
          <w:r w:rsidRPr="005415D5">
            <w:t xml:space="preserve">siirto esimerkiksi helpottaa yhteisöllisen asumisen kehittämistä, kun henkilöstöä </w:t>
          </w:r>
          <w:r w:rsidR="00A46D04" w:rsidRPr="00A46D04">
            <w:t>vapautuu ympärivuorokautisista palveluista muihin palveluihin</w:t>
          </w:r>
          <w:r w:rsidR="00F522B1">
            <w:t>.</w:t>
          </w:r>
          <w:r w:rsidRPr="005415D5">
            <w:t xml:space="preserve"> Palvelurakenteen monipuolistaminen mahdollistaa tarpeita vastaavan palvelun esimerkiksi osalle niistä asiakkaista, jotka nyt vaihtoehtojen puutteessa sijoitetaan ympärivuorokautiseen hoitoon. Myös kotihoidossa on asiakkaita, jotka saattaisivat hyötyä yhteisöllisestä asumisesta. Kokonaisuudessaan palvelurakenteen uudistamisen odotetaan johtavan paremmin asiakkaiden tarpeita vastaavaan palvelurakenteeseen, jonka myötä myös henkilöstömäärä saadaan paremmin optimoitua.</w:t>
          </w:r>
          <w:r>
            <w:t xml:space="preserve"> </w:t>
          </w:r>
          <w:r w:rsidRPr="005A0698">
            <w:t xml:space="preserve">On kuitenkin huomioitava, että </w:t>
          </w:r>
          <w:r>
            <w:t xml:space="preserve">palvelurakenteen </w:t>
          </w:r>
          <w:r w:rsidRPr="005A0698">
            <w:t xml:space="preserve">muutos </w:t>
          </w:r>
          <w:r>
            <w:t>vie aikaa</w:t>
          </w:r>
          <w:r w:rsidRPr="005A0698">
            <w:t xml:space="preserve">. </w:t>
          </w:r>
        </w:p>
        <w:p w14:paraId="2CAC1B63" w14:textId="77777777" w:rsidR="007456D0" w:rsidRDefault="007456D0" w:rsidP="007456D0">
          <w:pPr>
            <w:pStyle w:val="LLPerustelujenkappalejako"/>
          </w:pPr>
          <w:r w:rsidRPr="005415D5">
            <w:t xml:space="preserve">Mitoituksen </w:t>
          </w:r>
          <w:r>
            <w:t xml:space="preserve">voimaantulon </w:t>
          </w:r>
          <w:r w:rsidRPr="005415D5">
            <w:t>siirto helpottaa jonkin verran henkilöstön saatavuustilannetta kokonaisuudessaan. Erityisesti siirto helpottaa henkilöstön riittävyyttä ja palvelujen saatavuutta kotihoidossa, mutta todennäköisesti myös terveydenhuollossa. Henkilöstön saatavuusongelmat johtavat tavallisesti ylitöiden tekemiseen</w:t>
          </w:r>
          <w:r w:rsidR="003C77E5">
            <w:t>,</w:t>
          </w:r>
          <w:r w:rsidRPr="005415D5">
            <w:t xml:space="preserve"> vajaalla henkilöstöllä toimimiseen</w:t>
          </w:r>
          <w:r w:rsidR="003C77E5">
            <w:t xml:space="preserve"> tai paikkojen sulkemiseen</w:t>
          </w:r>
          <w:r w:rsidRPr="005415D5">
            <w:t xml:space="preserve">. Mitoituksen </w:t>
          </w:r>
          <w:r>
            <w:t xml:space="preserve">voimaantulon </w:t>
          </w:r>
          <w:r w:rsidRPr="005415D5">
            <w:t xml:space="preserve">siirto saattaisi ainakin väliaikaisesti myös tuoda helpotusta tähän, millä olisi positiivisia vaikutuksia sekä asiakkaisiin että henkilöstöön. Mitoituksen </w:t>
          </w:r>
          <w:r>
            <w:t xml:space="preserve">voimaantulon </w:t>
          </w:r>
          <w:r w:rsidRPr="005415D5">
            <w:t>siirto antaa myös lisäaikaa erilaisille henkilöstön riittävyyttä ja saatavuutta parantaville toimille.</w:t>
          </w:r>
          <w:r>
            <w:t xml:space="preserve"> Niihin sisältyy esimerkiksi henkilöstörakenteen monipuolistaminen, jonka myötä voidaan myös paremmin järjestää monipuolista asiakkaiden toimintakykyä ylläpitävää </w:t>
          </w:r>
          <w:r w:rsidR="00F522B1" w:rsidRPr="00F522B1">
            <w:t xml:space="preserve">ja sosiaalista kanssakäymistä edistävää </w:t>
          </w:r>
          <w:r>
            <w:t>toimintaa.</w:t>
          </w:r>
        </w:p>
        <w:p w14:paraId="61A37E81" w14:textId="77777777" w:rsidR="00AF3149" w:rsidRDefault="007456D0" w:rsidP="007456D0">
          <w:pPr>
            <w:pStyle w:val="LLPerustelujenkappalejako"/>
            <w:rPr>
              <w:color w:val="000000" w:themeColor="text1"/>
            </w:rPr>
          </w:pPr>
          <w:r w:rsidRPr="00823CE7">
            <w:t xml:space="preserve">Henkilöstömitoituksen säätämiseen johtaneessa hallituksen esityksessä </w:t>
          </w:r>
          <w:r>
            <w:t>yhtenä riskinä tunnistettiin, että pääsy y</w:t>
          </w:r>
          <w:r w:rsidRPr="00DE0572">
            <w:t xml:space="preserve">mpärivuorokautisiin palveluihin </w:t>
          </w:r>
          <w:r>
            <w:t>saattaisi</w:t>
          </w:r>
          <w:r w:rsidRPr="00DE0572">
            <w:t xml:space="preserve"> vaikeutua</w:t>
          </w:r>
          <w:r>
            <w:t xml:space="preserve">. Palveluntuottajilta ja hyvinvointialueilta saatujen tietojen mukaan asiakaspaikkoja on jouduttu vähentämään henkilöstön saatavuusongelmien vuoksi. </w:t>
          </w:r>
          <w:r w:rsidRPr="006E5435">
            <w:t xml:space="preserve">Mitoituksen </w:t>
          </w:r>
          <w:r>
            <w:t xml:space="preserve">voimaantulon </w:t>
          </w:r>
          <w:r w:rsidRPr="006E5435">
            <w:t xml:space="preserve">siirto </w:t>
          </w:r>
          <w:r>
            <w:t xml:space="preserve">saattaisi </w:t>
          </w:r>
          <w:r w:rsidRPr="006E5435">
            <w:t>helpotta</w:t>
          </w:r>
          <w:r>
            <w:t>a</w:t>
          </w:r>
          <w:r w:rsidRPr="006E5435">
            <w:t xml:space="preserve"> osaltaan ainakin lyhyellä aikavälillä </w:t>
          </w:r>
          <w:r>
            <w:t xml:space="preserve">ympärivuorokautisiin </w:t>
          </w:r>
          <w:r w:rsidRPr="006E5435">
            <w:t>palveluihin pääsyä</w:t>
          </w:r>
          <w:r>
            <w:t>,</w:t>
          </w:r>
          <w:r w:rsidRPr="006E5435">
            <w:t xml:space="preserve"> kun </w:t>
          </w:r>
          <w:r>
            <w:t xml:space="preserve">0,7 työntekijän </w:t>
          </w:r>
          <w:r w:rsidRPr="006E5435">
            <w:t>henkilöstömitoituksen toteuttamiseen on enemmän aikaa</w:t>
          </w:r>
          <w:r>
            <w:t>. Pitkäaikaispaikkojen lisäksi l</w:t>
          </w:r>
          <w:r w:rsidRPr="00E939FE">
            <w:t xml:space="preserve">isäaika </w:t>
          </w:r>
          <w:r>
            <w:t xml:space="preserve">voisi </w:t>
          </w:r>
          <w:r w:rsidRPr="00E939FE">
            <w:t>helpottaa painetta vähentää lyhytaika</w:t>
          </w:r>
          <w:r>
            <w:t>is</w:t>
          </w:r>
          <w:r w:rsidRPr="00E939FE">
            <w:t xml:space="preserve">hoidon </w:t>
          </w:r>
          <w:r w:rsidRPr="00511529">
            <w:t>paikkoja, jolloin esimerkiksi omaishoidon vapaat ja sairaalajakson jälkeinen kuntoutus voivat toteutua paremmin.</w:t>
          </w:r>
        </w:p>
        <w:p w14:paraId="5838F706" w14:textId="77777777" w:rsidR="00A939B2" w:rsidRDefault="00A939B2" w:rsidP="00A939B2">
          <w:pPr>
            <w:pStyle w:val="LLP1Otsikkotaso"/>
          </w:pPr>
          <w:bookmarkStart w:id="35" w:name="_Toc118796211"/>
          <w:bookmarkStart w:id="36" w:name="_Toc118814265"/>
          <w:bookmarkStart w:id="37" w:name="_Toc119005725"/>
          <w:r>
            <w:lastRenderedPageBreak/>
            <w:t>Muut toteuttamisvaihtoehdot</w:t>
          </w:r>
          <w:bookmarkEnd w:id="35"/>
          <w:bookmarkEnd w:id="36"/>
          <w:bookmarkEnd w:id="37"/>
        </w:p>
        <w:p w14:paraId="1C698B0E" w14:textId="77777777" w:rsidR="00AE1223" w:rsidRDefault="00AE1223" w:rsidP="00AE1223">
          <w:pPr>
            <w:pStyle w:val="LLPerustelujenkappalejako"/>
          </w:pPr>
          <w:r>
            <w:t>Henkilöstömitoituksen säätämisen päätavoitteena on ollut toteuttaa iäkkäiden henkilöiden perustuslain mukaista oikeutta välttämättömään huolenpitoon ja riittäviin sosiaali- ja terveyspalveluihin</w:t>
          </w:r>
          <w:r w:rsidR="00772A3C">
            <w:t xml:space="preserve"> sekä turvata muita keskeisiä perusoikeuksia</w:t>
          </w:r>
          <w:r>
            <w:t>. Tavoitteena on ollut turvata iäkkäiden ympärivuorokautisen hoidon ja huolenpidon asiakkaille laadukkaat palvelut, jotka mahdollistavat arvokkaan ja mielekkään elämän. Tavoitteena on ollut myös parantaa asiakas- ja potilasturvallisuutta varmistamalla riittävä hoidosta ja huolenpidosta vastaava henkilöstö tehtävien huolelliseen toteuttamiseen.</w:t>
          </w:r>
          <w:r w:rsidR="005B6132">
            <w:t xml:space="preserve"> Nämä tavoitteet eivät ole muuttuneet, joten valmistelussa ei ole käsitelty esimerkiksi henkilöstömitoituksen ja sen laskutavan muuttamista.</w:t>
          </w:r>
        </w:p>
        <w:p w14:paraId="180864D1" w14:textId="77777777" w:rsidR="00315CA3" w:rsidRDefault="00315CA3" w:rsidP="00AE1223">
          <w:pPr>
            <w:pStyle w:val="LLPerustelujenkappalejako"/>
          </w:pPr>
          <w:r>
            <w:t xml:space="preserve">Jos laissa säädetyn henkilöstömitoituksen toteuttaminen </w:t>
          </w:r>
          <w:r w:rsidR="00FC13CE">
            <w:t>ei ole kaikissa toimintayksiköissä mahdollista, s</w:t>
          </w:r>
          <w:r>
            <w:t xml:space="preserve">iihen tulisi </w:t>
          </w:r>
          <w:r w:rsidR="00FC13CE">
            <w:t xml:space="preserve">kuitenkin </w:t>
          </w:r>
          <w:r>
            <w:t xml:space="preserve">valvonnassa </w:t>
          </w:r>
          <w:r w:rsidR="00E92139">
            <w:t xml:space="preserve">hallinnon lainalaisuusperiaatteen mukaisesti </w:t>
          </w:r>
          <w:r>
            <w:t xml:space="preserve">puuttua. </w:t>
          </w:r>
          <w:r w:rsidR="00E92139">
            <w:t>Toisaalta v</w:t>
          </w:r>
          <w:r>
            <w:t>alvonna</w:t>
          </w:r>
          <w:r w:rsidR="00E92139">
            <w:t xml:space="preserve">lla </w:t>
          </w:r>
          <w:r w:rsidR="00FC13CE">
            <w:t xml:space="preserve">tai siinä edellytetyillä toimilla </w:t>
          </w:r>
          <w:r w:rsidR="00E92139">
            <w:t xml:space="preserve">ei voitaisi kuitenkaan korjata </w:t>
          </w:r>
          <w:r w:rsidR="00F522B1">
            <w:t xml:space="preserve">pääosin henkilöstön saatavuuden ongelmista johtuvaa </w:t>
          </w:r>
          <w:r w:rsidR="00E92139">
            <w:t xml:space="preserve">tilannetta. </w:t>
          </w:r>
          <w:r w:rsidR="00952760">
            <w:t>Tässä suhteessa lainsäädännön muuttamiselle ei nähty olevan vaihtoehtoja.</w:t>
          </w:r>
          <w:r>
            <w:t xml:space="preserve"> </w:t>
          </w:r>
        </w:p>
        <w:p w14:paraId="15105968" w14:textId="77777777" w:rsidR="00A939B2" w:rsidRDefault="00EE0E1E" w:rsidP="00AE1223">
          <w:pPr>
            <w:pStyle w:val="LLPerustelujenkappalejako"/>
          </w:pPr>
          <w:r>
            <w:t>Henkilöstömitoituksen säätämis</w:t>
          </w:r>
          <w:r w:rsidR="00880190">
            <w:t>een johtaneessa</w:t>
          </w:r>
          <w:r>
            <w:t xml:space="preserve"> h</w:t>
          </w:r>
          <w:r w:rsidR="00AE1223">
            <w:t xml:space="preserve">allituksen esityksessä </w:t>
          </w:r>
          <w:r>
            <w:t>(</w:t>
          </w:r>
          <w:r w:rsidR="00AE1223">
            <w:t>HE 4/2020 vp</w:t>
          </w:r>
          <w:r>
            <w:t>)</w:t>
          </w:r>
          <w:r w:rsidR="00AE1223">
            <w:t xml:space="preserve"> on käsitelty muun muassa henkilö</w:t>
          </w:r>
          <w:r w:rsidR="005C3BCC">
            <w:t>stön</w:t>
          </w:r>
          <w:r w:rsidR="00AE1223">
            <w:t xml:space="preserve"> palkkaamista terveydenhuollon ja sosiaalihuollon työvoimatarpeisiin ulkomailta</w:t>
          </w:r>
          <w:r w:rsidR="00952760">
            <w:t xml:space="preserve"> ja h</w:t>
          </w:r>
          <w:r w:rsidR="005C3BCC">
            <w:t>enkilöstö</w:t>
          </w:r>
          <w:r w:rsidR="00952760">
            <w:t xml:space="preserve">mitoituksen toteuttamisen eriyttämistä alueittain. Nämä vaihtoehdot eivät </w:t>
          </w:r>
          <w:r w:rsidR="00F522B1">
            <w:t xml:space="preserve">nykyisessäkään </w:t>
          </w:r>
          <w:r w:rsidR="00952760">
            <w:t xml:space="preserve">tilanteessa olisi ratkaisseet esillä olevaa ongelmaa. </w:t>
          </w:r>
        </w:p>
        <w:p w14:paraId="2F429617" w14:textId="77777777" w:rsidR="001E4AE2" w:rsidRDefault="001E4AE2" w:rsidP="00AE1223">
          <w:pPr>
            <w:pStyle w:val="LLPerustelujenkappalejako"/>
          </w:pPr>
          <w:r>
            <w:t>Yhtenä vaihtoehtona olisi voinut olla se, että 0,7 mitoituksen voimaantuloa ei enää siirrettäisi</w:t>
          </w:r>
          <w:r w:rsidR="00F522B1">
            <w:t xml:space="preserve"> voimassa olevasta 1.12.1023 voimaantuloajasta</w:t>
          </w:r>
          <w:r>
            <w:t xml:space="preserve">. Henkilöstömitoitus on siitä säätämisen jälkeen noussut koko ajan ja </w:t>
          </w:r>
          <w:r w:rsidR="00C7620D">
            <w:t xml:space="preserve">ennakkotietojen mukaan </w:t>
          </w:r>
          <w:r>
            <w:t xml:space="preserve">toukokuussa 2023 jo noin 40 prosenttia toimintayksiköistä täytti 0,7 mitoituksen. Todennäköisesti kuitenkaan kaikki yksiköt eivät joulukuun alkuun mennessä saavuttaisi 0,7 mitoitusta ja toisaalta myös mitoituksen siirtämisellä tavoiteltu taloudellinen säästövaikutus jäisi </w:t>
          </w:r>
          <w:r w:rsidR="00F522B1">
            <w:t xml:space="preserve">tässä vaihtoehdossa </w:t>
          </w:r>
          <w:r>
            <w:t xml:space="preserve">saamatta. </w:t>
          </w:r>
        </w:p>
        <w:p w14:paraId="2884C9BF" w14:textId="77777777" w:rsidR="001E4AE2" w:rsidRDefault="00F522B1" w:rsidP="00AE1223">
          <w:pPr>
            <w:pStyle w:val="LLPerustelujenkappalejako"/>
          </w:pPr>
          <w:r>
            <w:t>Henkilöstöm</w:t>
          </w:r>
          <w:r w:rsidR="001E4AE2">
            <w:t xml:space="preserve">itoitusta olisi mahdollista myös lykätä lyhyemmän ajan kuin nyt ehdotettu siirtymäaika vuoden 2027 loppuun. Edellisen lykkäystä koskevan hallituksen esityksen lausuntokierroksella suurin osa lausujista ilmaisi näkemyksenään, että tuolloin säädetty </w:t>
          </w:r>
          <w:r>
            <w:t xml:space="preserve">kahdeksan </w:t>
          </w:r>
          <w:r w:rsidR="001E4AE2">
            <w:t>kuukauden siirtymäaika oli liian lyhyt henkilöstön saatavuutta turvaavien toimien toteuttamiselle. Sen vuoksi nyt on päädytt</w:t>
          </w:r>
          <w:r w:rsidR="00241E6D">
            <w:t>y</w:t>
          </w:r>
          <w:r w:rsidR="001E4AE2">
            <w:t xml:space="preserve"> esittämään huomattavasti pidempää aikaa. </w:t>
          </w:r>
          <w:r w:rsidR="00241E6D">
            <w:t xml:space="preserve"> </w:t>
          </w:r>
        </w:p>
        <w:p w14:paraId="093C729E" w14:textId="77777777" w:rsidR="00952760" w:rsidRDefault="00952760" w:rsidP="00AE1223">
          <w:pPr>
            <w:pStyle w:val="LLPerustelujenkappalejako"/>
          </w:pPr>
          <w:r>
            <w:t xml:space="preserve">Kun valmistelussa arvioitiin käytettävissä olevia keinoja, </w:t>
          </w:r>
          <w:r w:rsidR="00241E6D">
            <w:t>henkilöstön saatavuutta eniten turvaavaksi</w:t>
          </w:r>
          <w:r>
            <w:t xml:space="preserve"> </w:t>
          </w:r>
          <w:r w:rsidR="00F522B1">
            <w:t xml:space="preserve">ja muita hallitusohjelman tavoitteita toteuttavaksi </w:t>
          </w:r>
          <w:r>
            <w:t xml:space="preserve">ratkaisuksi </w:t>
          </w:r>
          <w:r w:rsidR="00F522B1">
            <w:t xml:space="preserve">valikoitui </w:t>
          </w:r>
          <w:r w:rsidR="00241E6D">
            <w:t>hallitusohjelman mukainen vaihtoehto</w:t>
          </w:r>
          <w:r>
            <w:t xml:space="preserve">, jossa vähintään 0,7 työntekijän henkilöstömitoituksen </w:t>
          </w:r>
          <w:r w:rsidR="001E4AE2">
            <w:t>voimaantulo</w:t>
          </w:r>
          <w:r w:rsidR="00241E6D">
            <w:t>a siirrettäisiin</w:t>
          </w:r>
          <w:r w:rsidDel="001E4AE2">
            <w:t xml:space="preserve"> </w:t>
          </w:r>
          <w:r w:rsidR="00EB6E23">
            <w:t xml:space="preserve">edelleen </w:t>
          </w:r>
          <w:r w:rsidR="0085031E">
            <w:t xml:space="preserve">vuoden </w:t>
          </w:r>
          <w:r w:rsidR="00EB6E23">
            <w:t>2027 lop</w:t>
          </w:r>
          <w:r w:rsidR="0085031E">
            <w:t>puun.</w:t>
          </w:r>
          <w:r w:rsidR="00EB6E23">
            <w:t xml:space="preserve"> </w:t>
          </w:r>
          <w:r>
            <w:t xml:space="preserve"> </w:t>
          </w:r>
        </w:p>
        <w:p w14:paraId="6F05BCC9" w14:textId="77777777" w:rsidR="00A939B2" w:rsidRDefault="007E0CB1" w:rsidP="007E0CB1">
          <w:pPr>
            <w:pStyle w:val="LLP1Otsikkotaso"/>
          </w:pPr>
          <w:bookmarkStart w:id="38" w:name="_Toc118796212"/>
          <w:bookmarkStart w:id="39" w:name="_Toc118814266"/>
          <w:bookmarkStart w:id="40" w:name="_Toc119005726"/>
          <w:r>
            <w:t>Lausuntopalaute</w:t>
          </w:r>
          <w:bookmarkEnd w:id="38"/>
          <w:bookmarkEnd w:id="39"/>
          <w:bookmarkEnd w:id="40"/>
          <w:r w:rsidR="00880190">
            <w:t xml:space="preserve"> </w:t>
          </w:r>
        </w:p>
        <w:p w14:paraId="4A285D5C" w14:textId="77777777" w:rsidR="007E0CB1" w:rsidRDefault="004432C9" w:rsidP="007E0CB1">
          <w:pPr>
            <w:pStyle w:val="LLPerustelujenkappalejako"/>
            <w:rPr>
              <w:i/>
            </w:rPr>
          </w:pPr>
          <w:r>
            <w:rPr>
              <w:i/>
            </w:rPr>
            <w:t>Lausuntokierroksen palaute</w:t>
          </w:r>
        </w:p>
        <w:p w14:paraId="09927375" w14:textId="77777777" w:rsidR="00287FB6" w:rsidRDefault="00287FB6" w:rsidP="007E0CB1">
          <w:pPr>
            <w:pStyle w:val="LLPerustelujenkappalejako"/>
            <w:rPr>
              <w:i/>
            </w:rPr>
          </w:pPr>
          <w:r>
            <w:rPr>
              <w:i/>
            </w:rPr>
            <w:t>Jatkovalmistelu</w:t>
          </w:r>
        </w:p>
        <w:p w14:paraId="52640B98" w14:textId="77777777" w:rsidR="007E0CB1" w:rsidRDefault="007E0CB1" w:rsidP="007E0CB1">
          <w:pPr>
            <w:pStyle w:val="LLP1Otsikkotaso"/>
          </w:pPr>
          <w:bookmarkStart w:id="41" w:name="_Toc118796213"/>
          <w:bookmarkStart w:id="42" w:name="_Toc118814267"/>
          <w:bookmarkStart w:id="43" w:name="_Toc119005727"/>
          <w:r>
            <w:t>Voimaantulo</w:t>
          </w:r>
          <w:bookmarkEnd w:id="41"/>
          <w:bookmarkEnd w:id="42"/>
          <w:bookmarkEnd w:id="43"/>
        </w:p>
        <w:p w14:paraId="631DB9FB" w14:textId="77777777" w:rsidR="00952760" w:rsidRDefault="00952760" w:rsidP="00952760">
          <w:pPr>
            <w:pStyle w:val="LLPerustelujenkappalejako"/>
          </w:pPr>
          <w:r>
            <w:t>Ehdotetun lain on tarkoitus tulla voimaan</w:t>
          </w:r>
          <w:r w:rsidR="0085031E">
            <w:t xml:space="preserve"> </w:t>
          </w:r>
          <w:r w:rsidR="004341CA">
            <w:t xml:space="preserve">ennen </w:t>
          </w:r>
          <w:r w:rsidR="00FC13CE">
            <w:t>1.</w:t>
          </w:r>
          <w:r w:rsidR="00EB6E23">
            <w:t>12</w:t>
          </w:r>
          <w:r w:rsidR="00FC13CE">
            <w:t>.2023.</w:t>
          </w:r>
        </w:p>
        <w:p w14:paraId="0674C461" w14:textId="77777777" w:rsidR="007E0CB1" w:rsidRDefault="003D729C" w:rsidP="007E0CB1">
          <w:pPr>
            <w:pStyle w:val="LLP1Otsikkotaso"/>
          </w:pPr>
          <w:bookmarkStart w:id="44" w:name="_Toc118796214"/>
          <w:bookmarkStart w:id="45" w:name="_Toc118814268"/>
          <w:bookmarkStart w:id="46" w:name="_Toc119005728"/>
          <w:r>
            <w:lastRenderedPageBreak/>
            <w:t>Toimeenpano ja seurant</w:t>
          </w:r>
          <w:r w:rsidR="00952760">
            <w:t>a</w:t>
          </w:r>
          <w:bookmarkEnd w:id="44"/>
          <w:bookmarkEnd w:id="45"/>
          <w:bookmarkEnd w:id="46"/>
        </w:p>
        <w:p w14:paraId="489E69D2" w14:textId="77777777" w:rsidR="00FC13CE" w:rsidRDefault="00FC13CE" w:rsidP="00FC13CE">
          <w:pPr>
            <w:pStyle w:val="LLPerustelujenkappalejako"/>
          </w:pPr>
          <w:r>
            <w:t xml:space="preserve">Vanhuspalvelulaissa säädetyn henkilöstömitoituksen toimeenpano kuuluu vuoden 2023 alusta </w:t>
          </w:r>
          <w:r w:rsidRPr="00FC13CE">
            <w:t>hyvinvointialueille sekä yksityisten sosiaalipalvelujen tuottajille.</w:t>
          </w:r>
          <w:r>
            <w:t xml:space="preserve"> </w:t>
          </w:r>
        </w:p>
        <w:p w14:paraId="004E7A0E" w14:textId="77777777" w:rsidR="00663774" w:rsidRDefault="00663774" w:rsidP="00663774">
          <w:pPr>
            <w:pStyle w:val="LLPerustelujenkappalejako"/>
          </w:pPr>
          <w:r>
            <w:t>Vanhuspalvelulakiin on lisätty 1.1.2023 voimaan tul</w:t>
          </w:r>
          <w:r w:rsidR="003A1F36">
            <w:t>lut</w:t>
          </w:r>
          <w:r>
            <w:t xml:space="preserve"> säännös </w:t>
          </w:r>
          <w:r w:rsidR="00FC13CE">
            <w:t>palvelujen laadun seuran</w:t>
          </w:r>
          <w:r>
            <w:t>nasta</w:t>
          </w:r>
          <w:r w:rsidR="00880190">
            <w:t xml:space="preserve"> </w:t>
          </w:r>
          <w:r w:rsidR="00880190" w:rsidRPr="00880190">
            <w:t>(876/2022)</w:t>
          </w:r>
          <w:r>
            <w:t>. Lain</w:t>
          </w:r>
          <w:r w:rsidR="000805C8">
            <w:t xml:space="preserve"> 24 a §:n 1 momentissa </w:t>
          </w:r>
          <w:r>
            <w:t xml:space="preserve">todetaan </w:t>
          </w:r>
          <w:r w:rsidR="000805C8">
            <w:t xml:space="preserve">Terveyden ja hyvinvoinnin laitoksen velvollisuus seurata iäkkäille henkilöille tuotettujen sosiaali- ja terveyspalvelujen laatua, oikeus saada seurantaa varten välttämättömät tiedot palvelujen järjestäjiltä ja tuottajilta sekä tietojen luovuttamisvelvollisuutta ja keräämistä koskeva velvollisuus. </w:t>
          </w:r>
          <w:r>
            <w:t xml:space="preserve">THL seuraa palvelujen laatua ja muun muassa henkilöstömitoituksen riittävyyttä kaksi kertaa vuodessa ja jatkossa tiheämminkin. </w:t>
          </w:r>
          <w:r w:rsidR="004F45E3">
            <w:t xml:space="preserve"> </w:t>
          </w:r>
          <w:r>
            <w:t>Seurannan avulla kertyy säännöllisesti koko maan kattavaa tietoa iäkkäiden palvelujen tilanteesta. Lisäksi THL toteuttaa asiakaskyselyjä joka toinen vuosi. Seurantatietoa voidaan hyödyntää esimerkiksi palvelujen hankinnassa ja valvonnassa.</w:t>
          </w:r>
        </w:p>
        <w:p w14:paraId="5DAD199D" w14:textId="77777777" w:rsidR="00663774" w:rsidRPr="00FC13CE" w:rsidRDefault="00663774" w:rsidP="00663774">
          <w:pPr>
            <w:pStyle w:val="LLPerustelujenkappalejako"/>
          </w:pPr>
          <w:r>
            <w:t>Säännöllisen ja yhtenäisen seurantatiedon saaminen helpottaa myös valvontaviranomaisten tekemää valvontaa sekä hyvinvointialueiden ja palveluntuottajien omavalvontaa. Lisäksi se mahdollistaa tiedon saannin palvelujen laadusta myös iäkkäille henkilöille ja heidän läheisilleen.</w:t>
          </w:r>
        </w:p>
        <w:p w14:paraId="54BC9485" w14:textId="77777777" w:rsidR="003D729C" w:rsidRDefault="00663774" w:rsidP="003D729C">
          <w:pPr>
            <w:pStyle w:val="LLPerustelujenkappalejako"/>
          </w:pPr>
          <w:r>
            <w:t xml:space="preserve">Valtioneuvosto ja THL </w:t>
          </w:r>
          <w:r w:rsidR="004F45E3">
            <w:t>seuraavat henkilöstömitoitukseen tarkoitetun rahoituksen käyttöä</w:t>
          </w:r>
          <w:r w:rsidR="00B1323F">
            <w:t xml:space="preserve"> ja henkilöstömitoituksen toteutumista</w:t>
          </w:r>
          <w:r w:rsidR="004F45E3">
            <w:t xml:space="preserve"> </w:t>
          </w:r>
          <w:r w:rsidR="00CA45E3">
            <w:t>siirtymäaikana vuosina 2023-2027</w:t>
          </w:r>
          <w:r w:rsidRPr="00663774">
            <w:t xml:space="preserve">. </w:t>
          </w:r>
        </w:p>
        <w:p w14:paraId="619A9D89" w14:textId="77777777" w:rsidR="003D729C" w:rsidRDefault="003D729C" w:rsidP="00952760">
          <w:pPr>
            <w:pStyle w:val="LLP1Otsikkotaso"/>
          </w:pPr>
          <w:bookmarkStart w:id="47" w:name="_Toc118796215"/>
          <w:bookmarkStart w:id="48" w:name="_Toc118814269"/>
          <w:bookmarkStart w:id="49" w:name="_Toc119005729"/>
          <w:r>
            <w:t xml:space="preserve">Suhde </w:t>
          </w:r>
          <w:r w:rsidR="00952760">
            <w:t>talousarvioesitykseen</w:t>
          </w:r>
          <w:bookmarkEnd w:id="47"/>
          <w:bookmarkEnd w:id="48"/>
          <w:bookmarkEnd w:id="49"/>
          <w:r w:rsidR="00952760">
            <w:t xml:space="preserve"> </w:t>
          </w:r>
        </w:p>
        <w:p w14:paraId="43C3A91E" w14:textId="2549A7EF" w:rsidR="00353F01" w:rsidRPr="00353F01" w:rsidRDefault="00086A71" w:rsidP="00286053">
          <w:pPr>
            <w:pStyle w:val="LLPerustelujenkappalejako"/>
          </w:pPr>
          <w:r w:rsidRPr="00086A71">
            <w:t>Voimassa olevan siirtymäsäännöksen mukaisesta henkilöstömitoi</w:t>
          </w:r>
          <w:r>
            <w:t>tuksesta johtuva hyvinvointialu</w:t>
          </w:r>
          <w:r w:rsidRPr="00086A71">
            <w:t>eiden rahoitustason korotus on vuoden 2023 talousarvioesityks</w:t>
          </w:r>
          <w:r>
            <w:t>essä 128,2 miljoonaa euroa. Sum</w:t>
          </w:r>
          <w:r w:rsidRPr="00086A71">
            <w:t>massa on huomioitu hyvinvointialueille osoitettu rahoitus vuod</w:t>
          </w:r>
          <w:r>
            <w:t>en 2023 talousarvioesityksen mu</w:t>
          </w:r>
          <w:r w:rsidRPr="00086A71">
            <w:t>kaisesti laskennalliseen 0,7 mitoitukseen perustuen jo 1.4.2023 lukien mitoituksen nostamiseen varautumiseksi. Esityksen mukaan täysimääräisen vähintään 0,7 h</w:t>
          </w:r>
          <w:r>
            <w:t>enkilöstömitoituksen siirtymäai</w:t>
          </w:r>
          <w:r w:rsidRPr="00086A71">
            <w:t>kaa jatkettaisiin vuoden 2027 loppuun. Mitoitus olisi siihen saakk</w:t>
          </w:r>
          <w:r>
            <w:t>a voimassa olevan lain mukaises</w:t>
          </w:r>
          <w:r w:rsidRPr="00086A71">
            <w:t>ti vähintään 0,65 työntekijää asiakasta kohti. Hyvinvointialueiden rahoitusta vähennettäisiin tätä vastaavasti vuosina 2024-2027. Lakisääteisen tehtävämuutoksen johdosta teht</w:t>
          </w:r>
          <w:r>
            <w:t>ävä rahoituksen vä</w:t>
          </w:r>
          <w:r w:rsidRPr="00086A71">
            <w:t xml:space="preserve">hennys olisi 89 miljoonaa euroa vuodessa. </w:t>
          </w:r>
          <w:r w:rsidR="00353F01" w:rsidRPr="00353F01">
            <w:t>Koska 0,7 henkilöstömitoituksen toimeenpanoon (lakisääteinen velvoitteen muutos 0,65-&gt;0,7) 1.-31.12.2023 on varattu 7,12 milj</w:t>
          </w:r>
          <w:r w:rsidR="00353F01">
            <w:t>.€:a momentille 28.89.31, tulee</w:t>
          </w:r>
          <w:r w:rsidR="00353F01" w:rsidRPr="00353F01">
            <w:t xml:space="preserve"> hyvinvointialueiden rahoituksesta annetun lain 9 §:ään perustuen kys</w:t>
          </w:r>
          <w:r w:rsidR="00353F01">
            <w:t xml:space="preserve">einen rahoitusosuus vähentää </w:t>
          </w:r>
          <w:r w:rsidR="00353F01" w:rsidRPr="00353F01">
            <w:t xml:space="preserve"> momentilta lisätalousarviossa.</w:t>
          </w:r>
        </w:p>
        <w:p w14:paraId="039A8E34" w14:textId="77777777" w:rsidR="00086A71" w:rsidRDefault="00086A71" w:rsidP="00663774">
          <w:pPr>
            <w:pStyle w:val="LLPerustelujenkappalejako"/>
          </w:pPr>
        </w:p>
        <w:p w14:paraId="5B4E16EA" w14:textId="07BC67B7" w:rsidR="000C13C6" w:rsidRPr="000C13C6" w:rsidRDefault="006461AD" w:rsidP="0007388F">
          <w:pPr>
            <w:pStyle w:val="LLP1Otsikkotaso"/>
          </w:pPr>
          <w:bookmarkStart w:id="50" w:name="_Toc118796216"/>
          <w:bookmarkStart w:id="51" w:name="_Toc118814270"/>
          <w:bookmarkStart w:id="52" w:name="_Toc119005730"/>
          <w:r>
            <w:t>Suhde perustuslakiin ja säätämisjärjestys</w:t>
          </w:r>
          <w:bookmarkEnd w:id="50"/>
          <w:bookmarkEnd w:id="51"/>
          <w:bookmarkEnd w:id="52"/>
        </w:p>
        <w:p w14:paraId="5DD1E76C" w14:textId="2BD11FBB" w:rsidR="00F42577" w:rsidRDefault="00953413" w:rsidP="00F42577">
          <w:pPr>
            <w:pStyle w:val="LLPerustelujenkappalejako"/>
          </w:pPr>
          <w:r>
            <w:t>Vanhuspalveluita koskevalla s</w:t>
          </w:r>
          <w:r w:rsidR="00F42577">
            <w:t>ääntelyllä on kiinteä yhteys perustuslain 19 §:ään, jossa säädetään oikeudesta välttämättömään toimeentuloon ja huolenpitoon sekä julkisen vallan velvollisuudesta turvata jokaiselle riittävät sosiaali- ja terveyspalvelut sen mukaan kuin lailla tarkemmin säädetään. Perusoikeuksia koskevien esitöiden mukaisesti perustuslain 19 § turvaa jokaiselle Suomen lainkäyttöpiirissä olevalle henkilölle subjektiivisen oikeuden sellaiseen tulotasoon ja sellaisiin palveluihin, joilla turvataan ihmisarvoisen elämän edellytysten vähimmäistaso</w:t>
          </w:r>
          <w:r w:rsidR="0022200D">
            <w:t xml:space="preserve"> </w:t>
          </w:r>
          <w:r w:rsidR="00F42577">
            <w:t xml:space="preserve">(HE 309/1993 vp).  </w:t>
          </w:r>
        </w:p>
        <w:p w14:paraId="58A800F6" w14:textId="77777777" w:rsidR="00F42577" w:rsidRDefault="00F42577" w:rsidP="00F42577">
          <w:pPr>
            <w:pStyle w:val="LLPerustelujenkappalejako"/>
          </w:pPr>
          <w:r>
            <w:t>Iäkkäillä henkilöillä on ollut ja on jatkossakin myös muun muassa sosiaalihuollon asiakkaan asemasta ja oikeuksista annetun lain (812/2000), sosiaalihuoltolain ja vanhuspalvelulain säännösten perusteella oikeus hyvään ja laadukkaaseen hoitoon ja huolenpitoon sekä laissa säädet</w:t>
          </w:r>
          <w:r>
            <w:lastRenderedPageBreak/>
            <w:t xml:space="preserve">tyyn palvelutarpeen selvittämiseen ja arviointiin. Iäkkäiden sosiaali- ja terveyspalvelut järjestetään pääosin sosiaalihuoltolain ja terveydenhuoltolain nojalla. Esityksellä ei muuteta näitä säännöksiä eikä sillä puututa tältä osin iäkkäiden henkilöiden oikeuksiin. </w:t>
          </w:r>
        </w:p>
        <w:p w14:paraId="4039B855" w14:textId="77777777" w:rsidR="00F42577" w:rsidRDefault="00F42577" w:rsidP="00F42577">
          <w:pPr>
            <w:pStyle w:val="LLPerustelujenkappalejako"/>
          </w:pPr>
          <w:r>
            <w:t>Lakisääteisestä henkilöstömitoituksesta säätäminen on yksi keino, jonka tarkoitus on ollut turvata iäkkäiden henkilöiden oikeutta välttämättömään huolenpitoon ja riittäviin sekä laadultaan hyviin sosiaali- ja terveyspalveluihin ympärivuorokautisen hoidon ja huolenpidon palveluissa. Lakisääteisellä he</w:t>
          </w:r>
          <w:r w:rsidR="00B84E87">
            <w:t>n</w:t>
          </w:r>
          <w:r>
            <w:t xml:space="preserve">kilöstömitoituksella toteutetaan myös perustuslain 7 §:n 1 momentissa turvattua oikeutta elämään sekä henkilökohtaiseen vapauteen, koskemattomuuteen ja turvallisuuteen. </w:t>
          </w:r>
        </w:p>
        <w:p w14:paraId="01615BFD" w14:textId="77777777" w:rsidR="00F42577" w:rsidRDefault="0022200D" w:rsidP="00F42577">
          <w:pPr>
            <w:pStyle w:val="LLPerustelujenkappalejako"/>
          </w:pPr>
          <w:r>
            <w:t>S</w:t>
          </w:r>
          <w:r w:rsidR="00F42577">
            <w:t>ääntely toteuttaa myös perustuslain 22 §:ssä julkiselle vallalle säädettyä velvoitetta turvata perus- ja ihmisoikeuksien toteutuminen</w:t>
          </w:r>
          <w:r w:rsidR="0072320D">
            <w:t xml:space="preserve"> edellä mainittujen oikeuksien turvaamiseksi</w:t>
          </w:r>
          <w:r w:rsidR="004C5B18">
            <w:t>.</w:t>
          </w:r>
          <w:r w:rsidR="00F42577">
            <w:t xml:space="preserve"> Julkinen valta eli valtio on osoittanut ja osoittaa edelleen iäkkäiden henkilöiden perus- ja ihmisoikeuksien turvaamiseen merkittävän taloudellisen panostuksen kunnille ja nykyisellään hyvinvointialueille. Perus- ja ihmisoikeuksien näkökulmasta henkilöstömitoituksella turvataan myös perustuslain 6 §:ssä säädettyä yhdenvertaisuutta sekä 10 §:n säännöstä yksityiselämän suojasta siten kuin henkilöstömitoituksen säätämiseen johtaneessa hallituksen esityksessä (HE 4/2020 vp) on vastaavassa luvussa tarkemmin kuvattu.  </w:t>
          </w:r>
        </w:p>
        <w:p w14:paraId="0F12BADA" w14:textId="77777777" w:rsidR="00F42577" w:rsidRDefault="00F42577" w:rsidP="00F42577">
          <w:pPr>
            <w:pStyle w:val="LLPerustelujenkappalejako"/>
          </w:pPr>
          <w:r>
            <w:t>Henkilöstömitoituksesta säädettäessä keskeisiksi ihmisoikeussopimuksiksi arvio</w:t>
          </w:r>
          <w:r w:rsidR="0022200D">
            <w:t>i</w:t>
          </w:r>
          <w:r>
            <w:t xml:space="preserve">tiin uudistettu Euroopan sosiaalinen peruskirja sekä Euroopan unionin perussopimukset mukaan lukien perusoikeuskirja. Uudistetun Euroopan sosiaalisen peruskirjan 23 artikla velvoittaa turvaamaan ikääntyneille henkilöille heidän tarvitsemansa sosiaaliturvan, hoidon, huolenpidon ja mahdollisuuden osallistua yhteiskunnan eri toimintoihin sen täysivaltaisina jäseninä. Lisäksi artikla velvoittaa sopimuspuolia takaamaan laitoksissa asuville mahdollisuuden vaikuttaa saamaansa hoitoon. Euroopan unionin perusoikeuskirjan 25 artiklassa unioni tunnustaa ikääntyneiden henkilöiden oikeuden ihmisarvoiseen ja itsenäiseen elämään sekä oikeuden osallistua yhteiskunnalliseen elämään. Myös YK:n kansalaisoikeuksia ja poliittisia oikeuksia koskeva kansainvälinen yleissopimus ja taloudellisia, sosiaalisia ja sivistyksellisiä oikeuksia koskeva kansainvälinen yleissopimus sisältävät sääntelyn kannalta merkittäviä oikeuksia. Nämä kansainväliset sopimukset liittyvät edelleen myös tähän esitykseen. </w:t>
          </w:r>
        </w:p>
        <w:p w14:paraId="5C96EAAD" w14:textId="77777777" w:rsidR="00F42577" w:rsidRDefault="00F42577" w:rsidP="00F42577">
          <w:pPr>
            <w:pStyle w:val="LLPerustelujenkappalejako"/>
          </w:pPr>
          <w:r>
            <w:t>Käytännön oikeuksien toteuttamisen tasolla lakisääteisen ja vaiheittain lisääntyvän henkilöstön vähimmäismitoituksen tavoitteena on ollut parantaa asiakas- ja potilasturvallisuutta varmistamalla riittävä hoidosta ja huolenpidosta vastaava henkilöstö. Kun yhden iäkkäiden oikeuksia parantavan toimenpiteen vaikutukset eivät toteutuisi alkuperäisen tai jonkin verran myöhennetynkään aikataulun mukaisesti, valmistelussa on kiinnitetty huomiota siihen, miten siirtymäajan jatkamista ja toisaalta iäkkäiden palvelujen henkilöstömito</w:t>
          </w:r>
          <w:r w:rsidR="00B84E87">
            <w:t>i</w:t>
          </w:r>
          <w:r>
            <w:t xml:space="preserve">tukseen liittyvien yksilön oikeuksien toteutumista tulisi arvioida perustuslaissa turvattujen oikeuksien heikentämiskiellon sekä valtiontalouden resurssipäätösten valossa. </w:t>
          </w:r>
        </w:p>
        <w:p w14:paraId="24B5DE01" w14:textId="208CFCD0" w:rsidR="00F42577" w:rsidRDefault="00D34A38" w:rsidP="00F42577">
          <w:pPr>
            <w:pStyle w:val="LLPerustelujenkappalejako"/>
          </w:pPr>
          <w:r>
            <w:t>P</w:t>
          </w:r>
          <w:r w:rsidR="00F42577">
            <w:t xml:space="preserve">erustuslain 22 §:n mukaisen julkisen vallan perus- </w:t>
          </w:r>
          <w:r w:rsidR="00114EA2">
            <w:t xml:space="preserve">ja </w:t>
          </w:r>
          <w:r w:rsidR="00F42577">
            <w:t xml:space="preserve">ihmisoikeuksien turvaamisvelvoitteen kääntöpuolena on kielto heikentää perusoikeuksia. Perusoikeuden heikennyskielto kieltää perusoikeuden toteuttamisessa jo saavutetun tason </w:t>
          </w:r>
          <w:r w:rsidR="004F0CF4">
            <w:t xml:space="preserve">merkittävän </w:t>
          </w:r>
          <w:r w:rsidR="00F42577">
            <w:t>heikentämisen. Perustuslakivaliokunnan kannanottoja heikennyskiellosta on olemassa muun muassa sivistyksellisten oikeuksien sekä sosiaaliturvaan, kuten lapsilisäjärjestelmään</w:t>
          </w:r>
          <w:r w:rsidR="00114EA2">
            <w:t>,</w:t>
          </w:r>
          <w:r w:rsidR="00F42577">
            <w:t xml:space="preserve"> liittyen.  Lausunnossaan PeVL 14/2007 vp perustuslakivaliokunta korosti perustuslain sivistyksellisten oikeuksien toteutumisen näkökulmasta lakiehdotusten sisältämien perus- ja jatkokoulutuksen heikentämiskieltojen merkitystä. Lausunnossaan PeVL 25/2012 vp valiokunta totesi, että lapsilisäjärjestelmän olennainen tai merkittävä heikentäminen ilman muita kompensoivia toimenpiteitä olisi valiokunnan mielestä perustuslain 19 §:n 3 momentin kannalta ongelmallista. </w:t>
          </w:r>
        </w:p>
        <w:p w14:paraId="7012A4C7" w14:textId="77777777" w:rsidR="00F42577" w:rsidRDefault="00F42577" w:rsidP="00F42577">
          <w:pPr>
            <w:pStyle w:val="LLPerustelujenkappalejako"/>
          </w:pPr>
          <w:r>
            <w:lastRenderedPageBreak/>
            <w:t>Perustuslakivaliokunnan kannanotoissa on myös viitattu julkisen talouden rahoitusvaikeuksiin perusteena ainakin tiettyyn rajaan asti poiketa heikennyskiellosta</w:t>
          </w:r>
          <w:r w:rsidR="00114EA2">
            <w:t>.</w:t>
          </w:r>
          <w:r>
            <w:t xml:space="preserve"> Perustuslakivaliokunnan mukaan valtiontalouden säästötavoitetta voidaan pitää taloudellisen laskusuhdanteen aikana hyväksyttävänä perusteena puuttua jossain määrin esimerkiksi lapsilisien tasoon (PeVL 25/2012 vp, s. 3). Sääntely ei kuitenkaan saa kokonaisuutena arvioiden vaarantaa perustuslaissa asetettuja velvoitteita. </w:t>
          </w:r>
        </w:p>
        <w:p w14:paraId="16484D06" w14:textId="2759C749" w:rsidR="00F42577" w:rsidRDefault="00F42577" w:rsidP="00F42577">
          <w:pPr>
            <w:pStyle w:val="LLPerustelujenkappalejako"/>
          </w:pPr>
          <w:r>
            <w:t xml:space="preserve">Nyt käsiteltävänä olevan esityksen kannalta on keskeistä arvioida, onko </w:t>
          </w:r>
          <w:r w:rsidR="00F12ACF">
            <w:t xml:space="preserve">kyseessä olevan </w:t>
          </w:r>
          <w:r>
            <w:t xml:space="preserve">sosiaalipalvelun toteutumisen laadulliseen tasoon </w:t>
          </w:r>
          <w:r w:rsidR="00936821">
            <w:t xml:space="preserve">positiivisesti </w:t>
          </w:r>
          <w:r>
            <w:t>vaikuttava</w:t>
          </w:r>
          <w:r w:rsidR="004F0CF4">
            <w:t>n</w:t>
          </w:r>
          <w:r>
            <w:t xml:space="preserve"> </w:t>
          </w:r>
          <w:r w:rsidR="00936821">
            <w:t xml:space="preserve">säännöksen </w:t>
          </w:r>
          <w:r>
            <w:t>siirtymäa</w:t>
          </w:r>
          <w:r w:rsidR="004F0CF4">
            <w:t xml:space="preserve">jan pidentäminen </w:t>
          </w:r>
          <w:r>
            <w:t>olennainen tai merkittävä</w:t>
          </w:r>
          <w:r w:rsidR="004F0CF4">
            <w:t xml:space="preserve"> heikennys</w:t>
          </w:r>
          <w:r>
            <w:t xml:space="preserve">, vai voidaanko sitä pitää vähäisenä. </w:t>
          </w:r>
          <w:r w:rsidR="004F0CF4">
            <w:t>T</w:t>
          </w:r>
          <w:r w:rsidR="00936821">
            <w:t>ähän arviointiin vaikuttaa se</w:t>
          </w:r>
          <w:r>
            <w:t>, että esityksessä ei kuitenkaan ole kyse laissa säädetyn mitoituksen tason heikentämisestä</w:t>
          </w:r>
          <w:r w:rsidR="00F12ACF">
            <w:t xml:space="preserve"> tai kumoamisesta</w:t>
          </w:r>
          <w:r>
            <w:t>, vaan sen siirrosta toteutumaan esityksen mukaisesti myöhemmin, jolloin samalla voidaan varmistaa henkilöstön saatavuutta palveluissa</w:t>
          </w:r>
          <w:r w:rsidR="0072320D">
            <w:t xml:space="preserve">. </w:t>
          </w:r>
          <w:r>
            <w:t xml:space="preserve"> </w:t>
          </w:r>
        </w:p>
        <w:p w14:paraId="6EBF93DA" w14:textId="77777777" w:rsidR="00F42577" w:rsidRDefault="00F42577" w:rsidP="00F42577">
          <w:pPr>
            <w:pStyle w:val="LLPerustelujenkappalejako"/>
          </w:pPr>
          <w:r>
            <w:t xml:space="preserve">Perustuslakivaliokunta piti lausunnossaan PeVL 25/2012 vp huolestuttavana sitä, että sääntelyn vaikutukset kohdistuivat voimakkaimmin pienituloisiin perheisiin. Nyt käsiteltävänä olevassa esityksessä vaikutukset kohdistuisivat sinänsä haavoittuvassa oleviin eli iäkkäisiin henkilöihin, joiden välttämätöntä huolenpitoa sekä riittäviä sosiaali- ja terveyspalveluja turvaavan hoidon ja huolenpidon sekä muun ympärivuorokautiseen palveluasumiseen kuuluvan toiminnan laadullisen, henkilöstön määrän avulla tavoitellun, tason saavuttaminen lykkääntyisi ehdotuksen mukaisesti noin neljällä vuodella. </w:t>
          </w:r>
          <w:r w:rsidR="00F12ACF">
            <w:t>Kuitenkin mitoituksen siirrolla on arvioitu voivan olla myös positiivisia vaikutuksia</w:t>
          </w:r>
          <w:r w:rsidR="0072320D" w:rsidRPr="0072320D">
            <w:t xml:space="preserve"> muun muassa henkilöstön ja palvelurakenteen uudistamisen näkökulmasta</w:t>
          </w:r>
          <w:r w:rsidR="00F12ACF">
            <w:t>, joita on kuvattu luvussa 3.2.5.</w:t>
          </w:r>
        </w:p>
        <w:p w14:paraId="469806A2" w14:textId="77777777" w:rsidR="00F42577" w:rsidRDefault="00F42577" w:rsidP="00F42577">
          <w:pPr>
            <w:pStyle w:val="LLPerustelujenkappalejako"/>
          </w:pPr>
          <w:r>
            <w:t xml:space="preserve">Iäkkäiden henkilöiden ympärivuorokautisen palveluasumisen henkilöstömitoituksen voimaantuloon ehdotetun lykkäämisen vaikutusten arvioinnissa on otettava huomioon, että kyseessä on </w:t>
          </w:r>
          <w:r w:rsidR="00936821">
            <w:t xml:space="preserve">kaavamainen </w:t>
          </w:r>
          <w:r>
            <w:t>vähimmäismitoitus. As</w:t>
          </w:r>
          <w:r w:rsidR="00B84E87">
            <w:t>i</w:t>
          </w:r>
          <w:r>
            <w:t xml:space="preserve">akkaiden yksilöllinen hoidon ja huolenpidon tarve ja sen muuttuminen voivat </w:t>
          </w:r>
          <w:r w:rsidR="00936821">
            <w:t xml:space="preserve">muiden säännösten mukaan </w:t>
          </w:r>
          <w:r>
            <w:t xml:space="preserve">edellyttää myös korkeampaa mitoitusta. Vanhuspalvelulain 20 §:n 1 momentin mukaan iäkkäiden palvelujen toimintayksikössä on oltava henkilöstö, jonka määrä, koulutus ja tehtävärakenne vastaavat toimintayksikön palveluja saavien iäkkäiden henkilöiden määrää ja heidän toimintakykynsä edellyttämää palvelun tarvetta ja joka turvaa heille laadukkaat palvelut. </w:t>
          </w:r>
          <w:r w:rsidR="00261D05">
            <w:t xml:space="preserve">Ympärivuorokautisissa palveluissa </w:t>
          </w:r>
          <w:r>
            <w:t xml:space="preserve">on </w:t>
          </w:r>
          <w:r w:rsidR="00261D05">
            <w:t xml:space="preserve">säännöksen mukaan </w:t>
          </w:r>
          <w:r>
            <w:t xml:space="preserve">oltava riittävästi henkilöstöä kaikkina vuorokauden aikoina. </w:t>
          </w:r>
        </w:p>
        <w:p w14:paraId="5143592E" w14:textId="7F1A5F2C" w:rsidR="00F42577" w:rsidRDefault="004156C7" w:rsidP="00F42577">
          <w:pPr>
            <w:pStyle w:val="LLPerustelujenkappalejako"/>
          </w:pPr>
          <w:r w:rsidRPr="004156C7">
            <w:t>Perustuslain 19 §:n mukaiset oikeudet sekä asiakkaan oikeus asiakasturvallisuuteen sekä laadukka</w:t>
          </w:r>
          <w:r w:rsidR="0072320D">
            <w:t>i</w:t>
          </w:r>
          <w:r w:rsidRPr="004156C7">
            <w:t>s</w:t>
          </w:r>
          <w:r w:rsidR="0072320D">
            <w:t>ii</w:t>
          </w:r>
          <w:r w:rsidRPr="004156C7">
            <w:t xml:space="preserve">n </w:t>
          </w:r>
          <w:r w:rsidR="0072320D">
            <w:t xml:space="preserve">sosiaali- ja terveydenhuollon palveluihin </w:t>
          </w:r>
          <w:r w:rsidRPr="004156C7">
            <w:t xml:space="preserve">edellyttävät </w:t>
          </w:r>
          <w:r w:rsidR="00936821">
            <w:t xml:space="preserve">joka tapauksessa </w:t>
          </w:r>
          <w:r w:rsidRPr="004156C7">
            <w:t>yksilöllistä arviota asiakkaan palvelun tarpeesta</w:t>
          </w:r>
          <w:r>
            <w:t xml:space="preserve">. </w:t>
          </w:r>
          <w:r w:rsidR="00F42577">
            <w:t xml:space="preserve">Iäkkään henkilön palvelutarve on aina arvioitava sosiaalihuoltolain 36 §:n sekä vanhuspalvelulain 15 §:ssä mukaisesti ottaen huomioon etenkin lain 15 a §:ssä säädetyn RAI-arvioinnin kautta iäkkään henkilön toimintakyvystä sekä myös sen muuttumisesta saatu tieto. RAI-arviointijärjestelmän tunnuslukujen avulla voidaan arvioida myös palvelun laatua. </w:t>
          </w:r>
          <w:r w:rsidR="0072320D">
            <w:t>Iäkkäiden palveluissa</w:t>
          </w:r>
          <w:r w:rsidR="00221267">
            <w:t xml:space="preserve"> on näin ollen </w:t>
          </w:r>
          <w:r w:rsidR="00F42577">
            <w:t xml:space="preserve">asiakkaan tarve ja siinä tapahtuneet muutokset otettava asianmukaisesti huomioon laissa säädettyä </w:t>
          </w:r>
          <w:r w:rsidR="00245AB9">
            <w:t xml:space="preserve">mitoituksen vähimmäistasoa </w:t>
          </w:r>
          <w:r w:rsidR="00F42577">
            <w:t xml:space="preserve">korkeampanakin tasona. </w:t>
          </w:r>
        </w:p>
        <w:p w14:paraId="1FC11BDF" w14:textId="0AC3C3DD" w:rsidR="004156C7" w:rsidRDefault="004156C7" w:rsidP="00F42577">
          <w:pPr>
            <w:pStyle w:val="LLPerustelujenkappalejako"/>
          </w:pPr>
          <w:r w:rsidRPr="004156C7">
            <w:t xml:space="preserve">RAI-arviointivälineistöä ja sen avulla tehtävää iäkkään henkilön toimintakyvyn arviointia koskeva säännös </w:t>
          </w:r>
          <w:r w:rsidR="00261D05">
            <w:t>säädettiin</w:t>
          </w:r>
          <w:r w:rsidRPr="004156C7">
            <w:t xml:space="preserve"> perustuslakivaliokunnan myötävaikutuksella. Sen tarkoituksena on vahvistaa iäkkään henkilön perustuslain 19 §:n 1 ja 3 momentissa tarkoitettuja oikeuksia</w:t>
          </w:r>
          <w:r w:rsidR="00261D05">
            <w:t>,</w:t>
          </w:r>
          <w:r w:rsidRPr="004156C7">
            <w:t xml:space="preserve"> ja sen avulla saatu arviointitieto toimii yksilöllisen palvelu-, hoito- ja kuntoutussuunnitelman perustana, joten sillä voi olla vaikutusta myös yksilötasolla. Perustuslakivaliokunnan käsityksen mukaan palvelutarpeen selvittäminen ja arviointi voivat siten vaikuttaa myös iäkkään henkilön oikeuksien ja etujen toteutumiseen</w:t>
          </w:r>
          <w:r w:rsidR="00245AB9">
            <w:t xml:space="preserve"> (</w:t>
          </w:r>
          <w:r w:rsidRPr="004156C7">
            <w:t>PeVL 15/2020 vp, s. 3</w:t>
          </w:r>
          <w:r w:rsidR="00245AB9">
            <w:t>)</w:t>
          </w:r>
          <w:r w:rsidRPr="004156C7">
            <w:t>.</w:t>
          </w:r>
          <w:r w:rsidR="00221267">
            <w:t xml:space="preserve"> </w:t>
          </w:r>
          <w:r w:rsidR="00221267" w:rsidRPr="00221267">
            <w:t xml:space="preserve">RAI-arviointi mahdollistaa </w:t>
          </w:r>
          <w:r w:rsidR="00221267">
            <w:t>k</w:t>
          </w:r>
          <w:r w:rsidR="00221267" w:rsidRPr="00221267">
            <w:t>aikissa iäkkäiden palveluissa palvelujen kohdentamisen paremmin asiakkaiden tarpeiden mukaan. Ko</w:t>
          </w:r>
          <w:r w:rsidR="00221267" w:rsidRPr="00221267">
            <w:lastRenderedPageBreak/>
            <w:t>konaisuudessaan viime aikaisten iäkkäiden palvelujen uudistusten odotetaan johtavan paremmin asiakkaiden tarpeita vastaavaan palvelurakenteeseen, jonka myötä myös henkilöstömäärä saadaan paremmin optimoitua.</w:t>
          </w:r>
        </w:p>
        <w:p w14:paraId="4E56EB8A" w14:textId="77777777" w:rsidR="00F42577" w:rsidRDefault="00F42577" w:rsidP="00F42577">
          <w:pPr>
            <w:pStyle w:val="LLPerustelujenkappalejako"/>
          </w:pPr>
          <w:r>
            <w:t>Iäkkäiden ympärivuorokautisessa palveluasumisessa sovellettava henkilöstön vähimmäismitoitus on viime keväänä muutetun säännöksen mukaisesti 1.4.2023 lähtien ollut vähintään 0,65 työntekijää asiakasta kohti. Tämä</w:t>
          </w:r>
          <w:r w:rsidR="00221267">
            <w:t>n</w:t>
          </w:r>
          <w:r>
            <w:t xml:space="preserve"> mitoituksen voidaan arvioida turvaavan perustuslain 19 §:n edellyttämän välttämättömän huolenpidon ja riittävien sosiaali- ja terveyspalvelujen tason sekä t</w:t>
          </w:r>
          <w:r w:rsidR="00221267">
            <w:t xml:space="preserve">urvaavan </w:t>
          </w:r>
          <w:r>
            <w:t xml:space="preserve">myös </w:t>
          </w:r>
          <w:r w:rsidR="00221267">
            <w:t>muita edellä mainittuja perusoikeuksia. M</w:t>
          </w:r>
          <w:r>
            <w:t>ainittu mitoitus pidettäisiin voimassa nyt ehdotetun, vuoden 2027 loppuun kestävän siirtym</w:t>
          </w:r>
          <w:r w:rsidR="00B84E87">
            <w:t>ä</w:t>
          </w:r>
          <w:r>
            <w:t xml:space="preserve">ajan. </w:t>
          </w:r>
        </w:p>
        <w:p w14:paraId="7796E971" w14:textId="77777777" w:rsidR="00F42577" w:rsidRDefault="004156C7" w:rsidP="00F42577">
          <w:pPr>
            <w:pStyle w:val="LLPerustelujenkappalejako"/>
          </w:pPr>
          <w:r>
            <w:t>V</w:t>
          </w:r>
          <w:r w:rsidR="00F42577">
            <w:t>alvontaviranomaiset voivat ottaa asiakkaiden tarpeisiin nähden riittävän henkilöstömitoituksen huomioon yksityisten palveluntuottajien lupamenettelyssä. Sen ohella mitä vanhuspalvelulain 20 §:n 1 ja 2 momentissa on säädetty, myös yksityisistä sosiaalipalveluista annetun lain 4 §:n 2 momentin mukaan henkilöstön lukumäärän tulee olla riittävä palvelujen tarpeeseen ja asiakkaiden lukumäärään nähden. Lain 10 §:n 2 momentin mukaan lupaan voidaan liittää asiakasturvallisuuden varmistamiseksi välttämättömiä ehtoja palvelujen määrästä, henkilöstöstä, tiloista, laitteista ja tarvikkeista sekä toimintatavoista. Lupamenettely poistuu vuoden 2024 alusta voimaan tulevan sosiaali- ja terveydenhuollon valvontalain myötä ja samalla laki yksityisistä sosiaalipalveluista kumoutuu. Jatkossakin valvontaviranomaiset voivat tarvittaessa asettaa ympärivuorokautisten palvelujen rekisteröinnille ehtoja, jotka voivat koskea muun muassa henkilöstön riittävää määrää. Näin ollen myös mitoituksen täysimääräisen voimaantulon siirtymäaikana voidaan valvonnassa ja m</w:t>
          </w:r>
          <w:r w:rsidR="00221267">
            <w:t xml:space="preserve">uussa ohjauksessa </w:t>
          </w:r>
          <w:r w:rsidR="00F42577">
            <w:t>kiinnittää huomiota laissa tarkoitettuun asiakkaan tarpeiden mukaise</w:t>
          </w:r>
          <w:r>
            <w:t>e</w:t>
          </w:r>
          <w:r w:rsidR="00F42577">
            <w:t>n henkilöstön määrään.</w:t>
          </w:r>
        </w:p>
        <w:p w14:paraId="73868BDC" w14:textId="77777777" w:rsidR="004156C7" w:rsidRDefault="00F42577" w:rsidP="00F42577">
          <w:pPr>
            <w:pStyle w:val="LLPerustelujenkappalejako"/>
          </w:pPr>
          <w:r>
            <w:t xml:space="preserve">Ympärivuorokautisen hoidon piirissä olevat iäkkäät henkilöt ovat lähes poikkeuksetta laajan hoidon ja huolenpidon tarpeessa. </w:t>
          </w:r>
          <w:r w:rsidR="00221267">
            <w:t>H</w:t>
          </w:r>
          <w:r>
            <w:t xml:space="preserve">oidon ja huolenpidon lisäksi </w:t>
          </w:r>
          <w:r w:rsidR="00221267">
            <w:t xml:space="preserve">iäkkäillä henkilöillä tulee olla </w:t>
          </w:r>
          <w:r>
            <w:t xml:space="preserve">myös mahdollisuuksia osallistua toimintakykyä ylläpitävään ja edistävään toimintaan sekä sosiaaliseen vuorovaikutukseen ja osallisuuteen, joilla tuetaan mielekästä elämää ja sosiaalista hyvinvointia. </w:t>
          </w:r>
          <w:r w:rsidR="00044289">
            <w:t>H</w:t>
          </w:r>
          <w:r w:rsidR="00221267">
            <w:t>enkilöstön määrässä ja osaamisessa</w:t>
          </w:r>
          <w:r w:rsidR="00044289" w:rsidRPr="00044289">
            <w:t xml:space="preserve"> </w:t>
          </w:r>
          <w:r w:rsidR="00044289">
            <w:t>o</w:t>
          </w:r>
          <w:r w:rsidR="00044289" w:rsidRPr="00044289">
            <w:t>n myös tarpeen tunnistaa ja ottaa</w:t>
          </w:r>
          <w:r w:rsidR="00221267">
            <w:t xml:space="preserve"> huomioon erityisiä tarpeita, jotka liittyvät esimerkiksi vammaisuuteen tai tarpeisiin käyttää vaihtoehtoisia kommunikaatiokeinoja. </w:t>
          </w:r>
          <w:r>
            <w:t xml:space="preserve">Myös nämä seikat voivat tulla kyseeseen, kun arvioidaan, onko ehdotetulla muutoksella merkitystä perusoikeuksien heikennyskiellon valossa. </w:t>
          </w:r>
          <w:r w:rsidR="004156C7">
            <w:t>Kuitenkin mi</w:t>
          </w:r>
          <w:r w:rsidR="004156C7" w:rsidRPr="004156C7">
            <w:t>toituksen voimaantulon siirto anta</w:t>
          </w:r>
          <w:r w:rsidR="004156C7">
            <w:t>isi</w:t>
          </w:r>
          <w:r w:rsidR="004156C7" w:rsidRPr="004156C7">
            <w:t xml:space="preserve"> myös lisäaikaa erilaisille he</w:t>
          </w:r>
          <w:r w:rsidR="004156C7">
            <w:t>nkilöstön riittävyyttä ja saata</w:t>
          </w:r>
          <w:r w:rsidR="004156C7" w:rsidRPr="004156C7">
            <w:t>vuutta parantaville toimille. Niihin sisältyy esimerkiksi henkilöstörakenteen moni</w:t>
          </w:r>
          <w:r w:rsidR="004156C7">
            <w:t>puolistami</w:t>
          </w:r>
          <w:r w:rsidR="004156C7" w:rsidRPr="004156C7">
            <w:t>nen, jonka myötä voidaan myös paremmin järjestää monipuolista asi</w:t>
          </w:r>
          <w:r w:rsidR="004156C7">
            <w:t>akkaiden toimintakykyä ylläpitä</w:t>
          </w:r>
          <w:r w:rsidR="004156C7" w:rsidRPr="004156C7">
            <w:t>vää ja sosiaalista kanssakäymistä edistävää toimintaa.</w:t>
          </w:r>
          <w:r w:rsidR="004156C7">
            <w:t xml:space="preserve"> </w:t>
          </w:r>
        </w:p>
        <w:p w14:paraId="0BB061D9" w14:textId="0DEBAE98" w:rsidR="00F42577" w:rsidRDefault="00F42577" w:rsidP="00F42577">
          <w:pPr>
            <w:pStyle w:val="LLPerustelujenkappalejako"/>
          </w:pPr>
          <w:r>
            <w:t xml:space="preserve">Heikennyskiellon arvioinnin osalta on </w:t>
          </w:r>
          <w:r w:rsidR="004156C7">
            <w:t xml:space="preserve">todettava, </w:t>
          </w:r>
          <w:r>
            <w:t xml:space="preserve">että vuonna 2020 säädetyn henkilöstömitoitusta koskevan velvoitteen siirtymäaikaa pidennettiin vuonna 2023 kahdeksalla kuukaudella ainoastaan sen vuoksi, että tuolloin esityksessä mainituista olosuhteiden muutoksista ja muista seikoista johtuen velvoitetta ei katsottu voitavan käytännössä kattavasti toteuttaa. </w:t>
          </w:r>
          <w:r w:rsidR="00245AB9">
            <w:t>Hallitus katsoi tuolloin, että e</w:t>
          </w:r>
          <w:r>
            <w:t xml:space="preserve">sitys </w:t>
          </w:r>
          <w:r w:rsidR="00245AB9">
            <w:t xml:space="preserve">voitiin </w:t>
          </w:r>
          <w:r>
            <w:t xml:space="preserve">perusoikeuksien heikentämiskiellon estämättä käsitellä tavallisessa lainsäätämisjärjestyksessä. </w:t>
          </w:r>
        </w:p>
        <w:p w14:paraId="08A67D1B" w14:textId="77777777" w:rsidR="00F42577" w:rsidRDefault="00F42577" w:rsidP="00F42577">
          <w:pPr>
            <w:pStyle w:val="LLPerustelujenkappalejako"/>
          </w:pPr>
          <w:r>
            <w:t>Tässä esityksessä täysimääräisen 0,7 henkilöstömitoituksen voimaantuloa ehdotetaan siirrettäväksi edelleen vuoden 2027 loppuun saakka. Voimaantulon lykkäämisen perusteena on vastaavasti kuin aikaisemmassakin siirrossa ensisijaisesti tavoite varmistaa riittävän henkilöstön saatavuus sosiaali- ja terveyspalveluissa ja erityisesti iäkkäiden henkilöiden palveluissa kokonaisuudessaan. Tämä henkilöstöön liittyvä asiantila on olemassa nytkin riippumatta siitä, jatketaanko siirtymäaikaa vai ei. Samalla lakisääteisen tehtävämuutoksen johdosta tehtävä rahoituksen vähennys hyvinvointialueille olisi 89 miljoonaa euroa vuodessa. Säästyvä määrä on osa hallitusohjelman mukais</w:t>
          </w:r>
          <w:r w:rsidR="00044289">
            <w:t>ta</w:t>
          </w:r>
          <w:r>
            <w:t xml:space="preserve"> säästötavoit</w:t>
          </w:r>
          <w:r w:rsidR="00044289">
            <w:t xml:space="preserve">etta. </w:t>
          </w:r>
        </w:p>
        <w:p w14:paraId="761A1BEB" w14:textId="77777777" w:rsidR="00F42577" w:rsidRDefault="00F42577" w:rsidP="00F42577">
          <w:pPr>
            <w:pStyle w:val="LLPerustelujenkappalejako"/>
          </w:pPr>
          <w:r>
            <w:lastRenderedPageBreak/>
            <w:t>Vaikka lainsäädännöllä ei voida enää tässä tilanteessa ratkaista henkilöstön riittävyyteen liittyviä ongelmia alkuperäisen tai nyt voimassa olevan siirtymäajan loppuun mennessä, esityksen tavoitteena on e</w:t>
          </w:r>
          <w:r w:rsidR="004156C7">
            <w:t xml:space="preserve">sityksessä </w:t>
          </w:r>
          <w:r>
            <w:t xml:space="preserve">kuvatuin tavoin minimoida siirtymäajan jatkamiseen liittyvät muutokset ja niistä aiheutuvat negatiiviset vaikutukset. Henkilöstön saatavuuden ja riittävyyden tilannetta ja siihen liittyviä toimenpiteitä on selostettu edellä </w:t>
          </w:r>
          <w:r w:rsidR="004156C7">
            <w:t xml:space="preserve">nykytilaa kuvaavassa </w:t>
          </w:r>
          <w:r>
            <w:t>luvussa 2, minkä lisäksi on kuvattu mitoituksen nousua iäkkäiden ympärivuorokautisen hoidon toimi</w:t>
          </w:r>
          <w:r w:rsidR="00B84E87">
            <w:t>n</w:t>
          </w:r>
          <w:r>
            <w:t xml:space="preserve">tayksiköissä kohti laissa säädettyä vähintään 0,7 työntekijän tavoitetta asiakasta kohti jo voimassa olevan siirtymäkauden aikana. Osalla toimintayksiköistä on 1.4.2023 lähtien voimassa ollutta vähimmäismitoitusta (0,65) korkeampi mitoitus. </w:t>
          </w:r>
          <w:r w:rsidR="00C7620D">
            <w:t>Ennakkotietojen mukaan t</w:t>
          </w:r>
          <w:r>
            <w:t xml:space="preserve">oukokuussa 2023 </w:t>
          </w:r>
          <w:r w:rsidR="00D00700">
            <w:t xml:space="preserve">23 </w:t>
          </w:r>
          <w:r>
            <w:t>prosentilla toimintayksiköistä (N=</w:t>
          </w:r>
          <w:r w:rsidR="00D00700">
            <w:t>410</w:t>
          </w:r>
          <w:r>
            <w:t xml:space="preserve">) mitoitus oli 0,70-0,74 ja </w:t>
          </w:r>
          <w:r w:rsidR="00D00700">
            <w:t xml:space="preserve">17 </w:t>
          </w:r>
          <w:r>
            <w:t>prosentilla (N=</w:t>
          </w:r>
          <w:r w:rsidR="00D00700">
            <w:t>309</w:t>
          </w:r>
          <w:r>
            <w:t xml:space="preserve">) vähintään 0,75. Henkilöstöä on näin ollen yksiköissä aktiivisesti lisätty ja mitoitusta voitu nostaa lain tasoa korkeammaksi. Kun nyt ehdotettu täysimääräisen vähimmäismitoituksen voimaantulon siirtymäaika on merkittävästi pidempi ja samalla alueiden rahoitusta vähennetään, on tunnistettu riski siitä, että </w:t>
          </w:r>
          <w:r w:rsidR="004156C7">
            <w:t>siirto usealla vuodella voi joissain toimintayksiköissä johtaa saavutetun korkeamman mitoituksen laskemiseen ja henkilöstön vähentämiseen</w:t>
          </w:r>
          <w:r>
            <w:t xml:space="preserve"> siirtymäaikana.  </w:t>
          </w:r>
        </w:p>
        <w:p w14:paraId="62ADFF87" w14:textId="77777777" w:rsidR="00F42577" w:rsidRDefault="00044289" w:rsidP="00F42577">
          <w:pPr>
            <w:pStyle w:val="LLPerustelujenkappalejako"/>
          </w:pPr>
          <w:r>
            <w:t xml:space="preserve">Voimassa olevan mitoituksen vähintään 0,65 työntekijää asiakasta kohti </w:t>
          </w:r>
          <w:r w:rsidR="00F42577">
            <w:t xml:space="preserve">voidaan arvioida turvaavan perustuslain 19 §:n edellyttämän välttämättömän huolenpidon ja riittävien sosiaali- ja terveyspalvelujen tason sekä toteuttavan myös perustuslain 7 §:n 1 momentissa tarkoitettua oikeutta elämään ja henkilökohtaiseen vapauteen, koskemattomuuteen ja turvallisuuteen. Esityksen mukaan mainittu mitoitus pidettäisiin voimassa nyt ehdotetun, vuoden 2027 loppuun kestävän siirtymäajan. Huomioon on otettava, että kyseessä on vähimmäismitoitus, jota asiakkaiden RAI-arvioinnin perusteella arvioidun palvelun tarpeen perusteella sekä myös sen muuttumisen perusteella tulee tarvittaessa nostaa. </w:t>
          </w:r>
        </w:p>
        <w:p w14:paraId="4830D34E" w14:textId="77777777" w:rsidR="00F42577" w:rsidRDefault="00F42577" w:rsidP="00F42577">
          <w:pPr>
            <w:pStyle w:val="LLPerustelujenkappalejako"/>
          </w:pPr>
          <w:r>
            <w:t xml:space="preserve">Esitys voitaisiin siten perusoikeuksien heikentämiskiellon estämättä käsitellä tavallisessa lainsäätämisjärjestyksessä. </w:t>
          </w:r>
        </w:p>
        <w:p w14:paraId="14273B71" w14:textId="77777777" w:rsidR="00F42577" w:rsidRDefault="00F42577" w:rsidP="00F42577">
          <w:pPr>
            <w:pStyle w:val="LLPerustelujenkappalejako"/>
          </w:pPr>
          <w:r>
            <w:t xml:space="preserve">Perustuslakivaliokunta on lausunnossaan PeVL 15/2020 vp - HE 4/2020 vp käsitellyt kunnille säädettyjen lisätehtävien edellyttämiä rahoituspäätöksiä. Perustuslakivaliokunta on kuntien itsehallintoa koskevassa vakiintuneessa käytännössä korostanut, että kuntien tehtävistä säädettäessä on huolehdittava rahoitusperiaatteen mukaisesti kuntien tosiasiallisista edellytyksistä suoriutua velvoitteistaan. Valiokunta on myös katsonut, että kunnille osoitettavat rahoitustehtävät eivät itsehallinnon perustuslain suojan takia saa suuruutensa puolesta heikentää kuntien toimintaedellytyksiä tavalla, joka vaarantaisi kuntien mahdollisuuksia päättää itsenäisesti taloudestaan ja siten myös omasta hallinnostaan. </w:t>
          </w:r>
        </w:p>
        <w:p w14:paraId="40202B4D" w14:textId="77777777" w:rsidR="00F42577" w:rsidRDefault="00F42577" w:rsidP="00F42577">
          <w:pPr>
            <w:pStyle w:val="LLPerustelujenkappalejako"/>
          </w:pPr>
          <w:r>
            <w:t>Rahoitusperiaate sisältyy myös Euroopan paikallisen itsehallinnon peruskirjan 9 (2) artiklaan. Sen mukaan paikallisviranomaisten voimavarojen tulee olla riittävät suhteessa niihin velvoitteisiin, jotka niille on annettu perustuslaissa ja muissa laeissa.</w:t>
          </w:r>
        </w:p>
        <w:p w14:paraId="2D2A0D3A" w14:textId="77777777" w:rsidR="00F42577" w:rsidRDefault="00F42577" w:rsidP="00F42577">
          <w:pPr>
            <w:pStyle w:val="LLPerustelujenkappalejako"/>
          </w:pPr>
          <w:r>
            <w:t xml:space="preserve">Perustuslakivaliokunta katsoi lausunnossaan, että henkilöstömitoituksen ja sen toteuttamiseen liittyvien rahoitusratkaisujen yhteensovittamiseksi lain siirtymäsäännöstä oli täsmennettävä siten, että siitä käyvät selkeästi ilmi henkilöstömitoituksen määräytymisen perusteet ja sen aiheuttamien kustannusten korvattavuus valtionosuusjärjestelmän puitteissa myös siirtymäaikana siten, että lakiehdotuksen mukaiset velvoitteet ja rahoitusperiaatteen edellyttämä rahoitus niiden toteuttamiseen ovat ajallisesti yhteneväisiä. Tämä täsmentäminen oli edellytyksenä lakiehdotuksen käsittelemiselle tavallisen lain säätämisjärjestyksessä. Sosiaali- ja terveysvaliokunnan ehdotuksesta siirtymäsäännöstä selkeytettiin siten, että henkilöstömitoitus ja sen toteuttamiseen liittyvä rahoitus ovat nousseet asteittain lain voimaantulon jälkeen kahdessa vaiheessa. </w:t>
          </w:r>
        </w:p>
        <w:p w14:paraId="414A4542" w14:textId="77777777" w:rsidR="00F42577" w:rsidRDefault="00F42577" w:rsidP="00F42577">
          <w:pPr>
            <w:pStyle w:val="LLPerustelujenkappalejako"/>
          </w:pPr>
          <w:r>
            <w:lastRenderedPageBreak/>
            <w:t xml:space="preserve">Iäkkäiden henkilöiden ympärivuorokautisen hoidon järjestämisvastuu on siirtynyt 1.1.2023 hyvinvointialueille, joilla on hyvinvointialueesta annetun lain (611/2021) 2 §:n mukaan itsehallinto alueellaan siten kuin mainitussa laissa säädetään. </w:t>
          </w:r>
        </w:p>
        <w:p w14:paraId="594FD0FD" w14:textId="77777777" w:rsidR="00F42577" w:rsidRDefault="00F42577" w:rsidP="00F42577">
          <w:pPr>
            <w:pStyle w:val="LLPerustelujenkappalejako"/>
          </w:pPr>
          <w:r>
            <w:t xml:space="preserve">Itsehallinnosta kuntia suuremmilla hallintoalueilla säädetään perustuslain 121 §:n 4 momentin nojalla lailla. Perustuslakivaliokunta on katsonut, että perustuslain 22 §:n mukaiseen perusoikeuksien toteuttamisvelvoitteeseen kuuluu valtion vastuu huolehtia siitä, että perustuslain 121 §:n 4 momentissa tarkoitetuilla alueilla on käytännön edellytykset suoriutua tehtävistään. Perustuslakivaliokunta on lisäksi katsonut, että budjettirajoitteella ei voida rajoittaa lakisääteisten palvelujen saatavuutta. Sosiaali- ja terveyspalveluissa rahoitusperiaatteen merkitystä korostaa perustuslain 19 §:n 3 momentin ja 22 §:n mukainen turvaamisvelvollisuus (PeVL 17/2021 vp). </w:t>
          </w:r>
        </w:p>
        <w:p w14:paraId="661155D8" w14:textId="77777777" w:rsidR="00F42577" w:rsidRDefault="00F42577" w:rsidP="00F42577">
          <w:pPr>
            <w:pStyle w:val="LLPerustelujenkappalejako"/>
          </w:pPr>
          <w:r>
            <w:t xml:space="preserve">Hyvinvointialueiden mahdollisuudet sopeuttaa talouttaan ja selviytyä lakisääteisistä velvoitteista ovat kuntiakin rajallisemmat, sillä ratkaisevassa asemassa on nimenomaan valtion rahoitus. Lakiehdotuksen antamiseen liittyvät syyt ovat kuitenkin liittyneet ensisijaisesti muihin henkilöstömitoituksen toteuttamiseen liittyviin esteisiin kuin rahoituksen riittävyyteen. Perustuslakivaliokunnan kannanotoissa ja oikeuskirjallisuudessa on katsottu, että yhteiskunnan ajautuminen syvään taloudelliseen taantumaan, joka aiheuttaa julkisen talouden rahoitusvaikeuksia, voi ainakin tiettyyn rajaan asti muodostaa hyväksyttävän perusteen heikennyskiellosta poikkeamiselle. Perustuslakivaliokunta on esimerkiksi omassa lausuntokäytännössään korostanut, että on johdonmukaista ottaa huomioon kansantalouden ja julkisen talouden tila mitoitettaessa sellaisia etuuksia, jotka julkinen valta välittömästi rahoittaa. </w:t>
          </w:r>
        </w:p>
        <w:p w14:paraId="42173ACD" w14:textId="77777777" w:rsidR="00F42577" w:rsidRDefault="00F42577" w:rsidP="00F42577">
          <w:pPr>
            <w:pStyle w:val="LLPerustelujenkappalejako"/>
          </w:pPr>
          <w:r>
            <w:t xml:space="preserve">Hyvinvointialueiden rahoitus on ollut vuonna 2023 vähintään 0,7 työntekijän mitoituksen tavoitteen aikatauluun nähden poikkeuksellisesti etupainotteista, koska mitoituksen voimaantuloa vuoden 2023 keväällä siirrettäessä nimenomaan tarkoituksena oli mahdollistaa täysimääräisen mitoituksen tason saavuttaminen budjettirajoitteen estämättä mahdollisimman kattavasti jo ennen siirtymäajan päättymistä. Tällä esityksellä rahoitusta hyvinvointialueilta kuitenkin leikataan esitetyn mukaista mitoituksen tasoa vastaavasti ehdotettuna siirtymäaikana siten kuin taloudellisia vaikutuksia koskevassa luvussa 3 sekä luvussa 8 Suhde talousarvioesitykseen on kuvattu. Kun nykyisen ja siirtymäkaudelle ehdotetun lakisääteisen vähimmäismitoituksen 0,65 työntekijää asiakasta kohden kuitenkin voidaan arvioida olevan riittävä kyseisissä palveluissa olevien iäkkäiden henkilöiden kyseessä olevien perusoikeuksien turvaamisen kannalta, voidaan myös siihen hyvinvointialueille myönnettävän rahoituksen arvioida olevan rahoitusperiaatteen näkökulmasta riittävä. </w:t>
          </w:r>
        </w:p>
        <w:p w14:paraId="1037A391" w14:textId="77777777" w:rsidR="00F42577" w:rsidRDefault="00F42577" w:rsidP="00F42577">
          <w:pPr>
            <w:pStyle w:val="LLPerustelujenkappalejako"/>
          </w:pPr>
          <w:r>
            <w:t>Edellä mainituilla perusteilla lakiehdotus voidaan käsitellä tavallisessa lainsäätämisjärjestyksessä.</w:t>
          </w:r>
        </w:p>
        <w:p w14:paraId="418AA407" w14:textId="77777777" w:rsidR="00F42577" w:rsidRDefault="00F42577" w:rsidP="00F42577">
          <w:pPr>
            <w:pStyle w:val="LLPerustelujenkappalejako"/>
          </w:pPr>
        </w:p>
        <w:p w14:paraId="7EC37CC7" w14:textId="77777777" w:rsidR="00F42577" w:rsidRDefault="00F42577" w:rsidP="00F42577">
          <w:pPr>
            <w:pStyle w:val="LLPerustelujenkappalejako"/>
          </w:pPr>
        </w:p>
        <w:p w14:paraId="2C96CF23" w14:textId="77777777" w:rsidR="00F42577" w:rsidRDefault="00F42577" w:rsidP="00F42577">
          <w:pPr>
            <w:pStyle w:val="LLPerustelujenkappalejako"/>
          </w:pPr>
        </w:p>
        <w:p w14:paraId="30953A79" w14:textId="77777777" w:rsidR="008414FE" w:rsidRPr="00740493" w:rsidRDefault="00AF7BD0" w:rsidP="000C13C6">
          <w:pPr>
            <w:pStyle w:val="LLPerustelujenkappalejako"/>
          </w:pPr>
        </w:p>
      </w:sdtContent>
    </w:sdt>
    <w:p w14:paraId="67F0F5BE" w14:textId="77777777" w:rsidR="004A648F" w:rsidRDefault="004A648F" w:rsidP="004A648F">
      <w:pPr>
        <w:pStyle w:val="LLNormaali"/>
      </w:pPr>
    </w:p>
    <w:p w14:paraId="2210664C" w14:textId="77777777" w:rsidR="0022764C" w:rsidRPr="00257518" w:rsidRDefault="0022764C" w:rsidP="00257518">
      <w:pPr>
        <w:pStyle w:val="LLPonsi"/>
        <w:rPr>
          <w:i/>
        </w:rPr>
      </w:pPr>
      <w:r w:rsidRPr="00257518">
        <w:rPr>
          <w:i/>
        </w:rPr>
        <w:t>Ponsi</w:t>
      </w:r>
    </w:p>
    <w:p w14:paraId="6A313724" w14:textId="77777777" w:rsidR="00370114" w:rsidRDefault="00944981" w:rsidP="009C4545">
      <w:pPr>
        <w:pStyle w:val="LLPonsi"/>
      </w:pPr>
      <w:r>
        <w:t>Edellä esitetyn peruste</w:t>
      </w:r>
      <w:r w:rsidR="002D7B09">
        <w:t>e</w:t>
      </w:r>
      <w:r>
        <w:t xml:space="preserve">lla annetaan eduskunnan hyväksyttäväksi </w:t>
      </w:r>
      <w:r w:rsidR="006461AD">
        <w:t>seuraava lakiehdotus:</w:t>
      </w:r>
    </w:p>
    <w:p w14:paraId="7D1D4F7E" w14:textId="77777777" w:rsidR="004A648F" w:rsidRDefault="004A648F" w:rsidP="00370114">
      <w:pPr>
        <w:pStyle w:val="LLNormaali"/>
      </w:pPr>
    </w:p>
    <w:p w14:paraId="687F98CC" w14:textId="77777777" w:rsidR="00393B53" w:rsidRPr="009C4545" w:rsidRDefault="00EA5FF7" w:rsidP="00370114">
      <w:pPr>
        <w:pStyle w:val="LLNormaali"/>
      </w:pPr>
      <w:r w:rsidRPr="009C4545">
        <w:lastRenderedPageBreak/>
        <w:br w:type="page"/>
      </w:r>
    </w:p>
    <w:bookmarkStart w:id="53" w:name="_Toc118796217"/>
    <w:bookmarkStart w:id="54" w:name="_Toc118814271"/>
    <w:bookmarkStart w:id="55" w:name="_Toc119005731"/>
    <w:p w14:paraId="0215A60D" w14:textId="77777777" w:rsidR="00646DE3" w:rsidRDefault="00AF7BD0" w:rsidP="00646DE3">
      <w:pPr>
        <w:pStyle w:val="LLLakiehdotukset"/>
      </w:pPr>
      <w:sdt>
        <w:sdtPr>
          <w:alias w:val="Lakiehdotukset"/>
          <w:tag w:val="CCLakiehdotukset"/>
          <w:id w:val="1834638829"/>
          <w:placeholder>
            <w:docPart w:val="AF74CF05B5914AA1938B93A1D39660E3"/>
          </w:placeholder>
          <w15:color w:val="00FFFF"/>
          <w:dropDownList>
            <w:listItem w:value="Valitse kohde."/>
            <w:listItem w:displayText="Lakiehdotus" w:value="Lakiehdotus"/>
            <w:listItem w:displayText="Lakiehdotukset" w:value="Lakiehdotukset"/>
          </w:dropDownList>
        </w:sdtPr>
        <w:sdtEndPr/>
        <w:sdtContent>
          <w:r w:rsidR="002F08CE">
            <w:t>Lakiehdotus</w:t>
          </w:r>
        </w:sdtContent>
      </w:sdt>
      <w:bookmarkEnd w:id="53"/>
      <w:bookmarkEnd w:id="54"/>
      <w:bookmarkEnd w:id="55"/>
    </w:p>
    <w:sdt>
      <w:sdtPr>
        <w:alias w:val="Lakiehdotus"/>
        <w:tag w:val="CCLakiehdotus"/>
        <w:id w:val="1695884352"/>
        <w:placeholder>
          <w:docPart w:val="5919B7FC0B954A89A4D1026E91ED91EE"/>
        </w:placeholder>
        <w15:color w:val="00FFFF"/>
      </w:sdtPr>
      <w:sdtEndPr/>
      <w:sdtContent>
        <w:p w14:paraId="138FEF55" w14:textId="77777777" w:rsidR="009167E1" w:rsidRPr="009167E1" w:rsidRDefault="009167E1" w:rsidP="00534B1F">
          <w:pPr>
            <w:pStyle w:val="LLNormaali"/>
          </w:pPr>
        </w:p>
        <w:p w14:paraId="13DD429C" w14:textId="77777777" w:rsidR="009167E1" w:rsidRPr="00F36633" w:rsidRDefault="009167E1" w:rsidP="009732F5">
          <w:pPr>
            <w:pStyle w:val="LLLaki"/>
          </w:pPr>
          <w:r w:rsidRPr="00F36633">
            <w:t>Laki</w:t>
          </w:r>
        </w:p>
        <w:p w14:paraId="2A512407" w14:textId="77777777" w:rsidR="009167E1" w:rsidRPr="009167E1" w:rsidRDefault="00805B4C" w:rsidP="0082264A">
          <w:pPr>
            <w:pStyle w:val="LLSaadoksenNimi"/>
          </w:pPr>
          <w:bookmarkStart w:id="56" w:name="_Toc118796218"/>
          <w:bookmarkStart w:id="57" w:name="_Toc118814272"/>
          <w:bookmarkStart w:id="58" w:name="_Toc119005732"/>
          <w:r w:rsidRPr="00805B4C">
            <w:t>ikääntyneen väestön toimintakyvyn tukemisesta sekä iäkkäiden sosiaali- ja terveyspalveluista annetun lain muuttamisesta annetun lain voimaantulosäännöksen muuttamisesta</w:t>
          </w:r>
          <w:bookmarkEnd w:id="56"/>
          <w:bookmarkEnd w:id="57"/>
          <w:bookmarkEnd w:id="58"/>
        </w:p>
        <w:p w14:paraId="05DFF3B8" w14:textId="77777777" w:rsidR="009167E1" w:rsidRPr="009167E1" w:rsidRDefault="009167E1" w:rsidP="009167E1">
          <w:pPr>
            <w:pStyle w:val="LLJohtolauseKappaleet"/>
          </w:pPr>
          <w:r w:rsidRPr="009167E1">
            <w:t xml:space="preserve">Eduskunnan päätöksen mukaisesti </w:t>
          </w:r>
        </w:p>
        <w:p w14:paraId="7B957EC8" w14:textId="77777777" w:rsidR="0000497A" w:rsidRPr="00805B4C" w:rsidRDefault="009167E1" w:rsidP="00805B4C">
          <w:pPr>
            <w:pStyle w:val="LLJohtolauseKappaleet"/>
            <w:rPr>
              <w:i/>
            </w:rPr>
          </w:pPr>
          <w:r w:rsidRPr="009167E1">
            <w:rPr>
              <w:i/>
            </w:rPr>
            <w:t>muutetaan</w:t>
          </w:r>
          <w:r w:rsidR="00805B4C">
            <w:rPr>
              <w:i/>
            </w:rPr>
            <w:t xml:space="preserve"> </w:t>
          </w:r>
          <w:r w:rsidR="00805B4C" w:rsidRPr="00805B4C">
            <w:t>ikääntyneen väestön toimintakyvyn tukemisesta sekä iäkkäiden sosiaali- ja terveyspalveluista annetun lain m</w:t>
          </w:r>
          <w:r w:rsidR="00805B4C">
            <w:t>uuttamisesta annetun lain (</w:t>
          </w:r>
          <w:r w:rsidR="00872FBD">
            <w:t>876/2022</w:t>
          </w:r>
          <w:r w:rsidR="00805B4C" w:rsidRPr="00805B4C">
            <w:t>) voimaantulosäännöksen 4 momentti</w:t>
          </w:r>
          <w:r w:rsidR="00872FBD">
            <w:t xml:space="preserve">, sellaisena </w:t>
          </w:r>
          <w:r w:rsidR="00194D3B">
            <w:t xml:space="preserve">kuin </w:t>
          </w:r>
          <w:r w:rsidR="00872FBD">
            <w:t>se on laissa 223/2023,</w:t>
          </w:r>
          <w:r w:rsidR="00805B4C" w:rsidRPr="00805B4C">
            <w:t xml:space="preserve"> seuraavasti:</w:t>
          </w:r>
        </w:p>
        <w:p w14:paraId="312DAD8D" w14:textId="77777777" w:rsidR="009167E1" w:rsidRPr="00194D3B" w:rsidRDefault="009167E1" w:rsidP="002F08CE">
          <w:pPr>
            <w:pStyle w:val="LLNormaali"/>
            <w:rPr>
              <w:vertAlign w:val="superscript"/>
            </w:rPr>
          </w:pPr>
        </w:p>
        <w:p w14:paraId="4067CD78" w14:textId="77777777" w:rsidR="00B31211" w:rsidRDefault="00B31211" w:rsidP="00B31211">
          <w:pPr>
            <w:pStyle w:val="LLNormaali"/>
          </w:pPr>
        </w:p>
        <w:p w14:paraId="694246DD" w14:textId="77777777" w:rsidR="004C5B18" w:rsidRDefault="004C5B18" w:rsidP="00B31211">
          <w:pPr>
            <w:pStyle w:val="LLNormaali"/>
          </w:pPr>
        </w:p>
        <w:p w14:paraId="2EA5770F" w14:textId="77777777" w:rsidR="004C5B18" w:rsidRDefault="004C5B18" w:rsidP="00B31211">
          <w:pPr>
            <w:pStyle w:val="LLNormaali"/>
          </w:pPr>
        </w:p>
        <w:p w14:paraId="1CD54E12" w14:textId="77777777" w:rsidR="004C5B18" w:rsidRDefault="004C5B18" w:rsidP="00B31211">
          <w:pPr>
            <w:pStyle w:val="LLNormaali"/>
          </w:pPr>
        </w:p>
        <w:p w14:paraId="3E20D74A" w14:textId="77777777" w:rsidR="00805B4C" w:rsidRPr="009167E1" w:rsidRDefault="00805B4C" w:rsidP="00BA71BD">
          <w:pPr>
            <w:pStyle w:val="LLNormaali"/>
          </w:pPr>
          <w:r w:rsidRPr="009167E1">
            <w:t>— — — — — — — — — — — — — — — — — — — — — — — — — — — — — —</w:t>
          </w:r>
        </w:p>
        <w:p w14:paraId="0CF0080E" w14:textId="77777777" w:rsidR="009167E1" w:rsidRDefault="00805B4C" w:rsidP="00F06DEC">
          <w:pPr>
            <w:pStyle w:val="LLKappalejako"/>
          </w:pPr>
          <w:r w:rsidRPr="00805B4C">
            <w:t xml:space="preserve">Lain 20 §:n 2 momentissa säädettyä henkilöstömitoitusta sovelletaan 1 päivästä </w:t>
          </w:r>
          <w:r w:rsidR="005F55A4">
            <w:t>tammi</w:t>
          </w:r>
          <w:r w:rsidRPr="00805B4C">
            <w:t>kuuta 202</w:t>
          </w:r>
          <w:r w:rsidR="005F55A4">
            <w:t>8</w:t>
          </w:r>
          <w:r w:rsidRPr="00805B4C">
            <w:t>. Sitä ennen henkilöstömitoituksen on oltava vähintään 0,6</w:t>
          </w:r>
          <w:r w:rsidR="001808E2">
            <w:t>5</w:t>
          </w:r>
          <w:r w:rsidRPr="00805B4C">
            <w:t xml:space="preserve"> työntekijää asiakasta kohti</w:t>
          </w:r>
          <w:r w:rsidR="001808E2">
            <w:t>.</w:t>
          </w:r>
          <w:r w:rsidRPr="00805B4C">
            <w:t xml:space="preserve"> </w:t>
          </w:r>
        </w:p>
        <w:p w14:paraId="6F71B037" w14:textId="77777777" w:rsidR="00805B4C" w:rsidRPr="009167E1" w:rsidRDefault="00805B4C" w:rsidP="00BA71BD">
          <w:pPr>
            <w:pStyle w:val="LLNormaali"/>
          </w:pPr>
          <w:r w:rsidRPr="009167E1">
            <w:t>— — — — — — — — — — — — — — — — — — — — — — — — — — — — — —</w:t>
          </w:r>
        </w:p>
        <w:p w14:paraId="7782117B" w14:textId="77777777" w:rsidR="00805B4C" w:rsidRDefault="00805B4C" w:rsidP="00F06DEC">
          <w:pPr>
            <w:pStyle w:val="LLKappalejako"/>
          </w:pPr>
        </w:p>
        <w:p w14:paraId="53E5A447" w14:textId="77777777" w:rsidR="00BA71BD" w:rsidRPr="009167E1" w:rsidRDefault="00BA71BD" w:rsidP="00BA71BD">
          <w:pPr>
            <w:pStyle w:val="LLNormaali"/>
            <w:jc w:val="center"/>
          </w:pPr>
          <w:r>
            <w:t>———</w:t>
          </w:r>
        </w:p>
        <w:p w14:paraId="2BDC16BB" w14:textId="77777777" w:rsidR="00BA71BD" w:rsidRDefault="009167E1" w:rsidP="00BA71BD">
          <w:pPr>
            <w:pStyle w:val="LLVoimaantulokappale"/>
          </w:pPr>
          <w:r w:rsidRPr="009167E1">
            <w:t xml:space="preserve">Tämä laki tulee </w:t>
          </w:r>
          <w:r w:rsidRPr="00BA71BD">
            <w:t>voimaan</w:t>
          </w:r>
          <w:r w:rsidRPr="009167E1">
            <w:t xml:space="preserve"> </w:t>
          </w:r>
          <w:r w:rsidR="00EA1F80">
            <w:t>päivänä kuuta 20 .</w:t>
          </w:r>
        </w:p>
        <w:p w14:paraId="3560BCBB" w14:textId="77777777" w:rsidR="003E4E0F" w:rsidRDefault="00BA71BD" w:rsidP="00BA71BD">
          <w:pPr>
            <w:pStyle w:val="LLNormaali"/>
            <w:jc w:val="center"/>
          </w:pPr>
          <w:r>
            <w:t>—————</w:t>
          </w:r>
        </w:p>
        <w:p w14:paraId="5B351FA2" w14:textId="77777777" w:rsidR="004A648F" w:rsidRDefault="00AF7BD0" w:rsidP="003E4E0F">
          <w:pPr>
            <w:pStyle w:val="LLNormaali"/>
          </w:pPr>
        </w:p>
      </w:sdtContent>
    </w:sdt>
    <w:p w14:paraId="200B718E" w14:textId="77777777" w:rsidR="00B0425D" w:rsidRDefault="00B0425D" w:rsidP="004A648F">
      <w:pPr>
        <w:pStyle w:val="LLNormaali"/>
      </w:pPr>
    </w:p>
    <w:p w14:paraId="7210170B" w14:textId="77777777" w:rsidR="00196A1D" w:rsidRPr="00302A46" w:rsidRDefault="00196A1D" w:rsidP="004A648F">
      <w:pPr>
        <w:pStyle w:val="LLNormaali"/>
      </w:pPr>
    </w:p>
    <w:p w14:paraId="6E51059E" w14:textId="77777777" w:rsidR="004A648F" w:rsidRPr="00302A46" w:rsidRDefault="004A648F" w:rsidP="007435F3">
      <w:pPr>
        <w:pStyle w:val="LLNormaali"/>
      </w:pPr>
    </w:p>
    <w:p w14:paraId="35516BB8" w14:textId="77777777" w:rsidR="00137260" w:rsidRPr="00302A46" w:rsidRDefault="00137260" w:rsidP="007435F3">
      <w:pPr>
        <w:pStyle w:val="LLNormaali"/>
      </w:pPr>
    </w:p>
    <w:sdt>
      <w:sdtPr>
        <w:alias w:val="Päiväys"/>
        <w:tag w:val="CCPaivays"/>
        <w:id w:val="-857742363"/>
        <w:lock w:val="sdtLocked"/>
        <w:placeholder>
          <w:docPart w:val="37183265A726448D93128B02276C1164"/>
        </w:placeholder>
        <w15:color w:val="33CCCC"/>
        <w:text/>
      </w:sdtPr>
      <w:sdtEndPr/>
      <w:sdtContent>
        <w:p w14:paraId="0F9E4C49" w14:textId="77777777" w:rsidR="005F6E65" w:rsidRPr="00302A46" w:rsidRDefault="00194D3B" w:rsidP="005F6E65">
          <w:pPr>
            <w:pStyle w:val="LLPaivays"/>
          </w:pPr>
          <w:r w:rsidRPr="00302A46">
            <w:t xml:space="preserve">Helsingissä </w:t>
          </w:r>
          <w:r>
            <w:t>xx.xx.2023</w:t>
          </w:r>
        </w:p>
      </w:sdtContent>
    </w:sdt>
    <w:p w14:paraId="46E14936" w14:textId="77777777" w:rsidR="005F6E65" w:rsidRPr="00030BA9" w:rsidRDefault="005F6E65" w:rsidP="00267E16">
      <w:pPr>
        <w:pStyle w:val="LLNormaali"/>
      </w:pPr>
    </w:p>
    <w:sdt>
      <w:sdtPr>
        <w:alias w:val="Allekirjoittajan asema"/>
        <w:tag w:val="CCAllekirjoitus"/>
        <w:id w:val="1565067034"/>
        <w:lock w:val="sdtLocked"/>
        <w:placeholder>
          <w:docPart w:val="681132CBB95B44E1940E0900344FAD89"/>
        </w:placeholder>
        <w15:color w:val="00FFFF"/>
      </w:sdtPr>
      <w:sdtEndPr/>
      <w:sdtContent>
        <w:p w14:paraId="4BC27B67" w14:textId="77777777" w:rsidR="005F6E65" w:rsidRPr="008D7BC7" w:rsidRDefault="0087446D" w:rsidP="005F6E65">
          <w:pPr>
            <w:pStyle w:val="LLAllekirjoitus"/>
          </w:pPr>
          <w:r>
            <w:t>Pääministeri</w:t>
          </w:r>
        </w:p>
      </w:sdtContent>
    </w:sdt>
    <w:p w14:paraId="7F04EFA3" w14:textId="77777777" w:rsidR="005F6E65" w:rsidRPr="00385A06" w:rsidRDefault="003F7BD7" w:rsidP="00385A06">
      <w:pPr>
        <w:pStyle w:val="LLNimenselvennys"/>
      </w:pPr>
      <w:r>
        <w:t>Petteri Orpo</w:t>
      </w:r>
    </w:p>
    <w:p w14:paraId="7B6A3C85" w14:textId="77777777" w:rsidR="005F6E65" w:rsidRPr="00385A06" w:rsidRDefault="005F6E65" w:rsidP="00267E16">
      <w:pPr>
        <w:pStyle w:val="LLNormaali"/>
      </w:pPr>
    </w:p>
    <w:p w14:paraId="35A0A158" w14:textId="77777777" w:rsidR="005F6E65" w:rsidRPr="00385A06" w:rsidRDefault="005F6E65" w:rsidP="00267E16">
      <w:pPr>
        <w:pStyle w:val="LLNormaali"/>
      </w:pPr>
    </w:p>
    <w:p w14:paraId="6E5A7D84" w14:textId="77777777" w:rsidR="005F6E65" w:rsidRPr="00385A06" w:rsidRDefault="005F6E65" w:rsidP="00267E16">
      <w:pPr>
        <w:pStyle w:val="LLNormaali"/>
      </w:pPr>
    </w:p>
    <w:p w14:paraId="208E14E9" w14:textId="77777777" w:rsidR="005F6E65" w:rsidRPr="00385A06" w:rsidRDefault="005F6E65" w:rsidP="00267E16">
      <w:pPr>
        <w:pStyle w:val="LLNormaali"/>
      </w:pPr>
    </w:p>
    <w:p w14:paraId="05C4EE1D" w14:textId="77777777" w:rsidR="004B1827" w:rsidRDefault="00BD1169" w:rsidP="009108FF">
      <w:pPr>
        <w:pStyle w:val="LLVarmennus"/>
        <w:sectPr w:rsidR="004B1827" w:rsidSect="00C85EB5">
          <w:headerReference w:type="default" r:id="rId13"/>
          <w:footerReference w:type="even" r:id="rId14"/>
          <w:footerReference w:type="default" r:id="rId15"/>
          <w:headerReference w:type="first" r:id="rId16"/>
          <w:footerReference w:type="first" r:id="rId17"/>
          <w:type w:val="continuous"/>
          <w:pgSz w:w="11906" w:h="16838" w:code="9"/>
          <w:pgMar w:top="1701" w:right="1780" w:bottom="2155" w:left="1780" w:header="1701" w:footer="1911" w:gutter="0"/>
          <w:cols w:space="720"/>
          <w:formProt w:val="0"/>
          <w:titlePg/>
          <w:docGrid w:linePitch="360"/>
        </w:sectPr>
      </w:pPr>
      <w:r>
        <w:t>Perhe- ja peruspalvelu</w:t>
      </w:r>
      <w:r w:rsidR="00031114">
        <w:t>ministeri</w:t>
      </w:r>
      <w:r w:rsidR="00385A06">
        <w:t xml:space="preserve"> </w:t>
      </w:r>
      <w:r w:rsidR="008D3FA9" w:rsidRPr="009108FF">
        <w:rPr>
          <w:b/>
        </w:rPr>
        <w:t>Kaisa Juuso</w:t>
      </w:r>
      <w:r w:rsidR="008D3FA9">
        <w:t xml:space="preserve"> </w:t>
      </w:r>
      <w:r w:rsidR="000A334A" w:rsidRPr="001401B3">
        <w:br w:type="page"/>
      </w:r>
    </w:p>
    <w:bookmarkStart w:id="59" w:name="_Toc119005733" w:displacedByCustomXml="next"/>
    <w:bookmarkStart w:id="60" w:name="_Toc118814273" w:displacedByCustomXml="next"/>
    <w:bookmarkStart w:id="61" w:name="_Toc118796219" w:displacedByCustomXml="next"/>
    <w:sdt>
      <w:sdtPr>
        <w:alias w:val="Liitteet"/>
        <w:tag w:val="CCLiitteet"/>
        <w:id w:val="-100575990"/>
        <w:placeholder>
          <w:docPart w:val="D5AED7A6275747F2B71D1ABC06F9F12C"/>
        </w:placeholder>
        <w15:color w:val="33CCCC"/>
        <w:comboBox>
          <w:listItem w:value="Valitse kohde."/>
          <w:listItem w:displayText="Liite" w:value="Liite"/>
          <w:listItem w:displayText="Liitteet" w:value="Liitteet"/>
        </w:comboBox>
      </w:sdtPr>
      <w:sdtEndPr/>
      <w:sdtContent>
        <w:p w14:paraId="6EEF7C3D" w14:textId="77777777" w:rsidR="000A334A" w:rsidRDefault="0031488F" w:rsidP="004B1827">
          <w:pPr>
            <w:pStyle w:val="LLLiite"/>
          </w:pPr>
          <w:r>
            <w:t>Liite</w:t>
          </w:r>
        </w:p>
      </w:sdtContent>
    </w:sdt>
    <w:bookmarkEnd w:id="59" w:displacedByCustomXml="prev"/>
    <w:bookmarkEnd w:id="60" w:displacedByCustomXml="prev"/>
    <w:bookmarkEnd w:id="61" w:displacedByCustomXml="prev"/>
    <w:p w14:paraId="747E28B8" w14:textId="746CD618" w:rsidR="00B34684" w:rsidRPr="00742250" w:rsidRDefault="0031488F" w:rsidP="00B34684">
      <w:pPr>
        <w:pStyle w:val="LLRinnakkaistekstit"/>
      </w:pPr>
      <w:bookmarkStart w:id="62" w:name="_Toc118796220"/>
      <w:bookmarkStart w:id="63" w:name="_Toc118814274"/>
      <w:bookmarkStart w:id="64" w:name="_Toc119005734"/>
      <w:r w:rsidRPr="00742250">
        <w:t>Rinnakkaisteksti</w:t>
      </w:r>
      <w:bookmarkEnd w:id="62"/>
      <w:bookmarkEnd w:id="63"/>
      <w:bookmarkEnd w:id="64"/>
    </w:p>
    <w:p w14:paraId="26ECFEBA" w14:textId="77777777" w:rsidR="00B34684" w:rsidRPr="00742250" w:rsidRDefault="00B34684" w:rsidP="00B34684">
      <w:pPr>
        <w:pStyle w:val="LLNormaali"/>
        <w:rPr>
          <w:lang w:eastAsia="fi-FI"/>
        </w:rPr>
      </w:pPr>
    </w:p>
    <w:p w14:paraId="6CF4DDFD" w14:textId="10316B7D" w:rsidR="008A3DB3" w:rsidRPr="000A334A" w:rsidRDefault="008A3DB3" w:rsidP="00B34684">
      <w:pPr>
        <w:pStyle w:val="LLNormaali"/>
        <w:rPr>
          <w:rFonts w:eastAsia="Times New Roman"/>
          <w:szCs w:val="24"/>
          <w:lang w:eastAsia="fi-FI"/>
        </w:rPr>
      </w:pPr>
    </w:p>
    <w:p w14:paraId="08F52A80" w14:textId="77777777" w:rsidR="001B2357" w:rsidRPr="00F36633" w:rsidRDefault="001B2357" w:rsidP="001B2357">
      <w:pPr>
        <w:pStyle w:val="LLLaki"/>
      </w:pPr>
      <w:r w:rsidRPr="00F36633">
        <w:t>Laki</w:t>
      </w:r>
    </w:p>
    <w:p w14:paraId="406C2014" w14:textId="77777777" w:rsidR="001B2357" w:rsidRPr="009167E1" w:rsidRDefault="00B0669C" w:rsidP="00B0669C">
      <w:pPr>
        <w:pStyle w:val="LLSaadoksenNimi"/>
      </w:pPr>
      <w:bookmarkStart w:id="65" w:name="_Toc118796221"/>
      <w:bookmarkStart w:id="66" w:name="_Toc118814275"/>
      <w:bookmarkStart w:id="67" w:name="_Toc119005735"/>
      <w:r w:rsidRPr="00805B4C">
        <w:t>ikääntyneen väestön toimintakyvyn tukemisesta sekä iäkkäiden sosiaali- ja terveyspalveluista annetun lain muuttamisesta annetun lain voimaantulosäännöksen muuttamisesta</w:t>
      </w:r>
      <w:bookmarkEnd w:id="65"/>
      <w:bookmarkEnd w:id="66"/>
      <w:bookmarkEnd w:id="67"/>
      <w:r w:rsidR="001B2357" w:rsidRPr="009167E1">
        <w:t xml:space="preserve"> </w:t>
      </w:r>
    </w:p>
    <w:p w14:paraId="0F178638" w14:textId="77777777" w:rsidR="00187430" w:rsidRPr="009167E1" w:rsidRDefault="00187430" w:rsidP="00187430">
      <w:pPr>
        <w:pStyle w:val="LLJohtolauseKappaleet"/>
      </w:pPr>
      <w:r w:rsidRPr="009167E1">
        <w:t xml:space="preserve">Eduskunnan päätöksen mukaisesti </w:t>
      </w:r>
    </w:p>
    <w:p w14:paraId="1484DBDA" w14:textId="77777777" w:rsidR="00187430" w:rsidRPr="00805B4C" w:rsidRDefault="00187430" w:rsidP="00187430">
      <w:pPr>
        <w:pStyle w:val="LLJohtolauseKappaleet"/>
        <w:rPr>
          <w:i/>
        </w:rPr>
      </w:pPr>
      <w:r w:rsidRPr="009167E1">
        <w:rPr>
          <w:i/>
        </w:rPr>
        <w:t>muutetaan</w:t>
      </w:r>
      <w:r>
        <w:rPr>
          <w:i/>
        </w:rPr>
        <w:t xml:space="preserve"> </w:t>
      </w:r>
      <w:r w:rsidRPr="00805B4C">
        <w:t>ikääntyneen väestön toimintakyvyn tukemisesta sekä iäkkäiden sosiaali- ja terveyspalveluista annetun lain m</w:t>
      </w:r>
      <w:r>
        <w:t>uuttamisesta annetun lain (</w:t>
      </w:r>
      <w:r w:rsidR="002E1551">
        <w:t>233</w:t>
      </w:r>
      <w:r w:rsidRPr="00216DA3">
        <w:t>/202</w:t>
      </w:r>
      <w:r w:rsidR="002E1551">
        <w:t>3</w:t>
      </w:r>
      <w:r>
        <w:t>)</w:t>
      </w:r>
      <w:r w:rsidRPr="00805B4C">
        <w:t xml:space="preserve"> voimaantulosäännöksen 4 momentti</w:t>
      </w:r>
      <w:r w:rsidR="00CA790A">
        <w:t>,</w:t>
      </w:r>
      <w:r w:rsidRPr="00805B4C">
        <w:t xml:space="preserve"> </w:t>
      </w:r>
      <w:r w:rsidR="00CA790A" w:rsidRPr="00CA790A">
        <w:t>sellaisena kuin se on laissa 223/2023</w:t>
      </w:r>
      <w:r w:rsidR="00CA790A">
        <w:t xml:space="preserve">, </w:t>
      </w:r>
      <w:r w:rsidRPr="00805B4C">
        <w:t>seuraavasti:</w:t>
      </w:r>
    </w:p>
    <w:p w14:paraId="47F2F4F0" w14:textId="77777777"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14:paraId="49BA26E9" w14:textId="77777777" w:rsidTr="00C059CE">
        <w:trPr>
          <w:tblHeader/>
        </w:trPr>
        <w:tc>
          <w:tcPr>
            <w:tcW w:w="4243" w:type="dxa"/>
            <w:shd w:val="clear" w:color="auto" w:fill="auto"/>
          </w:tcPr>
          <w:p w14:paraId="4EAB849C" w14:textId="77777777" w:rsidR="0013779E" w:rsidRPr="0013779E" w:rsidRDefault="00477C2A" w:rsidP="002A0B5D">
            <w:pPr>
              <w:rPr>
                <w:rFonts w:eastAsia="Times New Roman"/>
                <w:szCs w:val="24"/>
                <w:lang w:eastAsia="fi-FI"/>
              </w:rPr>
            </w:pPr>
            <w:r>
              <w:rPr>
                <w:i/>
                <w:lang w:eastAsia="fi-FI"/>
              </w:rPr>
              <w:t>V</w:t>
            </w:r>
            <w:r w:rsidR="002E1551">
              <w:rPr>
                <w:i/>
                <w:lang w:eastAsia="fi-FI"/>
              </w:rPr>
              <w:t xml:space="preserve">oimassa oleva laki </w:t>
            </w:r>
          </w:p>
        </w:tc>
        <w:tc>
          <w:tcPr>
            <w:tcW w:w="4243" w:type="dxa"/>
            <w:shd w:val="clear" w:color="auto" w:fill="auto"/>
          </w:tcPr>
          <w:p w14:paraId="250B4451" w14:textId="77777777" w:rsidR="008A3DB3" w:rsidRDefault="008A3DB3" w:rsidP="002A0B5D">
            <w:pPr>
              <w:rPr>
                <w:i/>
                <w:lang w:eastAsia="fi-FI"/>
              </w:rPr>
            </w:pPr>
            <w:r w:rsidRPr="00CB7AA5">
              <w:rPr>
                <w:i/>
                <w:lang w:eastAsia="fi-FI"/>
              </w:rPr>
              <w:t>Ehdotus</w:t>
            </w:r>
          </w:p>
          <w:p w14:paraId="3C48A3A1" w14:textId="77777777" w:rsidR="0013779E" w:rsidRPr="0013779E" w:rsidRDefault="0013779E" w:rsidP="002A0B5D">
            <w:pPr>
              <w:rPr>
                <w:lang w:eastAsia="fi-FI"/>
              </w:rPr>
            </w:pPr>
          </w:p>
        </w:tc>
      </w:tr>
      <w:tr w:rsidR="002D62BF" w:rsidRPr="000A334A" w14:paraId="5E582B27" w14:textId="77777777" w:rsidTr="00C059CE">
        <w:tc>
          <w:tcPr>
            <w:tcW w:w="4243" w:type="dxa"/>
            <w:shd w:val="clear" w:color="auto" w:fill="auto"/>
          </w:tcPr>
          <w:p w14:paraId="0573A72B" w14:textId="77777777" w:rsidR="00656C8A" w:rsidRPr="00CA790A" w:rsidRDefault="00656C8A" w:rsidP="00656C8A">
            <w:pPr>
              <w:pStyle w:val="LLKappalejako"/>
            </w:pPr>
            <w:r w:rsidRPr="00CA790A">
              <w:t xml:space="preserve">Tämä laki tulee voimaan 1 päivänä tammikuuta 2023. </w:t>
            </w:r>
          </w:p>
          <w:p w14:paraId="40E0CD06" w14:textId="77777777" w:rsidR="00656C8A" w:rsidRPr="00CA790A" w:rsidRDefault="00656C8A" w:rsidP="00656C8A">
            <w:pPr>
              <w:pStyle w:val="LLKappalejako"/>
            </w:pPr>
            <w:r w:rsidRPr="00CA790A">
              <w:t xml:space="preserve">Lain 3 a §:n 1 momentti, 14 §:n 1 momentti sekä 14 a ja 15 b § tulevat kuitenkin voimaan vasta 1 päivänä tammikuuta 2028. </w:t>
            </w:r>
          </w:p>
          <w:p w14:paraId="0B26460F" w14:textId="77777777" w:rsidR="00656C8A" w:rsidRPr="00CA790A" w:rsidRDefault="00656C8A" w:rsidP="00656C8A">
            <w:pPr>
              <w:pStyle w:val="LLKappalejako"/>
            </w:pPr>
            <w:r w:rsidRPr="00CA790A">
              <w:t xml:space="preserve">Sen estämättä, mitä 3 a §:n 1 momentin 11 kohdassa säädetään, henkilöön, joka toimii kotiavustajana tai hoitoapulaisena tämän lain voimaan tullessa, sovelletaan tämän lain voimaan tullessa voimassa olleita säännöksiä. </w:t>
            </w:r>
          </w:p>
          <w:p w14:paraId="565A6FFC" w14:textId="484C31EF" w:rsidR="00325E50" w:rsidRPr="00CA790A" w:rsidRDefault="00656C8A" w:rsidP="00F456E8">
            <w:pPr>
              <w:pStyle w:val="LLKappalejako"/>
            </w:pPr>
            <w:r w:rsidRPr="00CA790A">
              <w:t xml:space="preserve">Lain 20 §:n 2 momentissa säädettyä henkilöstömitoitusta sovelletaan 1 päivästä </w:t>
            </w:r>
            <w:r w:rsidR="00A459FB" w:rsidRPr="00CA790A">
              <w:t>joulu</w:t>
            </w:r>
            <w:r w:rsidRPr="00CA790A">
              <w:t>kuuta 2023. Sitä ennen henkilöstömitoituksen on oltava vähintään 0,6 työntekijää asiakasta kohti</w:t>
            </w:r>
            <w:r w:rsidR="00953413">
              <w:t xml:space="preserve"> </w:t>
            </w:r>
            <w:r w:rsidR="00953413" w:rsidRPr="00B8705C">
              <w:rPr>
                <w:color w:val="444444"/>
                <w:szCs w:val="22"/>
                <w:shd w:val="clear" w:color="auto" w:fill="FFFFFF"/>
              </w:rPr>
              <w:t>ja 1 päivästä huhtikuuta 2023 vähintään 0,65 työntekijää asiakasta kohti.</w:t>
            </w:r>
            <w:r w:rsidRPr="00CA790A">
              <w:t xml:space="preserve"> </w:t>
            </w:r>
          </w:p>
          <w:p w14:paraId="6686FBC6" w14:textId="77777777" w:rsidR="00656C8A" w:rsidRPr="00CA790A" w:rsidRDefault="00656C8A" w:rsidP="00656C8A">
            <w:pPr>
              <w:pStyle w:val="LLKappalejako"/>
            </w:pPr>
            <w:r w:rsidRPr="00CA790A">
              <w:t xml:space="preserve">Lain 20 §:n 2 momenttia sovelletaan pitkäaikaisen laitoshoidon toimintayksiköihin 31 päivään joulukuuta 2027. </w:t>
            </w:r>
          </w:p>
          <w:p w14:paraId="6375C3FA" w14:textId="77777777" w:rsidR="00656C8A" w:rsidRPr="00CA790A" w:rsidRDefault="00656C8A" w:rsidP="00656C8A">
            <w:pPr>
              <w:pStyle w:val="LLKappalejako"/>
            </w:pPr>
            <w:r w:rsidRPr="00CA790A">
              <w:t>Lain 24 a §:n 2 momentissa tarkoitettu asiakaskysely toteutetaan ensimmäisen kerran vuonna 2024.</w:t>
            </w:r>
          </w:p>
        </w:tc>
        <w:tc>
          <w:tcPr>
            <w:tcW w:w="4243" w:type="dxa"/>
            <w:shd w:val="clear" w:color="auto" w:fill="auto"/>
          </w:tcPr>
          <w:p w14:paraId="37EC40FC" w14:textId="77777777" w:rsidR="00656C8A" w:rsidRPr="00CA790A" w:rsidRDefault="00656C8A" w:rsidP="00656C8A">
            <w:pPr>
              <w:pStyle w:val="LLKappalejako"/>
            </w:pPr>
            <w:r w:rsidRPr="00CA790A">
              <w:t>Tämä laki tulee voimaan 1 päivänä tammikuuta 2023.</w:t>
            </w:r>
          </w:p>
          <w:p w14:paraId="7D85E45A" w14:textId="77777777" w:rsidR="00656C8A" w:rsidRPr="00CA790A" w:rsidRDefault="00656C8A" w:rsidP="00656C8A">
            <w:pPr>
              <w:pStyle w:val="LLKappalejako"/>
            </w:pPr>
            <w:r w:rsidRPr="00CA790A">
              <w:t xml:space="preserve">Lain 3 a §:n 1 momentti, 14 §:n 1 momentti sekä 14 a ja 15 b § tulevat kuitenkin voimaan vasta 1 päivänä tammikuuta 2028. </w:t>
            </w:r>
          </w:p>
          <w:p w14:paraId="1496449D" w14:textId="77777777" w:rsidR="00656C8A" w:rsidRPr="00CA790A" w:rsidRDefault="00656C8A" w:rsidP="00656C8A">
            <w:pPr>
              <w:pStyle w:val="LLKappalejako"/>
            </w:pPr>
            <w:r w:rsidRPr="00CA790A">
              <w:t xml:space="preserve">Sen estämättä, mitä 3 a §:n 1 momentin 11 kohdassa säädetään, henkilöön, joka toimii kotiavustajana tai hoitoapulaisena tämän lain voimaan tullessa, sovelletaan tämän lain voimaan tullessa voimassa olleita säännöksiä. </w:t>
            </w:r>
          </w:p>
          <w:p w14:paraId="63D2EE82" w14:textId="3151FB72" w:rsidR="003501F6" w:rsidRPr="00B8705C" w:rsidRDefault="003501F6" w:rsidP="003501F6">
            <w:pPr>
              <w:pStyle w:val="LLKappalejako"/>
            </w:pPr>
            <w:r w:rsidRPr="00CA790A">
              <w:t xml:space="preserve">Lain 20 §:n 2 momentissa säädettyä henkilöstömitoitusta sovelletaan 1 </w:t>
            </w:r>
            <w:r w:rsidRPr="00B8705C">
              <w:t>päivästä</w:t>
            </w:r>
            <w:r w:rsidR="00477C2A" w:rsidRPr="00B8705C">
              <w:t xml:space="preserve"> </w:t>
            </w:r>
            <w:r w:rsidR="00477C2A" w:rsidRPr="00B8705C">
              <w:rPr>
                <w:i/>
              </w:rPr>
              <w:t xml:space="preserve">tammikuuta </w:t>
            </w:r>
            <w:r w:rsidRPr="00B8705C">
              <w:rPr>
                <w:i/>
              </w:rPr>
              <w:t>202</w:t>
            </w:r>
            <w:r w:rsidR="00B50F1A" w:rsidRPr="00B8705C">
              <w:rPr>
                <w:i/>
              </w:rPr>
              <w:t>8</w:t>
            </w:r>
            <w:r w:rsidR="0017119D">
              <w:rPr>
                <w:i/>
              </w:rPr>
              <w:t>.</w:t>
            </w:r>
            <w:r w:rsidRPr="00B8705C">
              <w:t xml:space="preserve"> Sitä ennen henkilöstömitoituksen on oltava vähintään 0,6</w:t>
            </w:r>
            <w:r w:rsidR="00B50F1A" w:rsidRPr="00B8705C">
              <w:t>5</w:t>
            </w:r>
            <w:r w:rsidRPr="00B8705C">
              <w:t xml:space="preserve"> työntekijää asiakasta</w:t>
            </w:r>
            <w:r w:rsidR="00477C2A" w:rsidRPr="00B8705C">
              <w:t xml:space="preserve"> kohti.</w:t>
            </w:r>
          </w:p>
          <w:p w14:paraId="2E14E943" w14:textId="77777777" w:rsidR="00656C8A" w:rsidRPr="00CA790A" w:rsidRDefault="00656C8A" w:rsidP="00656C8A">
            <w:pPr>
              <w:pStyle w:val="LLKappalejako"/>
            </w:pPr>
            <w:r w:rsidRPr="00CA790A">
              <w:t xml:space="preserve">Lain 20 §:n 2 momenttia sovelletaan pitkäaikaisen laitoshoidon toimintayksiköihin 31 päivään joulukuuta 2027. </w:t>
            </w:r>
          </w:p>
          <w:p w14:paraId="734588BA" w14:textId="77777777" w:rsidR="00656C8A" w:rsidRPr="00CA790A" w:rsidRDefault="00656C8A" w:rsidP="00656C8A">
            <w:pPr>
              <w:pStyle w:val="LLKappalejako"/>
            </w:pPr>
            <w:r w:rsidRPr="00CA790A">
              <w:t>Lain 24 a §:n 2 momentissa tarkoitettu asiakaskysely toteutetaan ensimmäisen kerran vuonna 2024.</w:t>
            </w:r>
          </w:p>
          <w:p w14:paraId="4D9B3C29" w14:textId="77777777" w:rsidR="00656C8A" w:rsidRPr="00CA790A" w:rsidRDefault="00656C8A" w:rsidP="00656C8A">
            <w:pPr>
              <w:pStyle w:val="LLKappalejako"/>
            </w:pPr>
          </w:p>
          <w:p w14:paraId="575FBCA5" w14:textId="77777777" w:rsidR="00656C8A" w:rsidRPr="00CA790A" w:rsidRDefault="00656C8A" w:rsidP="00656C8A">
            <w:pPr>
              <w:pStyle w:val="LLNormaali"/>
              <w:jc w:val="center"/>
            </w:pPr>
            <w:r w:rsidRPr="00CA790A">
              <w:t>———</w:t>
            </w:r>
          </w:p>
          <w:p w14:paraId="0ED4F849" w14:textId="77777777" w:rsidR="002D62BF" w:rsidRPr="00CA790A" w:rsidRDefault="00B20FDD" w:rsidP="00656C8A">
            <w:pPr>
              <w:pStyle w:val="LLPykala"/>
              <w:rPr>
                <w:i/>
              </w:rPr>
            </w:pPr>
            <w:r w:rsidRPr="00CA790A">
              <w:rPr>
                <w:i/>
              </w:rPr>
              <w:t xml:space="preserve">Tämä laki tulee voimaan </w:t>
            </w:r>
            <w:r w:rsidR="00656C8A" w:rsidRPr="00CA790A">
              <w:rPr>
                <w:i/>
              </w:rPr>
              <w:t>päivänä  kuuta 20  .</w:t>
            </w:r>
          </w:p>
          <w:p w14:paraId="1B45C30B" w14:textId="77777777" w:rsidR="00656C8A" w:rsidRPr="00CA790A" w:rsidRDefault="003501F6" w:rsidP="003501F6">
            <w:pPr>
              <w:pStyle w:val="LLNormaali"/>
              <w:jc w:val="center"/>
            </w:pPr>
            <w:r w:rsidRPr="00CA790A">
              <w:t>—————</w:t>
            </w:r>
          </w:p>
        </w:tc>
      </w:tr>
    </w:tbl>
    <w:p w14:paraId="777C4CCF" w14:textId="52F547D1" w:rsidR="00247DAA" w:rsidRDefault="00247DAA" w:rsidP="00247DAA">
      <w:pPr>
        <w:pStyle w:val="LLNormaali"/>
      </w:pPr>
    </w:p>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794E0" w14:textId="77777777" w:rsidR="00286053" w:rsidRDefault="00286053">
      <w:r>
        <w:separator/>
      </w:r>
    </w:p>
  </w:endnote>
  <w:endnote w:type="continuationSeparator" w:id="0">
    <w:p w14:paraId="105AA020" w14:textId="77777777" w:rsidR="00286053" w:rsidRDefault="00286053">
      <w:r>
        <w:continuationSeparator/>
      </w:r>
    </w:p>
  </w:endnote>
  <w:endnote w:type="continuationNotice" w:id="1">
    <w:p w14:paraId="2A50C5D1" w14:textId="77777777" w:rsidR="00286053" w:rsidRDefault="002860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7E68" w14:textId="77777777" w:rsidR="00286053" w:rsidRDefault="00286053"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0B931B19" w14:textId="77777777" w:rsidR="00286053" w:rsidRDefault="0028605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86" w:type="dxa"/>
      <w:tblBorders>
        <w:insideH w:val="single" w:sz="4" w:space="0" w:color="auto"/>
      </w:tblBorders>
      <w:tblLayout w:type="fixed"/>
      <w:tblLook w:val="01E0" w:firstRow="1" w:lastRow="1" w:firstColumn="1" w:lastColumn="1" w:noHBand="0" w:noVBand="0"/>
    </w:tblPr>
    <w:tblGrid>
      <w:gridCol w:w="2828"/>
      <w:gridCol w:w="2829"/>
      <w:gridCol w:w="2829"/>
    </w:tblGrid>
    <w:tr w:rsidR="00286053" w14:paraId="63AED852" w14:textId="77777777" w:rsidTr="00305851">
      <w:trPr>
        <w:trHeight w:hRule="exact" w:val="356"/>
      </w:trPr>
      <w:tc>
        <w:tcPr>
          <w:tcW w:w="2828" w:type="dxa"/>
          <w:shd w:val="clear" w:color="auto" w:fill="auto"/>
          <w:vAlign w:val="bottom"/>
        </w:tcPr>
        <w:p w14:paraId="3A429C6B" w14:textId="77777777" w:rsidR="00286053" w:rsidRPr="000C5020" w:rsidRDefault="00286053" w:rsidP="001310B9">
          <w:pPr>
            <w:pStyle w:val="Alatunniste"/>
            <w:rPr>
              <w:sz w:val="18"/>
              <w:szCs w:val="18"/>
            </w:rPr>
          </w:pPr>
        </w:p>
      </w:tc>
      <w:tc>
        <w:tcPr>
          <w:tcW w:w="2829" w:type="dxa"/>
          <w:shd w:val="clear" w:color="auto" w:fill="auto"/>
          <w:vAlign w:val="bottom"/>
        </w:tcPr>
        <w:p w14:paraId="287797EE" w14:textId="2173B8BB" w:rsidR="00286053" w:rsidRPr="000C5020" w:rsidRDefault="00286053"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AF7BD0">
            <w:rPr>
              <w:rStyle w:val="Sivunumero"/>
              <w:noProof/>
              <w:sz w:val="22"/>
            </w:rPr>
            <w:t>2</w:t>
          </w:r>
          <w:r w:rsidRPr="000C5020">
            <w:rPr>
              <w:rStyle w:val="Sivunumero"/>
              <w:sz w:val="22"/>
            </w:rPr>
            <w:fldChar w:fldCharType="end"/>
          </w:r>
        </w:p>
      </w:tc>
      <w:tc>
        <w:tcPr>
          <w:tcW w:w="2829" w:type="dxa"/>
          <w:shd w:val="clear" w:color="auto" w:fill="auto"/>
          <w:vAlign w:val="bottom"/>
        </w:tcPr>
        <w:p w14:paraId="0F0C3DE3" w14:textId="77777777" w:rsidR="00286053" w:rsidRPr="000C5020" w:rsidRDefault="00286053" w:rsidP="001310B9">
          <w:pPr>
            <w:pStyle w:val="Alatunniste"/>
            <w:rPr>
              <w:sz w:val="18"/>
              <w:szCs w:val="18"/>
            </w:rPr>
          </w:pPr>
        </w:p>
      </w:tc>
    </w:tr>
  </w:tbl>
  <w:p w14:paraId="45ADBE18" w14:textId="77777777" w:rsidR="00286053" w:rsidRDefault="00286053"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286053" w14:paraId="3ACD9E14" w14:textId="77777777" w:rsidTr="000C5020">
      <w:trPr>
        <w:trHeight w:val="841"/>
      </w:trPr>
      <w:tc>
        <w:tcPr>
          <w:tcW w:w="2829" w:type="dxa"/>
          <w:shd w:val="clear" w:color="auto" w:fill="auto"/>
        </w:tcPr>
        <w:p w14:paraId="547852A3" w14:textId="77777777" w:rsidR="00286053" w:rsidRPr="000C5020" w:rsidRDefault="00286053" w:rsidP="005224A0">
          <w:pPr>
            <w:pStyle w:val="Alatunniste"/>
            <w:rPr>
              <w:sz w:val="17"/>
              <w:szCs w:val="18"/>
            </w:rPr>
          </w:pPr>
        </w:p>
      </w:tc>
      <w:tc>
        <w:tcPr>
          <w:tcW w:w="2829" w:type="dxa"/>
          <w:shd w:val="clear" w:color="auto" w:fill="auto"/>
          <w:vAlign w:val="bottom"/>
        </w:tcPr>
        <w:p w14:paraId="2707236A" w14:textId="77777777" w:rsidR="00286053" w:rsidRPr="000C5020" w:rsidRDefault="00286053" w:rsidP="000C5020">
          <w:pPr>
            <w:pStyle w:val="Alatunniste"/>
            <w:jc w:val="center"/>
            <w:rPr>
              <w:sz w:val="22"/>
              <w:szCs w:val="22"/>
            </w:rPr>
          </w:pPr>
        </w:p>
      </w:tc>
      <w:tc>
        <w:tcPr>
          <w:tcW w:w="2829" w:type="dxa"/>
          <w:shd w:val="clear" w:color="auto" w:fill="auto"/>
        </w:tcPr>
        <w:p w14:paraId="57E65812" w14:textId="77777777" w:rsidR="00286053" w:rsidRPr="000C5020" w:rsidRDefault="00286053" w:rsidP="005224A0">
          <w:pPr>
            <w:pStyle w:val="Alatunniste"/>
            <w:rPr>
              <w:sz w:val="17"/>
              <w:szCs w:val="18"/>
            </w:rPr>
          </w:pPr>
        </w:p>
      </w:tc>
    </w:tr>
  </w:tbl>
  <w:p w14:paraId="7D36428C" w14:textId="77777777" w:rsidR="00286053" w:rsidRPr="001310B9" w:rsidRDefault="00286053">
    <w:pPr>
      <w:pStyle w:val="Alatunniste"/>
      <w:rPr>
        <w:sz w:val="22"/>
        <w:szCs w:val="22"/>
      </w:rPr>
    </w:pPr>
  </w:p>
  <w:p w14:paraId="25A3FA89" w14:textId="77777777" w:rsidR="00286053" w:rsidRDefault="0028605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56A9A" w14:textId="77777777" w:rsidR="00286053" w:rsidRDefault="00286053">
      <w:r>
        <w:separator/>
      </w:r>
    </w:p>
  </w:footnote>
  <w:footnote w:type="continuationSeparator" w:id="0">
    <w:p w14:paraId="6B9075A7" w14:textId="77777777" w:rsidR="00286053" w:rsidRDefault="00286053">
      <w:r>
        <w:continuationSeparator/>
      </w:r>
    </w:p>
  </w:footnote>
  <w:footnote w:type="continuationNotice" w:id="1">
    <w:p w14:paraId="7E961709" w14:textId="77777777" w:rsidR="00286053" w:rsidRDefault="00286053">
      <w:pPr>
        <w:spacing w:line="240" w:lineRule="auto"/>
      </w:pPr>
    </w:p>
  </w:footnote>
  <w:footnote w:id="2">
    <w:p w14:paraId="56C863B7" w14:textId="77777777" w:rsidR="00286053" w:rsidRDefault="00286053">
      <w:pPr>
        <w:pStyle w:val="Alaviitteenteksti"/>
      </w:pPr>
      <w:r>
        <w:rPr>
          <w:rStyle w:val="Alaviitteenviite"/>
        </w:rPr>
        <w:footnoteRef/>
      </w:r>
      <w:r>
        <w:t xml:space="preserve"> </w:t>
      </w:r>
      <w:r w:rsidRPr="00783860">
        <w:t>https://www.ttl.fi/tyoelaman-suunta/politiikkasuositukset/politiikkasuositus-vanhustyon-eettinen-kuormitus-vahenee-panostamalla-tyohyvinvointiin</w:t>
      </w:r>
    </w:p>
  </w:footnote>
  <w:footnote w:id="3">
    <w:p w14:paraId="60A63AB2" w14:textId="77777777" w:rsidR="00286053" w:rsidRDefault="00286053" w:rsidP="007456D0">
      <w:pPr>
        <w:pStyle w:val="Alaviitteenteksti"/>
      </w:pPr>
      <w:r>
        <w:rPr>
          <w:rStyle w:val="Alaviitteenviite"/>
        </w:rPr>
        <w:footnoteRef/>
      </w:r>
      <w:r>
        <w:t xml:space="preserve"> Hyvinvointialueiden hintaindeksistä</w:t>
      </w:r>
      <w:r w:rsidRPr="00464E05">
        <w:t xml:space="preserve"> säädetään laissa hyvinvointialueiden rahoituksesta 617/2021 (8 §). Hyvinvointialueiden hintaindeksiä laskettaessa yleisen ansiotasoindeksin painokerroin on 0,60, kuluttajahintaindeksin 0,30 ja hyvinvointialuetyönantajan sosiaaliturvamaksujen vuotuisen muutoksen 0,10. Kustannustason muutosta laskettaessa otetaan huomioon</w:t>
      </w:r>
      <w:r>
        <w:t xml:space="preserve"> myös</w:t>
      </w:r>
      <w:r w:rsidRPr="00464E05">
        <w:t xml:space="preserve"> hyvinvointialueiden edellisen vuoden laskennalliset kustannukset, palvelutarpeen muutos sekä toteutuneiden kustannusten jälkikäteinen tarkistus</w:t>
      </w:r>
      <w:r>
        <w:t>.</w:t>
      </w:r>
    </w:p>
  </w:footnote>
  <w:footnote w:id="4">
    <w:p w14:paraId="6426A8FC" w14:textId="77777777" w:rsidR="00286053" w:rsidRDefault="00286053" w:rsidP="007456D0">
      <w:pPr>
        <w:pStyle w:val="Alaviitteenteksti"/>
      </w:pPr>
      <w:r>
        <w:rPr>
          <w:rStyle w:val="Alaviitteenviite"/>
        </w:rPr>
        <w:footnoteRef/>
      </w:r>
      <w:r>
        <w:t xml:space="preserve"> </w:t>
      </w:r>
      <w:r w:rsidRPr="002935AF">
        <w:t xml:space="preserve">Esimerkiksi 0,68 mitoituksen toteuttaneen toimintayksikön lisähenkilöstötarve = laskennallinen lisätyöpanos, jota tarvitaan nostamaan mitoitusta 0,02:lla. Lisätarve lasketaan välittömästä </w:t>
      </w:r>
      <w:r>
        <w:t>asiakas</w:t>
      </w:r>
      <w:r w:rsidRPr="002935AF">
        <w:t xml:space="preserve">työstä ja pyöristetään yksikkötasolla seuraavaan 0,5 laskennalliseen henkilöön. Kun yksiköiden pyöristetyt lisätarpeet summataan yhteen, saadaan välittömän </w:t>
      </w:r>
      <w:r>
        <w:t>asiakas</w:t>
      </w:r>
      <w:r w:rsidRPr="002935AF">
        <w:t>työn kokonaislisäystarve kaikille mitoituksen alittaville yksiköille</w:t>
      </w:r>
      <w:r>
        <w:t>.</w:t>
      </w:r>
      <w:r w:rsidRPr="002935AF">
        <w:t xml:space="preserve"> </w:t>
      </w:r>
    </w:p>
  </w:footnote>
  <w:footnote w:id="5">
    <w:p w14:paraId="3A2DC216" w14:textId="77777777" w:rsidR="00286053" w:rsidRDefault="00286053" w:rsidP="007456D0">
      <w:pPr>
        <w:pStyle w:val="Alaviitteenteksti"/>
      </w:pPr>
      <w:r>
        <w:rPr>
          <w:rStyle w:val="Alaviitteenviite"/>
        </w:rPr>
        <w:footnoteRef/>
      </w:r>
      <w:r>
        <w:t xml:space="preserve"> Myös alkuperäisessä laskelmassa kustannukset laskettiin erikseen julkisen ja yksityisen sektorin osalta. On kuitenkin mahdollista, että kovassa kilpailutilanteessa palkat eri sektoreilla tasaantuisivat.</w:t>
      </w:r>
    </w:p>
  </w:footnote>
  <w:footnote w:id="6">
    <w:p w14:paraId="087B871C" w14:textId="77777777" w:rsidR="00286053" w:rsidRPr="003B7D80" w:rsidRDefault="00286053" w:rsidP="007456D0">
      <w:pPr>
        <w:pStyle w:val="Alaviitteenteksti"/>
      </w:pPr>
      <w:r w:rsidRPr="003B7D80">
        <w:rPr>
          <w:rStyle w:val="Alaviitteenviite"/>
        </w:rPr>
        <w:footnoteRef/>
      </w:r>
      <w:r w:rsidRPr="003B7D80">
        <w:t xml:space="preserve"> Julkisen sektorin ammattikohtaiset palkat syksyltä 2021 perustuvat Tilastokeskuksen Kuntasektorin palkkatilastoon. Laskentaan tarvittavat tiedot (ml. tiedot sivukuluista ja sopimuskorotuksista) on saatu KT:lta. Tiedot koskevat toimialoja Ikääntyneiden hoitolaitokset ja Ikääntyneiden palveluasuminen (koodit 87101 ja 87301). </w:t>
      </w:r>
      <w:r>
        <w:t xml:space="preserve">Yksityisen sektorin palkkatiedot vuodelta 2021 on saatu </w:t>
      </w:r>
      <w:r w:rsidRPr="00AD2591">
        <w:t>Hyvinvointiala HALI ry</w:t>
      </w:r>
      <w:r>
        <w:t xml:space="preserve">:ltä (koskevat koko sosiaalialaa). Tilastokeskus julkaisee kuntien palkkatiedot vuodelta 2022 syyskuussa 2023. </w:t>
      </w:r>
    </w:p>
  </w:footnote>
  <w:footnote w:id="7">
    <w:p w14:paraId="05FAEABB" w14:textId="77777777" w:rsidR="00286053" w:rsidRPr="001704EF" w:rsidRDefault="00286053" w:rsidP="007456D0">
      <w:pPr>
        <w:pStyle w:val="Alaviitteenteksti"/>
      </w:pPr>
      <w:r>
        <w:rPr>
          <w:rStyle w:val="Alaviitteenviite"/>
        </w:rPr>
        <w:footnoteRef/>
      </w:r>
      <w:r>
        <w:t xml:space="preserve"> Peruspalvelujen hintaindeksi on julkaistu </w:t>
      </w:r>
      <w:r w:rsidRPr="001704EF">
        <w:t>Kuntatalousohjelma</w:t>
      </w:r>
      <w:r>
        <w:t>ssa (</w:t>
      </w:r>
      <w:hyperlink r:id="rId1" w:history="1">
        <w:r w:rsidRPr="005B5155">
          <w:rPr>
            <w:rStyle w:val="Hyperlinkki"/>
          </w:rPr>
          <w:t>https://julkaisut.valtioneuvosto.fi/bitstream/handle/10024/164342/VM_2022_57.pdf?sequence=11&amp;isAllowed=y</w:t>
        </w:r>
      </w:hyperlink>
      <w:r>
        <w:t xml:space="preserve">) ja hyvinvointialueiden hintaindeksi 2022-2023 </w:t>
      </w:r>
      <w:r w:rsidRPr="001704EF">
        <w:t>v</w:t>
      </w:r>
      <w:r>
        <w:t>uoden</w:t>
      </w:r>
      <w:r w:rsidRPr="001704EF">
        <w:t xml:space="preserve"> 2023 talousarvioesity</w:t>
      </w:r>
      <w:r>
        <w:t>ksessä (</w:t>
      </w:r>
      <w:hyperlink r:id="rId2" w:history="1">
        <w:r w:rsidRPr="005B5155">
          <w:rPr>
            <w:rStyle w:val="Hyperlinkki"/>
          </w:rPr>
          <w:t>https://budjetti.vm.fi/indox/sisalto.jsp?year=2023&amp;lang=fi&amp;maindoc=/2023/tae/hallituksenEsitys/hallituksenEsitys.xml&amp;opennode=0:1:3:79:81</w:t>
        </w:r>
      </w:hyperlink>
      <w:r w:rsidRPr="001704EF">
        <w:t>:</w:t>
      </w:r>
      <w:r>
        <w:t xml:space="preserve">). Indeksi 2023-2024 on saatu valtiovarainministeriöstä. Se on vielä alustava ja perustuu kesäkuun 2023 tilanteeseen. </w:t>
      </w:r>
    </w:p>
    <w:p w14:paraId="060BCC32" w14:textId="77777777" w:rsidR="00286053" w:rsidRPr="001704EF" w:rsidRDefault="00286053" w:rsidP="007456D0">
      <w:pPr>
        <w:pStyle w:val="Alaviitteenteksti"/>
      </w:pPr>
    </w:p>
  </w:footnote>
  <w:footnote w:id="8">
    <w:p w14:paraId="0DA55FDA" w14:textId="77777777" w:rsidR="00286053" w:rsidRPr="002F4AD5" w:rsidRDefault="00286053" w:rsidP="007456D0">
      <w:pPr>
        <w:pStyle w:val="Alaviitteenteksti"/>
      </w:pPr>
      <w:r w:rsidRPr="00A97BD8">
        <w:rPr>
          <w:rStyle w:val="Alaviitteenviite"/>
        </w:rPr>
        <w:footnoteRef/>
      </w:r>
      <w:r w:rsidRPr="00A97BD8">
        <w:t xml:space="preserve"> THL on RAI-tietojen perusteella sekä ottaen huomioon yhteisöllisen asumisen lisärakentamiseen tarvittava</w:t>
      </w:r>
      <w:r>
        <w:t>n</w:t>
      </w:r>
      <w:r w:rsidRPr="00A97BD8">
        <w:t xml:space="preserve"> a</w:t>
      </w:r>
      <w:r>
        <w:t>jan</w:t>
      </w:r>
      <w:r w:rsidRPr="00A97BD8">
        <w:t xml:space="preserve"> arvioinut, että lähivuosina 12 prosenttia ympärivuorokautisen palveluasumisen ja 5 prosenttia kotihoidon asiakkaista voisi sijoittuakin yhteisölliseen asumiseen. Taulukon jälkimmäisessä osassa esitetyt henkilöstömäärät perustuvat siten paitsi oletettuun asiakasmäärien kehitykseen tulevina vuosina, myös em. siirtymään palveluiden välillä.</w:t>
      </w:r>
    </w:p>
  </w:footnote>
  <w:footnote w:id="9">
    <w:p w14:paraId="1C5ADED4" w14:textId="77777777" w:rsidR="00286053" w:rsidRPr="002F4AD5" w:rsidRDefault="00286053" w:rsidP="007456D0">
      <w:pPr>
        <w:pStyle w:val="Alaviitteenteksti"/>
      </w:pPr>
      <w:r>
        <w:rPr>
          <w:rStyle w:val="Alaviitteenviite"/>
        </w:rPr>
        <w:footnoteRef/>
      </w:r>
      <w:r w:rsidRPr="002F4AD5">
        <w:t xml:space="preserve"> https://thl.fi/fi/tutkimus-ja-kehittaminen/tutkimukset-ja-hankkeet/rai-arviointivalineiston-kansallisen-kayton-toimeenpanon-tuki</w:t>
      </w:r>
    </w:p>
  </w:footnote>
  <w:footnote w:id="10">
    <w:p w14:paraId="65231A12" w14:textId="77777777" w:rsidR="00286053" w:rsidRPr="002424CD" w:rsidRDefault="00286053" w:rsidP="007456D0">
      <w:pPr>
        <w:pStyle w:val="Alaviitteenteksti"/>
      </w:pPr>
      <w:r>
        <w:rPr>
          <w:rStyle w:val="Alaviitteenviite"/>
        </w:rPr>
        <w:footnoteRef/>
      </w:r>
      <w:r w:rsidRPr="002424CD">
        <w:t xml:space="preserve"> HE 4/2020 ja HE 231/2021.</w:t>
      </w:r>
    </w:p>
  </w:footnote>
  <w:footnote w:id="11">
    <w:p w14:paraId="0EAC0114" w14:textId="77777777" w:rsidR="00286053" w:rsidRDefault="00286053" w:rsidP="007456D0">
      <w:pPr>
        <w:pStyle w:val="Alaviitteenteksti"/>
      </w:pPr>
      <w:r>
        <w:rPr>
          <w:rStyle w:val="Alaviitteenviite"/>
        </w:rPr>
        <w:footnoteRef/>
      </w:r>
      <w:r>
        <w:t xml:space="preserve"> </w:t>
      </w:r>
      <w:r w:rsidRPr="003B7D80">
        <w:t>https://www.keva.fi/uutiset-ja-artikkelit/kuntien-tyovoimaennuste-2030-hoitajissa-sosiaalityontekijoissa-ja-lastentarhanopettajissa-suurin-osaa-japula-nyt-ja-tulevaisuudessa/.</w:t>
      </w:r>
    </w:p>
  </w:footnote>
  <w:footnote w:id="12">
    <w:p w14:paraId="77B21C40" w14:textId="77777777" w:rsidR="00286053" w:rsidRDefault="00286053" w:rsidP="007456D0">
      <w:pPr>
        <w:pStyle w:val="Alaviitteenteksti"/>
      </w:pPr>
      <w:r>
        <w:rPr>
          <w:rStyle w:val="Alaviitteenviite"/>
        </w:rPr>
        <w:footnoteRef/>
      </w:r>
      <w:r>
        <w:t xml:space="preserve"> </w:t>
      </w:r>
      <w:r w:rsidRPr="003B7D80">
        <w:t>https://www.kt.fi/uutiset-ja-tiedotteet/2020/sote-alan-henkiloston-alanvaihto-vahaista</w:t>
      </w:r>
    </w:p>
  </w:footnote>
  <w:footnote w:id="13">
    <w:p w14:paraId="06F2C81A" w14:textId="77777777" w:rsidR="00286053" w:rsidRDefault="00286053" w:rsidP="007456D0">
      <w:pPr>
        <w:pStyle w:val="Alaviitteenteksti"/>
      </w:pPr>
      <w:r>
        <w:rPr>
          <w:rStyle w:val="Alaviitteenviite"/>
        </w:rPr>
        <w:footnoteRef/>
      </w:r>
      <w:r>
        <w:t xml:space="preserve"> </w:t>
      </w:r>
      <w:r w:rsidRPr="00EF2512">
        <w:t>Datahuone</w:t>
      </w:r>
      <w:r>
        <w:t>-hankke</w:t>
      </w:r>
      <w:r w:rsidRPr="00EF2512">
        <w:t>essa ollaan käynnistämässä selvitys hoitajien alanvaihdoista</w:t>
      </w:r>
      <w:r>
        <w:t>.</w:t>
      </w:r>
    </w:p>
  </w:footnote>
  <w:footnote w:id="14">
    <w:p w14:paraId="2AF342DF" w14:textId="77777777" w:rsidR="00286053" w:rsidRDefault="00286053" w:rsidP="007456D0">
      <w:pPr>
        <w:pStyle w:val="Alaviitteenteksti"/>
      </w:pPr>
      <w:r>
        <w:rPr>
          <w:rStyle w:val="Alaviitteenviite"/>
        </w:rPr>
        <w:footnoteRef/>
      </w:r>
      <w:r>
        <w:t xml:space="preserve"> www.vipunen.fi.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86053" w14:paraId="57714518" w14:textId="77777777" w:rsidTr="00C95716">
      <w:tc>
        <w:tcPr>
          <w:tcW w:w="2140" w:type="dxa"/>
        </w:tcPr>
        <w:p w14:paraId="44384FE0" w14:textId="77777777" w:rsidR="00286053" w:rsidRDefault="00286053" w:rsidP="00C95716">
          <w:pPr>
            <w:rPr>
              <w:lang w:val="en-US"/>
            </w:rPr>
          </w:pPr>
        </w:p>
      </w:tc>
      <w:tc>
        <w:tcPr>
          <w:tcW w:w="4281" w:type="dxa"/>
          <w:gridSpan w:val="2"/>
        </w:tcPr>
        <w:p w14:paraId="3F5D2927" w14:textId="77777777" w:rsidR="00286053" w:rsidRDefault="00286053" w:rsidP="00C95716">
          <w:pPr>
            <w:jc w:val="center"/>
          </w:pPr>
        </w:p>
      </w:tc>
      <w:tc>
        <w:tcPr>
          <w:tcW w:w="2141" w:type="dxa"/>
        </w:tcPr>
        <w:p w14:paraId="7400A2C5" w14:textId="77777777" w:rsidR="00286053" w:rsidRDefault="00286053" w:rsidP="00C95716">
          <w:pPr>
            <w:rPr>
              <w:lang w:val="en-US"/>
            </w:rPr>
          </w:pPr>
        </w:p>
      </w:tc>
    </w:tr>
    <w:tr w:rsidR="00286053" w14:paraId="21BBE428" w14:textId="77777777" w:rsidTr="00C95716">
      <w:tc>
        <w:tcPr>
          <w:tcW w:w="4281" w:type="dxa"/>
          <w:gridSpan w:val="2"/>
        </w:tcPr>
        <w:p w14:paraId="2F74885B" w14:textId="77777777" w:rsidR="00286053" w:rsidRPr="00AC3BA6" w:rsidRDefault="00286053" w:rsidP="00C95716">
          <w:pPr>
            <w:rPr>
              <w:i/>
            </w:rPr>
          </w:pPr>
        </w:p>
      </w:tc>
      <w:tc>
        <w:tcPr>
          <w:tcW w:w="4281" w:type="dxa"/>
          <w:gridSpan w:val="2"/>
        </w:tcPr>
        <w:p w14:paraId="249FCE59" w14:textId="77777777" w:rsidR="00286053" w:rsidRPr="00AC3BA6" w:rsidRDefault="00286053" w:rsidP="00C95716">
          <w:pPr>
            <w:rPr>
              <w:i/>
            </w:rPr>
          </w:pPr>
        </w:p>
      </w:tc>
    </w:tr>
  </w:tbl>
  <w:p w14:paraId="402C925F" w14:textId="77777777" w:rsidR="00286053" w:rsidRDefault="00286053"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86053" w14:paraId="1D8D7E05" w14:textId="77777777" w:rsidTr="00F674CC">
      <w:tc>
        <w:tcPr>
          <w:tcW w:w="2140" w:type="dxa"/>
        </w:tcPr>
        <w:p w14:paraId="1FAEE0FE" w14:textId="77777777" w:rsidR="00286053" w:rsidRPr="00A34F4E" w:rsidRDefault="00286053" w:rsidP="00F674CC"/>
      </w:tc>
      <w:tc>
        <w:tcPr>
          <w:tcW w:w="4281" w:type="dxa"/>
          <w:gridSpan w:val="2"/>
        </w:tcPr>
        <w:p w14:paraId="12FA2B05" w14:textId="77777777" w:rsidR="00286053" w:rsidRDefault="00286053" w:rsidP="00F674CC">
          <w:pPr>
            <w:jc w:val="center"/>
          </w:pPr>
        </w:p>
      </w:tc>
      <w:tc>
        <w:tcPr>
          <w:tcW w:w="2141" w:type="dxa"/>
        </w:tcPr>
        <w:p w14:paraId="225121E1" w14:textId="77777777" w:rsidR="00286053" w:rsidRPr="00A34F4E" w:rsidRDefault="00286053" w:rsidP="00F674CC"/>
      </w:tc>
    </w:tr>
    <w:tr w:rsidR="00286053" w14:paraId="1C6F67AF" w14:textId="77777777" w:rsidTr="00F674CC">
      <w:tc>
        <w:tcPr>
          <w:tcW w:w="4281" w:type="dxa"/>
          <w:gridSpan w:val="2"/>
        </w:tcPr>
        <w:p w14:paraId="58285204" w14:textId="77777777" w:rsidR="00286053" w:rsidRPr="00AC3BA6" w:rsidRDefault="00286053" w:rsidP="00F674CC">
          <w:pPr>
            <w:rPr>
              <w:i/>
            </w:rPr>
          </w:pPr>
        </w:p>
      </w:tc>
      <w:tc>
        <w:tcPr>
          <w:tcW w:w="4281" w:type="dxa"/>
          <w:gridSpan w:val="2"/>
        </w:tcPr>
        <w:p w14:paraId="1DDF593E" w14:textId="77777777" w:rsidR="00286053" w:rsidRPr="00AC3BA6" w:rsidRDefault="00286053" w:rsidP="00F674CC">
          <w:pPr>
            <w:rPr>
              <w:i/>
            </w:rPr>
          </w:pPr>
        </w:p>
      </w:tc>
    </w:tr>
  </w:tbl>
  <w:p w14:paraId="78E954FA" w14:textId="77777777" w:rsidR="00286053" w:rsidRDefault="0028605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01F46E0"/>
    <w:multiLevelType w:val="hybridMultilevel"/>
    <w:tmpl w:val="9154BBD8"/>
    <w:lvl w:ilvl="0" w:tplc="5A0E2DEE">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134CB07E">
      <w:numFmt w:val="bullet"/>
      <w:lvlText w:val=""/>
      <w:lvlJc w:val="left"/>
      <w:pPr>
        <w:ind w:left="1800" w:hanging="360"/>
      </w:pPr>
      <w:rPr>
        <w:rFonts w:ascii="Wingdings" w:eastAsia="Times New Roman" w:hAnsi="Wingdings" w:cs="Times New Roman"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1C0939D2"/>
    <w:multiLevelType w:val="hybridMultilevel"/>
    <w:tmpl w:val="B8541690"/>
    <w:lvl w:ilvl="0" w:tplc="A7B0B24C">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66F2011"/>
    <w:multiLevelType w:val="hybridMultilevel"/>
    <w:tmpl w:val="D2E0649C"/>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5" w15:restartNumberingAfterBreak="0">
    <w:nsid w:val="2A0542FD"/>
    <w:multiLevelType w:val="hybridMultilevel"/>
    <w:tmpl w:val="66A0A92E"/>
    <w:lvl w:ilvl="0" w:tplc="B3069346">
      <w:start w:val="1"/>
      <w:numFmt w:val="bullet"/>
      <w:lvlText w:val="•"/>
      <w:lvlJc w:val="left"/>
      <w:pPr>
        <w:tabs>
          <w:tab w:val="num" w:pos="720"/>
        </w:tabs>
        <w:ind w:left="720" w:hanging="360"/>
      </w:pPr>
      <w:rPr>
        <w:rFonts w:ascii="Arial" w:hAnsi="Arial" w:hint="default"/>
      </w:rPr>
    </w:lvl>
    <w:lvl w:ilvl="1" w:tplc="7624C882" w:tentative="1">
      <w:start w:val="1"/>
      <w:numFmt w:val="bullet"/>
      <w:lvlText w:val="•"/>
      <w:lvlJc w:val="left"/>
      <w:pPr>
        <w:tabs>
          <w:tab w:val="num" w:pos="1440"/>
        </w:tabs>
        <w:ind w:left="1440" w:hanging="360"/>
      </w:pPr>
      <w:rPr>
        <w:rFonts w:ascii="Arial" w:hAnsi="Arial" w:hint="default"/>
      </w:rPr>
    </w:lvl>
    <w:lvl w:ilvl="2" w:tplc="D0C83538" w:tentative="1">
      <w:start w:val="1"/>
      <w:numFmt w:val="bullet"/>
      <w:lvlText w:val="•"/>
      <w:lvlJc w:val="left"/>
      <w:pPr>
        <w:tabs>
          <w:tab w:val="num" w:pos="2160"/>
        </w:tabs>
        <w:ind w:left="2160" w:hanging="360"/>
      </w:pPr>
      <w:rPr>
        <w:rFonts w:ascii="Arial" w:hAnsi="Arial" w:hint="default"/>
      </w:rPr>
    </w:lvl>
    <w:lvl w:ilvl="3" w:tplc="26980730" w:tentative="1">
      <w:start w:val="1"/>
      <w:numFmt w:val="bullet"/>
      <w:lvlText w:val="•"/>
      <w:lvlJc w:val="left"/>
      <w:pPr>
        <w:tabs>
          <w:tab w:val="num" w:pos="2880"/>
        </w:tabs>
        <w:ind w:left="2880" w:hanging="360"/>
      </w:pPr>
      <w:rPr>
        <w:rFonts w:ascii="Arial" w:hAnsi="Arial" w:hint="default"/>
      </w:rPr>
    </w:lvl>
    <w:lvl w:ilvl="4" w:tplc="FF5AE75A" w:tentative="1">
      <w:start w:val="1"/>
      <w:numFmt w:val="bullet"/>
      <w:lvlText w:val="•"/>
      <w:lvlJc w:val="left"/>
      <w:pPr>
        <w:tabs>
          <w:tab w:val="num" w:pos="3600"/>
        </w:tabs>
        <w:ind w:left="3600" w:hanging="360"/>
      </w:pPr>
      <w:rPr>
        <w:rFonts w:ascii="Arial" w:hAnsi="Arial" w:hint="default"/>
      </w:rPr>
    </w:lvl>
    <w:lvl w:ilvl="5" w:tplc="20B04B28" w:tentative="1">
      <w:start w:val="1"/>
      <w:numFmt w:val="bullet"/>
      <w:lvlText w:val="•"/>
      <w:lvlJc w:val="left"/>
      <w:pPr>
        <w:tabs>
          <w:tab w:val="num" w:pos="4320"/>
        </w:tabs>
        <w:ind w:left="4320" w:hanging="360"/>
      </w:pPr>
      <w:rPr>
        <w:rFonts w:ascii="Arial" w:hAnsi="Arial" w:hint="default"/>
      </w:rPr>
    </w:lvl>
    <w:lvl w:ilvl="6" w:tplc="8B9C4C18" w:tentative="1">
      <w:start w:val="1"/>
      <w:numFmt w:val="bullet"/>
      <w:lvlText w:val="•"/>
      <w:lvlJc w:val="left"/>
      <w:pPr>
        <w:tabs>
          <w:tab w:val="num" w:pos="5040"/>
        </w:tabs>
        <w:ind w:left="5040" w:hanging="360"/>
      </w:pPr>
      <w:rPr>
        <w:rFonts w:ascii="Arial" w:hAnsi="Arial" w:hint="default"/>
      </w:rPr>
    </w:lvl>
    <w:lvl w:ilvl="7" w:tplc="B2A4B8DA" w:tentative="1">
      <w:start w:val="1"/>
      <w:numFmt w:val="bullet"/>
      <w:lvlText w:val="•"/>
      <w:lvlJc w:val="left"/>
      <w:pPr>
        <w:tabs>
          <w:tab w:val="num" w:pos="5760"/>
        </w:tabs>
        <w:ind w:left="5760" w:hanging="360"/>
      </w:pPr>
      <w:rPr>
        <w:rFonts w:ascii="Arial" w:hAnsi="Arial" w:hint="default"/>
      </w:rPr>
    </w:lvl>
    <w:lvl w:ilvl="8" w:tplc="216220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A86FD3"/>
    <w:multiLevelType w:val="multilevel"/>
    <w:tmpl w:val="76AC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0523B2"/>
    <w:multiLevelType w:val="hybridMultilevel"/>
    <w:tmpl w:val="4C56114C"/>
    <w:lvl w:ilvl="0" w:tplc="8C7CD7E0">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9"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1"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5"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6"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7" w15:restartNumberingAfterBreak="0">
    <w:nsid w:val="7B611716"/>
    <w:multiLevelType w:val="hybridMultilevel"/>
    <w:tmpl w:val="9E50CDDC"/>
    <w:lvl w:ilvl="0" w:tplc="D96C8CF2">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0"/>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2"/>
  </w:num>
  <w:num w:numId="13">
    <w:abstractNumId w:val="10"/>
    <w:lvlOverride w:ilvl="0">
      <w:startOverride w:val="1"/>
    </w:lvlOverride>
  </w:num>
  <w:num w:numId="14">
    <w:abstractNumId w:val="10"/>
    <w:lvlOverride w:ilvl="0">
      <w:startOverride w:val="1"/>
    </w:lvlOverride>
  </w:num>
  <w:num w:numId="15">
    <w:abstractNumId w:val="8"/>
  </w:num>
  <w:num w:numId="16">
    <w:abstractNumId w:val="8"/>
    <w:lvlOverride w:ilvl="0">
      <w:startOverride w:val="1"/>
    </w:lvlOverride>
  </w:num>
  <w:num w:numId="17">
    <w:abstractNumId w:val="10"/>
    <w:lvlOverride w:ilvl="0">
      <w:startOverride w:val="1"/>
    </w:lvlOverride>
  </w:num>
  <w:num w:numId="18">
    <w:abstractNumId w:val="9"/>
  </w:num>
  <w:num w:numId="19">
    <w:abstractNumId w:val="11"/>
  </w:num>
  <w:num w:numId="20">
    <w:abstractNumId w:val="16"/>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5"/>
  </w:num>
  <w:num w:numId="23">
    <w:abstractNumId w:val="7"/>
  </w:num>
  <w:num w:numId="24">
    <w:abstractNumId w:val="6"/>
  </w:num>
  <w:num w:numId="25">
    <w:abstractNumId w:val="1"/>
  </w:num>
  <w:num w:numId="26">
    <w:abstractNumId w:val="17"/>
  </w:num>
  <w:num w:numId="27">
    <w:abstractNumId w:val="5"/>
  </w:num>
  <w:num w:numId="28">
    <w:abstractNumId w:val="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E5"/>
    <w:rsid w:val="000006ED"/>
    <w:rsid w:val="00000B13"/>
    <w:rsid w:val="00000D79"/>
    <w:rsid w:val="00001C65"/>
    <w:rsid w:val="000026A6"/>
    <w:rsid w:val="00002765"/>
    <w:rsid w:val="00003D02"/>
    <w:rsid w:val="000046E8"/>
    <w:rsid w:val="0000497A"/>
    <w:rsid w:val="00005736"/>
    <w:rsid w:val="00005D22"/>
    <w:rsid w:val="00007C03"/>
    <w:rsid w:val="00007EA2"/>
    <w:rsid w:val="00012145"/>
    <w:rsid w:val="000131D0"/>
    <w:rsid w:val="0001433B"/>
    <w:rsid w:val="00014461"/>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4FF0"/>
    <w:rsid w:val="00035558"/>
    <w:rsid w:val="0003652F"/>
    <w:rsid w:val="000370C8"/>
    <w:rsid w:val="00040D23"/>
    <w:rsid w:val="00042061"/>
    <w:rsid w:val="0004360C"/>
    <w:rsid w:val="00043723"/>
    <w:rsid w:val="00043F6F"/>
    <w:rsid w:val="00044289"/>
    <w:rsid w:val="00044349"/>
    <w:rsid w:val="0004462D"/>
    <w:rsid w:val="00044765"/>
    <w:rsid w:val="00044A1B"/>
    <w:rsid w:val="00044AC1"/>
    <w:rsid w:val="00045101"/>
    <w:rsid w:val="00046AF3"/>
    <w:rsid w:val="00046C60"/>
    <w:rsid w:val="00047B66"/>
    <w:rsid w:val="000502E9"/>
    <w:rsid w:val="000506A1"/>
    <w:rsid w:val="00050C95"/>
    <w:rsid w:val="00052549"/>
    <w:rsid w:val="00052E56"/>
    <w:rsid w:val="00052FFB"/>
    <w:rsid w:val="000543D1"/>
    <w:rsid w:val="00055FDD"/>
    <w:rsid w:val="00056A5B"/>
    <w:rsid w:val="00057B14"/>
    <w:rsid w:val="000608D6"/>
    <w:rsid w:val="00061325"/>
    <w:rsid w:val="000614BC"/>
    <w:rsid w:val="00061565"/>
    <w:rsid w:val="000619BD"/>
    <w:rsid w:val="00061FE7"/>
    <w:rsid w:val="00062A38"/>
    <w:rsid w:val="00062D45"/>
    <w:rsid w:val="00063DCC"/>
    <w:rsid w:val="000646B8"/>
    <w:rsid w:val="00066DC3"/>
    <w:rsid w:val="000677E9"/>
    <w:rsid w:val="00070B45"/>
    <w:rsid w:val="0007112D"/>
    <w:rsid w:val="000722C4"/>
    <w:rsid w:val="0007388F"/>
    <w:rsid w:val="000749AA"/>
    <w:rsid w:val="00075ADB"/>
    <w:rsid w:val="000769BB"/>
    <w:rsid w:val="00077867"/>
    <w:rsid w:val="000805C8"/>
    <w:rsid w:val="000811EC"/>
    <w:rsid w:val="00081D26"/>
    <w:rsid w:val="00081D3F"/>
    <w:rsid w:val="00081E1D"/>
    <w:rsid w:val="00082609"/>
    <w:rsid w:val="00083E71"/>
    <w:rsid w:val="00084034"/>
    <w:rsid w:val="00084869"/>
    <w:rsid w:val="000852C2"/>
    <w:rsid w:val="000863E1"/>
    <w:rsid w:val="000868DF"/>
    <w:rsid w:val="00086A71"/>
    <w:rsid w:val="00086D51"/>
    <w:rsid w:val="00086E44"/>
    <w:rsid w:val="00086F52"/>
    <w:rsid w:val="00090BAD"/>
    <w:rsid w:val="00090F33"/>
    <w:rsid w:val="000919F0"/>
    <w:rsid w:val="0009275E"/>
    <w:rsid w:val="000941EA"/>
    <w:rsid w:val="00094938"/>
    <w:rsid w:val="00095306"/>
    <w:rsid w:val="00095BC2"/>
    <w:rsid w:val="000968AF"/>
    <w:rsid w:val="00096F94"/>
    <w:rsid w:val="000973BA"/>
    <w:rsid w:val="00097836"/>
    <w:rsid w:val="000A017D"/>
    <w:rsid w:val="000A03F9"/>
    <w:rsid w:val="000A06A9"/>
    <w:rsid w:val="000A11C9"/>
    <w:rsid w:val="000A1602"/>
    <w:rsid w:val="000A23C8"/>
    <w:rsid w:val="000A2C2D"/>
    <w:rsid w:val="000A3181"/>
    <w:rsid w:val="000A32FA"/>
    <w:rsid w:val="000A334A"/>
    <w:rsid w:val="000A4218"/>
    <w:rsid w:val="000A4827"/>
    <w:rsid w:val="000A48BD"/>
    <w:rsid w:val="000A4CC1"/>
    <w:rsid w:val="000A55E5"/>
    <w:rsid w:val="000A6783"/>
    <w:rsid w:val="000A6C3E"/>
    <w:rsid w:val="000A6EE3"/>
    <w:rsid w:val="000A7212"/>
    <w:rsid w:val="000A73C0"/>
    <w:rsid w:val="000A75CB"/>
    <w:rsid w:val="000A75CC"/>
    <w:rsid w:val="000A7B18"/>
    <w:rsid w:val="000B02C4"/>
    <w:rsid w:val="000B0F5F"/>
    <w:rsid w:val="000B2410"/>
    <w:rsid w:val="000B2824"/>
    <w:rsid w:val="000B43F5"/>
    <w:rsid w:val="000B63E1"/>
    <w:rsid w:val="000B6BFE"/>
    <w:rsid w:val="000B6D79"/>
    <w:rsid w:val="000C13BA"/>
    <w:rsid w:val="000C13C6"/>
    <w:rsid w:val="000C15D4"/>
    <w:rsid w:val="000C1725"/>
    <w:rsid w:val="000C1BEB"/>
    <w:rsid w:val="000C2FDB"/>
    <w:rsid w:val="000C317D"/>
    <w:rsid w:val="000C3A8E"/>
    <w:rsid w:val="000C3DEC"/>
    <w:rsid w:val="000C4809"/>
    <w:rsid w:val="000C5020"/>
    <w:rsid w:val="000C560C"/>
    <w:rsid w:val="000C6EC7"/>
    <w:rsid w:val="000C6EDC"/>
    <w:rsid w:val="000D0AA3"/>
    <w:rsid w:val="000D0E2E"/>
    <w:rsid w:val="000D1D74"/>
    <w:rsid w:val="000D2464"/>
    <w:rsid w:val="000D3443"/>
    <w:rsid w:val="000D37E7"/>
    <w:rsid w:val="000D3D1D"/>
    <w:rsid w:val="000D425F"/>
    <w:rsid w:val="000D4755"/>
    <w:rsid w:val="000D4882"/>
    <w:rsid w:val="000D4C28"/>
    <w:rsid w:val="000D5454"/>
    <w:rsid w:val="000D550A"/>
    <w:rsid w:val="000D6D2C"/>
    <w:rsid w:val="000D6DF9"/>
    <w:rsid w:val="000D701B"/>
    <w:rsid w:val="000D7B48"/>
    <w:rsid w:val="000E07E4"/>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23"/>
    <w:rsid w:val="00103ACA"/>
    <w:rsid w:val="00103C5F"/>
    <w:rsid w:val="001044A0"/>
    <w:rsid w:val="00104BDC"/>
    <w:rsid w:val="001063A9"/>
    <w:rsid w:val="00106FD6"/>
    <w:rsid w:val="0010701E"/>
    <w:rsid w:val="00107C32"/>
    <w:rsid w:val="00107FEC"/>
    <w:rsid w:val="00110E18"/>
    <w:rsid w:val="0011130B"/>
    <w:rsid w:val="00111DE6"/>
    <w:rsid w:val="001122D6"/>
    <w:rsid w:val="001138E2"/>
    <w:rsid w:val="00113CCD"/>
    <w:rsid w:val="00113D42"/>
    <w:rsid w:val="00113F2E"/>
    <w:rsid w:val="00113FEF"/>
    <w:rsid w:val="00114D89"/>
    <w:rsid w:val="00114EA2"/>
    <w:rsid w:val="0011571F"/>
    <w:rsid w:val="00115F8D"/>
    <w:rsid w:val="00116901"/>
    <w:rsid w:val="0011693E"/>
    <w:rsid w:val="00116A7E"/>
    <w:rsid w:val="00117C3F"/>
    <w:rsid w:val="00120A6F"/>
    <w:rsid w:val="00121E3B"/>
    <w:rsid w:val="00122A8E"/>
    <w:rsid w:val="0012475C"/>
    <w:rsid w:val="00125ABB"/>
    <w:rsid w:val="001261CB"/>
    <w:rsid w:val="00127D8D"/>
    <w:rsid w:val="001305A0"/>
    <w:rsid w:val="001310B9"/>
    <w:rsid w:val="0013355C"/>
    <w:rsid w:val="001335E4"/>
    <w:rsid w:val="0013473F"/>
    <w:rsid w:val="0013536A"/>
    <w:rsid w:val="00137260"/>
    <w:rsid w:val="0013779E"/>
    <w:rsid w:val="00137BF6"/>
    <w:rsid w:val="001401B3"/>
    <w:rsid w:val="0014084B"/>
    <w:rsid w:val="001413CC"/>
    <w:rsid w:val="001421FF"/>
    <w:rsid w:val="0014222F"/>
    <w:rsid w:val="00143933"/>
    <w:rsid w:val="0014421F"/>
    <w:rsid w:val="00144BC1"/>
    <w:rsid w:val="00144D26"/>
    <w:rsid w:val="001454DF"/>
    <w:rsid w:val="0014582D"/>
    <w:rsid w:val="00146F28"/>
    <w:rsid w:val="00151813"/>
    <w:rsid w:val="00152091"/>
    <w:rsid w:val="001523D8"/>
    <w:rsid w:val="00152FD7"/>
    <w:rsid w:val="00153366"/>
    <w:rsid w:val="0015343C"/>
    <w:rsid w:val="001534DC"/>
    <w:rsid w:val="00154A91"/>
    <w:rsid w:val="001565E1"/>
    <w:rsid w:val="00160077"/>
    <w:rsid w:val="001617CA"/>
    <w:rsid w:val="001619B4"/>
    <w:rsid w:val="00161A08"/>
    <w:rsid w:val="001628A5"/>
    <w:rsid w:val="00164392"/>
    <w:rsid w:val="00164B49"/>
    <w:rsid w:val="00165F63"/>
    <w:rsid w:val="00166459"/>
    <w:rsid w:val="00167060"/>
    <w:rsid w:val="00167E6A"/>
    <w:rsid w:val="00170B5F"/>
    <w:rsid w:val="0017119D"/>
    <w:rsid w:val="00171AEB"/>
    <w:rsid w:val="001721BB"/>
    <w:rsid w:val="001729CF"/>
    <w:rsid w:val="00172F9D"/>
    <w:rsid w:val="0017311E"/>
    <w:rsid w:val="001737ED"/>
    <w:rsid w:val="00173F89"/>
    <w:rsid w:val="001740F2"/>
    <w:rsid w:val="00174275"/>
    <w:rsid w:val="00174FCA"/>
    <w:rsid w:val="00175AD6"/>
    <w:rsid w:val="0017699B"/>
    <w:rsid w:val="00176E44"/>
    <w:rsid w:val="00177976"/>
    <w:rsid w:val="001779ED"/>
    <w:rsid w:val="00177E9B"/>
    <w:rsid w:val="0018022A"/>
    <w:rsid w:val="001808E2"/>
    <w:rsid w:val="001809D8"/>
    <w:rsid w:val="001828F5"/>
    <w:rsid w:val="0018338F"/>
    <w:rsid w:val="00185A44"/>
    <w:rsid w:val="00185F2E"/>
    <w:rsid w:val="00186610"/>
    <w:rsid w:val="00186CE8"/>
    <w:rsid w:val="00187430"/>
    <w:rsid w:val="0019152A"/>
    <w:rsid w:val="0019244A"/>
    <w:rsid w:val="00193986"/>
    <w:rsid w:val="001942C3"/>
    <w:rsid w:val="00194D3B"/>
    <w:rsid w:val="00196A1D"/>
    <w:rsid w:val="00197B82"/>
    <w:rsid w:val="00197F54"/>
    <w:rsid w:val="001A0813"/>
    <w:rsid w:val="001A0C83"/>
    <w:rsid w:val="001A119D"/>
    <w:rsid w:val="001A15F0"/>
    <w:rsid w:val="001A20EA"/>
    <w:rsid w:val="001A2377"/>
    <w:rsid w:val="001A2585"/>
    <w:rsid w:val="001A27D7"/>
    <w:rsid w:val="001A2C87"/>
    <w:rsid w:val="001A4F70"/>
    <w:rsid w:val="001A52CF"/>
    <w:rsid w:val="001A5FE9"/>
    <w:rsid w:val="001A605C"/>
    <w:rsid w:val="001A69B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1EFE"/>
    <w:rsid w:val="001C225D"/>
    <w:rsid w:val="001C2301"/>
    <w:rsid w:val="001C35EE"/>
    <w:rsid w:val="001C428A"/>
    <w:rsid w:val="001C4A97"/>
    <w:rsid w:val="001C4C32"/>
    <w:rsid w:val="001C5331"/>
    <w:rsid w:val="001C5888"/>
    <w:rsid w:val="001C6606"/>
    <w:rsid w:val="001C6C94"/>
    <w:rsid w:val="001C77EA"/>
    <w:rsid w:val="001D0443"/>
    <w:rsid w:val="001D07D2"/>
    <w:rsid w:val="001D0B90"/>
    <w:rsid w:val="001D20E8"/>
    <w:rsid w:val="001D21FF"/>
    <w:rsid w:val="001D2CCF"/>
    <w:rsid w:val="001D2F6E"/>
    <w:rsid w:val="001D333D"/>
    <w:rsid w:val="001D36E0"/>
    <w:rsid w:val="001D41B9"/>
    <w:rsid w:val="001D52B6"/>
    <w:rsid w:val="001D5CD3"/>
    <w:rsid w:val="001D6BD4"/>
    <w:rsid w:val="001D74D6"/>
    <w:rsid w:val="001D7C49"/>
    <w:rsid w:val="001D7C93"/>
    <w:rsid w:val="001E07D9"/>
    <w:rsid w:val="001E0895"/>
    <w:rsid w:val="001E125F"/>
    <w:rsid w:val="001E2815"/>
    <w:rsid w:val="001E2BCC"/>
    <w:rsid w:val="001E3303"/>
    <w:rsid w:val="001E4AE2"/>
    <w:rsid w:val="001E66E9"/>
    <w:rsid w:val="001E6CAE"/>
    <w:rsid w:val="001E6CCB"/>
    <w:rsid w:val="001E6D80"/>
    <w:rsid w:val="001F0934"/>
    <w:rsid w:val="001F1109"/>
    <w:rsid w:val="001F11D9"/>
    <w:rsid w:val="001F2163"/>
    <w:rsid w:val="001F4909"/>
    <w:rsid w:val="001F569E"/>
    <w:rsid w:val="001F5DBC"/>
    <w:rsid w:val="001F6E1A"/>
    <w:rsid w:val="001F7A9D"/>
    <w:rsid w:val="00201395"/>
    <w:rsid w:val="002013EA"/>
    <w:rsid w:val="0020339D"/>
    <w:rsid w:val="00203617"/>
    <w:rsid w:val="002042DB"/>
    <w:rsid w:val="002049A0"/>
    <w:rsid w:val="00205DA3"/>
    <w:rsid w:val="00205F1C"/>
    <w:rsid w:val="002070FC"/>
    <w:rsid w:val="00207E96"/>
    <w:rsid w:val="00210557"/>
    <w:rsid w:val="00210835"/>
    <w:rsid w:val="002108F9"/>
    <w:rsid w:val="002113C3"/>
    <w:rsid w:val="002118EB"/>
    <w:rsid w:val="00213078"/>
    <w:rsid w:val="002133C2"/>
    <w:rsid w:val="002141FA"/>
    <w:rsid w:val="00214F6B"/>
    <w:rsid w:val="002165E8"/>
    <w:rsid w:val="0021664F"/>
    <w:rsid w:val="002168F9"/>
    <w:rsid w:val="00216F59"/>
    <w:rsid w:val="00217080"/>
    <w:rsid w:val="0021781C"/>
    <w:rsid w:val="00220C7D"/>
    <w:rsid w:val="00221267"/>
    <w:rsid w:val="0022200D"/>
    <w:rsid w:val="002233F1"/>
    <w:rsid w:val="00223FC3"/>
    <w:rsid w:val="002256C8"/>
    <w:rsid w:val="00226ECF"/>
    <w:rsid w:val="0022764C"/>
    <w:rsid w:val="002305CB"/>
    <w:rsid w:val="002309D9"/>
    <w:rsid w:val="00232CF3"/>
    <w:rsid w:val="00232E8B"/>
    <w:rsid w:val="00233151"/>
    <w:rsid w:val="00236391"/>
    <w:rsid w:val="00236F17"/>
    <w:rsid w:val="00237BEC"/>
    <w:rsid w:val="00241124"/>
    <w:rsid w:val="00241E6D"/>
    <w:rsid w:val="00241EBC"/>
    <w:rsid w:val="00242EC3"/>
    <w:rsid w:val="00243B1D"/>
    <w:rsid w:val="00243C44"/>
    <w:rsid w:val="002445F2"/>
    <w:rsid w:val="002446DA"/>
    <w:rsid w:val="00244B73"/>
    <w:rsid w:val="00245257"/>
    <w:rsid w:val="00245804"/>
    <w:rsid w:val="00245AB9"/>
    <w:rsid w:val="00246301"/>
    <w:rsid w:val="0024634E"/>
    <w:rsid w:val="0024762B"/>
    <w:rsid w:val="002478DC"/>
    <w:rsid w:val="00247990"/>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1F4"/>
    <w:rsid w:val="00253ED4"/>
    <w:rsid w:val="00254B1E"/>
    <w:rsid w:val="00254D25"/>
    <w:rsid w:val="00254FF4"/>
    <w:rsid w:val="00255C8C"/>
    <w:rsid w:val="002568F3"/>
    <w:rsid w:val="00257518"/>
    <w:rsid w:val="002600EF"/>
    <w:rsid w:val="00260ED8"/>
    <w:rsid w:val="00261B3D"/>
    <w:rsid w:val="00261D05"/>
    <w:rsid w:val="00263506"/>
    <w:rsid w:val="002637F9"/>
    <w:rsid w:val="002640C3"/>
    <w:rsid w:val="002644A7"/>
    <w:rsid w:val="002647EB"/>
    <w:rsid w:val="00264939"/>
    <w:rsid w:val="002664DB"/>
    <w:rsid w:val="00266690"/>
    <w:rsid w:val="00267E16"/>
    <w:rsid w:val="00272A5D"/>
    <w:rsid w:val="00272D80"/>
    <w:rsid w:val="002733B9"/>
    <w:rsid w:val="00273F65"/>
    <w:rsid w:val="002754D3"/>
    <w:rsid w:val="0027666C"/>
    <w:rsid w:val="002767A8"/>
    <w:rsid w:val="0027698E"/>
    <w:rsid w:val="00276C0A"/>
    <w:rsid w:val="00277479"/>
    <w:rsid w:val="00280153"/>
    <w:rsid w:val="00280A74"/>
    <w:rsid w:val="00280E78"/>
    <w:rsid w:val="00283256"/>
    <w:rsid w:val="002836BD"/>
    <w:rsid w:val="0028520A"/>
    <w:rsid w:val="00285B26"/>
    <w:rsid w:val="00285C56"/>
    <w:rsid w:val="00285F21"/>
    <w:rsid w:val="00286053"/>
    <w:rsid w:val="002861DF"/>
    <w:rsid w:val="00286629"/>
    <w:rsid w:val="00287FB6"/>
    <w:rsid w:val="00292135"/>
    <w:rsid w:val="00292DB8"/>
    <w:rsid w:val="002931AD"/>
    <w:rsid w:val="0029367C"/>
    <w:rsid w:val="0029391E"/>
    <w:rsid w:val="00293DCE"/>
    <w:rsid w:val="00294145"/>
    <w:rsid w:val="0029486C"/>
    <w:rsid w:val="00295268"/>
    <w:rsid w:val="002953B9"/>
    <w:rsid w:val="00295E65"/>
    <w:rsid w:val="00296B68"/>
    <w:rsid w:val="00296CB8"/>
    <w:rsid w:val="00297F55"/>
    <w:rsid w:val="002A0577"/>
    <w:rsid w:val="002A0B5D"/>
    <w:rsid w:val="002A2066"/>
    <w:rsid w:val="002A2FB5"/>
    <w:rsid w:val="002A3F66"/>
    <w:rsid w:val="002A431F"/>
    <w:rsid w:val="002A4575"/>
    <w:rsid w:val="002A5827"/>
    <w:rsid w:val="002A630E"/>
    <w:rsid w:val="002A68C3"/>
    <w:rsid w:val="002A6D63"/>
    <w:rsid w:val="002B0120"/>
    <w:rsid w:val="002B1508"/>
    <w:rsid w:val="002B15E9"/>
    <w:rsid w:val="002B2FD8"/>
    <w:rsid w:val="002B3545"/>
    <w:rsid w:val="002B3891"/>
    <w:rsid w:val="002B4A7F"/>
    <w:rsid w:val="002B5556"/>
    <w:rsid w:val="002B6357"/>
    <w:rsid w:val="002B712B"/>
    <w:rsid w:val="002B788A"/>
    <w:rsid w:val="002C0CBA"/>
    <w:rsid w:val="002C1572"/>
    <w:rsid w:val="002C184E"/>
    <w:rsid w:val="002C19FF"/>
    <w:rsid w:val="002C1B6D"/>
    <w:rsid w:val="002C25AD"/>
    <w:rsid w:val="002C2FC5"/>
    <w:rsid w:val="002C31D9"/>
    <w:rsid w:val="002C3E9F"/>
    <w:rsid w:val="002C588D"/>
    <w:rsid w:val="002C5AF9"/>
    <w:rsid w:val="002C6276"/>
    <w:rsid w:val="002C694B"/>
    <w:rsid w:val="002C6F56"/>
    <w:rsid w:val="002D0561"/>
    <w:rsid w:val="002D158A"/>
    <w:rsid w:val="002D1FC4"/>
    <w:rsid w:val="002D2D34"/>
    <w:rsid w:val="002D2DFF"/>
    <w:rsid w:val="002D3C70"/>
    <w:rsid w:val="002D4C0B"/>
    <w:rsid w:val="002D59A5"/>
    <w:rsid w:val="002D5C1B"/>
    <w:rsid w:val="002D62BF"/>
    <w:rsid w:val="002D7B09"/>
    <w:rsid w:val="002E04F2"/>
    <w:rsid w:val="002E0619"/>
    <w:rsid w:val="002E0770"/>
    <w:rsid w:val="002E0859"/>
    <w:rsid w:val="002E0AA9"/>
    <w:rsid w:val="002E136D"/>
    <w:rsid w:val="002E1551"/>
    <w:rsid w:val="002E1AD6"/>
    <w:rsid w:val="002E1C57"/>
    <w:rsid w:val="002E2928"/>
    <w:rsid w:val="002E2A5D"/>
    <w:rsid w:val="002E316A"/>
    <w:rsid w:val="002E58B2"/>
    <w:rsid w:val="002E6BE3"/>
    <w:rsid w:val="002E73F2"/>
    <w:rsid w:val="002E7FE5"/>
    <w:rsid w:val="002F036A"/>
    <w:rsid w:val="002F08CE"/>
    <w:rsid w:val="002F0B5A"/>
    <w:rsid w:val="002F0DA6"/>
    <w:rsid w:val="002F290C"/>
    <w:rsid w:val="002F2D89"/>
    <w:rsid w:val="002F354B"/>
    <w:rsid w:val="002F3ECD"/>
    <w:rsid w:val="002F47BF"/>
    <w:rsid w:val="002F486D"/>
    <w:rsid w:val="002F53B8"/>
    <w:rsid w:val="002F5A3F"/>
    <w:rsid w:val="002F690F"/>
    <w:rsid w:val="002F6F1C"/>
    <w:rsid w:val="0030010F"/>
    <w:rsid w:val="00300499"/>
    <w:rsid w:val="00301CFC"/>
    <w:rsid w:val="0030275E"/>
    <w:rsid w:val="003028EE"/>
    <w:rsid w:val="00302945"/>
    <w:rsid w:val="00302A04"/>
    <w:rsid w:val="00302A46"/>
    <w:rsid w:val="0030338C"/>
    <w:rsid w:val="00303A94"/>
    <w:rsid w:val="003042E3"/>
    <w:rsid w:val="0030433D"/>
    <w:rsid w:val="00304948"/>
    <w:rsid w:val="0030512D"/>
    <w:rsid w:val="00305851"/>
    <w:rsid w:val="00310D16"/>
    <w:rsid w:val="003115B9"/>
    <w:rsid w:val="00311A68"/>
    <w:rsid w:val="00312ED2"/>
    <w:rsid w:val="00313379"/>
    <w:rsid w:val="0031345E"/>
    <w:rsid w:val="003135F6"/>
    <w:rsid w:val="00313AF9"/>
    <w:rsid w:val="003141AB"/>
    <w:rsid w:val="0031475A"/>
    <w:rsid w:val="00314807"/>
    <w:rsid w:val="0031488F"/>
    <w:rsid w:val="00315799"/>
    <w:rsid w:val="00315CA3"/>
    <w:rsid w:val="0031770D"/>
    <w:rsid w:val="00317836"/>
    <w:rsid w:val="003178ED"/>
    <w:rsid w:val="003206A2"/>
    <w:rsid w:val="0032137A"/>
    <w:rsid w:val="00322773"/>
    <w:rsid w:val="00325298"/>
    <w:rsid w:val="0032557F"/>
    <w:rsid w:val="00325AF7"/>
    <w:rsid w:val="00325E50"/>
    <w:rsid w:val="00326029"/>
    <w:rsid w:val="003261EA"/>
    <w:rsid w:val="0032663D"/>
    <w:rsid w:val="00327125"/>
    <w:rsid w:val="00327562"/>
    <w:rsid w:val="00327C20"/>
    <w:rsid w:val="0033013E"/>
    <w:rsid w:val="00331079"/>
    <w:rsid w:val="0033250B"/>
    <w:rsid w:val="00332638"/>
    <w:rsid w:val="00332AFA"/>
    <w:rsid w:val="00334260"/>
    <w:rsid w:val="0033438A"/>
    <w:rsid w:val="00334B89"/>
    <w:rsid w:val="00334D23"/>
    <w:rsid w:val="00335B8E"/>
    <w:rsid w:val="00335E45"/>
    <w:rsid w:val="00336539"/>
    <w:rsid w:val="00336569"/>
    <w:rsid w:val="00337046"/>
    <w:rsid w:val="003376F7"/>
    <w:rsid w:val="00337B35"/>
    <w:rsid w:val="00340611"/>
    <w:rsid w:val="00342547"/>
    <w:rsid w:val="00343148"/>
    <w:rsid w:val="003433C2"/>
    <w:rsid w:val="00343EC6"/>
    <w:rsid w:val="003501F6"/>
    <w:rsid w:val="0035308D"/>
    <w:rsid w:val="00353702"/>
    <w:rsid w:val="00353F01"/>
    <w:rsid w:val="003540B1"/>
    <w:rsid w:val="003545B7"/>
    <w:rsid w:val="00354B33"/>
    <w:rsid w:val="003551FE"/>
    <w:rsid w:val="0035641E"/>
    <w:rsid w:val="00356672"/>
    <w:rsid w:val="003569FE"/>
    <w:rsid w:val="003576C2"/>
    <w:rsid w:val="00360341"/>
    <w:rsid w:val="00360460"/>
    <w:rsid w:val="00360578"/>
    <w:rsid w:val="00360E69"/>
    <w:rsid w:val="00361E8A"/>
    <w:rsid w:val="00362079"/>
    <w:rsid w:val="0036367F"/>
    <w:rsid w:val="00365E6E"/>
    <w:rsid w:val="00370114"/>
    <w:rsid w:val="003707CD"/>
    <w:rsid w:val="00371EB9"/>
    <w:rsid w:val="0037353F"/>
    <w:rsid w:val="00373A56"/>
    <w:rsid w:val="00373F61"/>
    <w:rsid w:val="00374108"/>
    <w:rsid w:val="003741DD"/>
    <w:rsid w:val="0037489B"/>
    <w:rsid w:val="0037519F"/>
    <w:rsid w:val="0037538C"/>
    <w:rsid w:val="0037558E"/>
    <w:rsid w:val="003755A7"/>
    <w:rsid w:val="00375A2E"/>
    <w:rsid w:val="00375D79"/>
    <w:rsid w:val="0037664C"/>
    <w:rsid w:val="00377BFD"/>
    <w:rsid w:val="003800D8"/>
    <w:rsid w:val="003801DE"/>
    <w:rsid w:val="00380D59"/>
    <w:rsid w:val="0038120C"/>
    <w:rsid w:val="00381294"/>
    <w:rsid w:val="0038158D"/>
    <w:rsid w:val="00382B13"/>
    <w:rsid w:val="0038398A"/>
    <w:rsid w:val="00384BEB"/>
    <w:rsid w:val="00385A06"/>
    <w:rsid w:val="00386D41"/>
    <w:rsid w:val="00387266"/>
    <w:rsid w:val="0039043F"/>
    <w:rsid w:val="00390BBF"/>
    <w:rsid w:val="003920F1"/>
    <w:rsid w:val="00392B9C"/>
    <w:rsid w:val="00392BB4"/>
    <w:rsid w:val="0039392F"/>
    <w:rsid w:val="00393B53"/>
    <w:rsid w:val="00394176"/>
    <w:rsid w:val="003952E5"/>
    <w:rsid w:val="00396155"/>
    <w:rsid w:val="00396469"/>
    <w:rsid w:val="003972A4"/>
    <w:rsid w:val="00397A87"/>
    <w:rsid w:val="003A04FA"/>
    <w:rsid w:val="003A1042"/>
    <w:rsid w:val="003A124E"/>
    <w:rsid w:val="003A14A2"/>
    <w:rsid w:val="003A1F36"/>
    <w:rsid w:val="003A3881"/>
    <w:rsid w:val="003A533F"/>
    <w:rsid w:val="003A58B2"/>
    <w:rsid w:val="003A6829"/>
    <w:rsid w:val="003A7AF7"/>
    <w:rsid w:val="003B02E7"/>
    <w:rsid w:val="003B0771"/>
    <w:rsid w:val="003B1CA9"/>
    <w:rsid w:val="003B1D71"/>
    <w:rsid w:val="003B2B16"/>
    <w:rsid w:val="003B2DC7"/>
    <w:rsid w:val="003B2F0E"/>
    <w:rsid w:val="003B4835"/>
    <w:rsid w:val="003B4A4E"/>
    <w:rsid w:val="003B4E51"/>
    <w:rsid w:val="003B5D49"/>
    <w:rsid w:val="003B63D8"/>
    <w:rsid w:val="003B693F"/>
    <w:rsid w:val="003B6E9E"/>
    <w:rsid w:val="003B71CB"/>
    <w:rsid w:val="003B7AA6"/>
    <w:rsid w:val="003B7AC2"/>
    <w:rsid w:val="003B7BE4"/>
    <w:rsid w:val="003B7D1D"/>
    <w:rsid w:val="003C01E3"/>
    <w:rsid w:val="003C1150"/>
    <w:rsid w:val="003C1511"/>
    <w:rsid w:val="003C224C"/>
    <w:rsid w:val="003C2B7B"/>
    <w:rsid w:val="003C2EFC"/>
    <w:rsid w:val="003C37B9"/>
    <w:rsid w:val="003C434F"/>
    <w:rsid w:val="003C47C4"/>
    <w:rsid w:val="003C4DCC"/>
    <w:rsid w:val="003C5C12"/>
    <w:rsid w:val="003C65E6"/>
    <w:rsid w:val="003C77E5"/>
    <w:rsid w:val="003D038A"/>
    <w:rsid w:val="003D12C9"/>
    <w:rsid w:val="003D1C5B"/>
    <w:rsid w:val="003D5190"/>
    <w:rsid w:val="003D6403"/>
    <w:rsid w:val="003D729C"/>
    <w:rsid w:val="003D7447"/>
    <w:rsid w:val="003D78F5"/>
    <w:rsid w:val="003E10C5"/>
    <w:rsid w:val="003E10E6"/>
    <w:rsid w:val="003E1A35"/>
    <w:rsid w:val="003E2774"/>
    <w:rsid w:val="003E3888"/>
    <w:rsid w:val="003E3AA4"/>
    <w:rsid w:val="003E46C0"/>
    <w:rsid w:val="003E4E0F"/>
    <w:rsid w:val="003E4F2F"/>
    <w:rsid w:val="003E5F2C"/>
    <w:rsid w:val="003F0137"/>
    <w:rsid w:val="003F1444"/>
    <w:rsid w:val="003F1C96"/>
    <w:rsid w:val="003F30E4"/>
    <w:rsid w:val="003F350F"/>
    <w:rsid w:val="003F3890"/>
    <w:rsid w:val="003F4E7F"/>
    <w:rsid w:val="003F591E"/>
    <w:rsid w:val="003F59A7"/>
    <w:rsid w:val="003F672A"/>
    <w:rsid w:val="003F7948"/>
    <w:rsid w:val="003F7A17"/>
    <w:rsid w:val="003F7BD7"/>
    <w:rsid w:val="00400C9A"/>
    <w:rsid w:val="004015A2"/>
    <w:rsid w:val="0040234E"/>
    <w:rsid w:val="00402460"/>
    <w:rsid w:val="004025AA"/>
    <w:rsid w:val="00403040"/>
    <w:rsid w:val="0040537C"/>
    <w:rsid w:val="00406966"/>
    <w:rsid w:val="00406CDD"/>
    <w:rsid w:val="00407254"/>
    <w:rsid w:val="00407335"/>
    <w:rsid w:val="00407AE9"/>
    <w:rsid w:val="00407D15"/>
    <w:rsid w:val="00407DE4"/>
    <w:rsid w:val="00407EDE"/>
    <w:rsid w:val="00411E77"/>
    <w:rsid w:val="004127CE"/>
    <w:rsid w:val="00412B76"/>
    <w:rsid w:val="00412DDA"/>
    <w:rsid w:val="00412F15"/>
    <w:rsid w:val="00413287"/>
    <w:rsid w:val="00413E31"/>
    <w:rsid w:val="00414DB5"/>
    <w:rsid w:val="004156C7"/>
    <w:rsid w:val="00420AF8"/>
    <w:rsid w:val="00420D6E"/>
    <w:rsid w:val="00421B61"/>
    <w:rsid w:val="00421C3C"/>
    <w:rsid w:val="004232D2"/>
    <w:rsid w:val="00424B9F"/>
    <w:rsid w:val="00424DB0"/>
    <w:rsid w:val="00424EDF"/>
    <w:rsid w:val="0042598D"/>
    <w:rsid w:val="00426149"/>
    <w:rsid w:val="00426EAE"/>
    <w:rsid w:val="00427158"/>
    <w:rsid w:val="00427F43"/>
    <w:rsid w:val="004300A4"/>
    <w:rsid w:val="0043081A"/>
    <w:rsid w:val="00431A47"/>
    <w:rsid w:val="004340A9"/>
    <w:rsid w:val="004341CA"/>
    <w:rsid w:val="004341D8"/>
    <w:rsid w:val="004348C9"/>
    <w:rsid w:val="004357BA"/>
    <w:rsid w:val="00436A88"/>
    <w:rsid w:val="00436DE1"/>
    <w:rsid w:val="00437F5E"/>
    <w:rsid w:val="00440007"/>
    <w:rsid w:val="00440C37"/>
    <w:rsid w:val="004417F1"/>
    <w:rsid w:val="00442197"/>
    <w:rsid w:val="00442C18"/>
    <w:rsid w:val="004432C9"/>
    <w:rsid w:val="0044376A"/>
    <w:rsid w:val="00443949"/>
    <w:rsid w:val="00445534"/>
    <w:rsid w:val="00445B1B"/>
    <w:rsid w:val="00446423"/>
    <w:rsid w:val="004465E7"/>
    <w:rsid w:val="00446CEF"/>
    <w:rsid w:val="0045072D"/>
    <w:rsid w:val="00451630"/>
    <w:rsid w:val="00451B3B"/>
    <w:rsid w:val="00452280"/>
    <w:rsid w:val="00453563"/>
    <w:rsid w:val="00455041"/>
    <w:rsid w:val="004556A2"/>
    <w:rsid w:val="004558C8"/>
    <w:rsid w:val="00455974"/>
    <w:rsid w:val="00456368"/>
    <w:rsid w:val="0045667E"/>
    <w:rsid w:val="00456803"/>
    <w:rsid w:val="00457A43"/>
    <w:rsid w:val="00457C55"/>
    <w:rsid w:val="00457D8E"/>
    <w:rsid w:val="00460201"/>
    <w:rsid w:val="0046089E"/>
    <w:rsid w:val="00460B8E"/>
    <w:rsid w:val="004612E9"/>
    <w:rsid w:val="004629A9"/>
    <w:rsid w:val="00463249"/>
    <w:rsid w:val="00463FD2"/>
    <w:rsid w:val="00464E05"/>
    <w:rsid w:val="00465D7B"/>
    <w:rsid w:val="0046748F"/>
    <w:rsid w:val="0047100A"/>
    <w:rsid w:val="00474F7E"/>
    <w:rsid w:val="004752BA"/>
    <w:rsid w:val="004752C5"/>
    <w:rsid w:val="004753A3"/>
    <w:rsid w:val="00475AD6"/>
    <w:rsid w:val="00475D37"/>
    <w:rsid w:val="004763D6"/>
    <w:rsid w:val="004768CC"/>
    <w:rsid w:val="00477C2A"/>
    <w:rsid w:val="004802C6"/>
    <w:rsid w:val="004808A8"/>
    <w:rsid w:val="00481322"/>
    <w:rsid w:val="00482025"/>
    <w:rsid w:val="00482E87"/>
    <w:rsid w:val="00483449"/>
    <w:rsid w:val="00483E5F"/>
    <w:rsid w:val="00483FDC"/>
    <w:rsid w:val="00485B55"/>
    <w:rsid w:val="00486869"/>
    <w:rsid w:val="0049168D"/>
    <w:rsid w:val="00493235"/>
    <w:rsid w:val="004935E7"/>
    <w:rsid w:val="00493D02"/>
    <w:rsid w:val="004941E5"/>
    <w:rsid w:val="00495E87"/>
    <w:rsid w:val="00495F2D"/>
    <w:rsid w:val="00496783"/>
    <w:rsid w:val="004967AF"/>
    <w:rsid w:val="004A089D"/>
    <w:rsid w:val="004A09D9"/>
    <w:rsid w:val="004A0D39"/>
    <w:rsid w:val="004A0D5E"/>
    <w:rsid w:val="004A0F88"/>
    <w:rsid w:val="004A1C19"/>
    <w:rsid w:val="004A20F3"/>
    <w:rsid w:val="004A2472"/>
    <w:rsid w:val="004A247C"/>
    <w:rsid w:val="004A2A42"/>
    <w:rsid w:val="004A4DAB"/>
    <w:rsid w:val="004A58F9"/>
    <w:rsid w:val="004A5CEA"/>
    <w:rsid w:val="004A648F"/>
    <w:rsid w:val="004A6E42"/>
    <w:rsid w:val="004B1827"/>
    <w:rsid w:val="004B2C46"/>
    <w:rsid w:val="004B472D"/>
    <w:rsid w:val="004B4B00"/>
    <w:rsid w:val="004B5A50"/>
    <w:rsid w:val="004B7136"/>
    <w:rsid w:val="004B741F"/>
    <w:rsid w:val="004C0D8D"/>
    <w:rsid w:val="004C0EF7"/>
    <w:rsid w:val="004C0F0E"/>
    <w:rsid w:val="004C20D2"/>
    <w:rsid w:val="004C2447"/>
    <w:rsid w:val="004C56B7"/>
    <w:rsid w:val="004C56E8"/>
    <w:rsid w:val="004C5949"/>
    <w:rsid w:val="004C5B18"/>
    <w:rsid w:val="004C6006"/>
    <w:rsid w:val="004C6D41"/>
    <w:rsid w:val="004C7C3F"/>
    <w:rsid w:val="004D0421"/>
    <w:rsid w:val="004D1C90"/>
    <w:rsid w:val="004D2778"/>
    <w:rsid w:val="004D2B70"/>
    <w:rsid w:val="004D30BE"/>
    <w:rsid w:val="004D328B"/>
    <w:rsid w:val="004D35CD"/>
    <w:rsid w:val="004D3E0C"/>
    <w:rsid w:val="004D4146"/>
    <w:rsid w:val="004D5330"/>
    <w:rsid w:val="004D6E15"/>
    <w:rsid w:val="004D7984"/>
    <w:rsid w:val="004E0CC7"/>
    <w:rsid w:val="004E0F73"/>
    <w:rsid w:val="004E2153"/>
    <w:rsid w:val="004E232B"/>
    <w:rsid w:val="004E4249"/>
    <w:rsid w:val="004E5294"/>
    <w:rsid w:val="004E5CEA"/>
    <w:rsid w:val="004E6355"/>
    <w:rsid w:val="004E6FF5"/>
    <w:rsid w:val="004F0CF4"/>
    <w:rsid w:val="004F0FC8"/>
    <w:rsid w:val="004F1386"/>
    <w:rsid w:val="004F3408"/>
    <w:rsid w:val="004F37CF"/>
    <w:rsid w:val="004F4065"/>
    <w:rsid w:val="004F45E3"/>
    <w:rsid w:val="004F45F5"/>
    <w:rsid w:val="004F6D83"/>
    <w:rsid w:val="00500314"/>
    <w:rsid w:val="0050389C"/>
    <w:rsid w:val="005045AC"/>
    <w:rsid w:val="0050508A"/>
    <w:rsid w:val="00505460"/>
    <w:rsid w:val="00507067"/>
    <w:rsid w:val="005078C4"/>
    <w:rsid w:val="00507AB7"/>
    <w:rsid w:val="00510785"/>
    <w:rsid w:val="005112AE"/>
    <w:rsid w:val="00511529"/>
    <w:rsid w:val="005121CA"/>
    <w:rsid w:val="0051296F"/>
    <w:rsid w:val="00512DBE"/>
    <w:rsid w:val="00513B2F"/>
    <w:rsid w:val="00513BE7"/>
    <w:rsid w:val="00515B7C"/>
    <w:rsid w:val="00515ED7"/>
    <w:rsid w:val="00516C58"/>
    <w:rsid w:val="00516C6E"/>
    <w:rsid w:val="0051737D"/>
    <w:rsid w:val="0051743C"/>
    <w:rsid w:val="00517AA6"/>
    <w:rsid w:val="00521077"/>
    <w:rsid w:val="005222A3"/>
    <w:rsid w:val="005224A0"/>
    <w:rsid w:val="0052352A"/>
    <w:rsid w:val="005248DC"/>
    <w:rsid w:val="00524CDE"/>
    <w:rsid w:val="00524D91"/>
    <w:rsid w:val="00525752"/>
    <w:rsid w:val="00526862"/>
    <w:rsid w:val="00530AE7"/>
    <w:rsid w:val="005321A3"/>
    <w:rsid w:val="00533274"/>
    <w:rsid w:val="00533D08"/>
    <w:rsid w:val="00534002"/>
    <w:rsid w:val="00534B1F"/>
    <w:rsid w:val="005351E7"/>
    <w:rsid w:val="005358A6"/>
    <w:rsid w:val="005359A7"/>
    <w:rsid w:val="00535DA6"/>
    <w:rsid w:val="00535F6A"/>
    <w:rsid w:val="00536E21"/>
    <w:rsid w:val="00536F30"/>
    <w:rsid w:val="00537322"/>
    <w:rsid w:val="00540668"/>
    <w:rsid w:val="00540C5D"/>
    <w:rsid w:val="00540E92"/>
    <w:rsid w:val="00540FE5"/>
    <w:rsid w:val="00541E6B"/>
    <w:rsid w:val="00541F5E"/>
    <w:rsid w:val="00543113"/>
    <w:rsid w:val="005437B8"/>
    <w:rsid w:val="0054521F"/>
    <w:rsid w:val="00545F55"/>
    <w:rsid w:val="00546C4C"/>
    <w:rsid w:val="00547427"/>
    <w:rsid w:val="0054772E"/>
    <w:rsid w:val="00550702"/>
    <w:rsid w:val="00551096"/>
    <w:rsid w:val="00552E1D"/>
    <w:rsid w:val="00553833"/>
    <w:rsid w:val="00553E1A"/>
    <w:rsid w:val="0055413D"/>
    <w:rsid w:val="0055422F"/>
    <w:rsid w:val="005546EC"/>
    <w:rsid w:val="00554D30"/>
    <w:rsid w:val="00555017"/>
    <w:rsid w:val="00556BBA"/>
    <w:rsid w:val="00564047"/>
    <w:rsid w:val="00564DEC"/>
    <w:rsid w:val="005662AC"/>
    <w:rsid w:val="00567228"/>
    <w:rsid w:val="0056752F"/>
    <w:rsid w:val="0057267A"/>
    <w:rsid w:val="005747C4"/>
    <w:rsid w:val="00574A50"/>
    <w:rsid w:val="0057702F"/>
    <w:rsid w:val="005771EA"/>
    <w:rsid w:val="005808F9"/>
    <w:rsid w:val="005815B1"/>
    <w:rsid w:val="005815CB"/>
    <w:rsid w:val="00581CED"/>
    <w:rsid w:val="0058319F"/>
    <w:rsid w:val="005853E6"/>
    <w:rsid w:val="00585516"/>
    <w:rsid w:val="0058679B"/>
    <w:rsid w:val="005868EC"/>
    <w:rsid w:val="00587CD7"/>
    <w:rsid w:val="00590362"/>
    <w:rsid w:val="0059124A"/>
    <w:rsid w:val="00591464"/>
    <w:rsid w:val="00591743"/>
    <w:rsid w:val="0059209E"/>
    <w:rsid w:val="005926F7"/>
    <w:rsid w:val="00592912"/>
    <w:rsid w:val="00593173"/>
    <w:rsid w:val="00593430"/>
    <w:rsid w:val="0059432D"/>
    <w:rsid w:val="00594ADA"/>
    <w:rsid w:val="00594F07"/>
    <w:rsid w:val="00595AFC"/>
    <w:rsid w:val="005969C7"/>
    <w:rsid w:val="00597D82"/>
    <w:rsid w:val="005A0584"/>
    <w:rsid w:val="005A0698"/>
    <w:rsid w:val="005A071D"/>
    <w:rsid w:val="005A10EA"/>
    <w:rsid w:val="005A1605"/>
    <w:rsid w:val="005A1C33"/>
    <w:rsid w:val="005A29BD"/>
    <w:rsid w:val="005A2BE8"/>
    <w:rsid w:val="005A2F48"/>
    <w:rsid w:val="005A3292"/>
    <w:rsid w:val="005A38B8"/>
    <w:rsid w:val="005A4567"/>
    <w:rsid w:val="005A4C29"/>
    <w:rsid w:val="005A4F96"/>
    <w:rsid w:val="005A5021"/>
    <w:rsid w:val="005A5839"/>
    <w:rsid w:val="005A6711"/>
    <w:rsid w:val="005A6734"/>
    <w:rsid w:val="005A6C56"/>
    <w:rsid w:val="005A6D8B"/>
    <w:rsid w:val="005A7111"/>
    <w:rsid w:val="005A7B14"/>
    <w:rsid w:val="005B0BF3"/>
    <w:rsid w:val="005B2871"/>
    <w:rsid w:val="005B3D22"/>
    <w:rsid w:val="005B468B"/>
    <w:rsid w:val="005B6132"/>
    <w:rsid w:val="005B67ED"/>
    <w:rsid w:val="005B7A21"/>
    <w:rsid w:val="005C021A"/>
    <w:rsid w:val="005C0F59"/>
    <w:rsid w:val="005C2199"/>
    <w:rsid w:val="005C28BF"/>
    <w:rsid w:val="005C2EC4"/>
    <w:rsid w:val="005C349C"/>
    <w:rsid w:val="005C3BCC"/>
    <w:rsid w:val="005C4FE0"/>
    <w:rsid w:val="005C5679"/>
    <w:rsid w:val="005C5D46"/>
    <w:rsid w:val="005C67D1"/>
    <w:rsid w:val="005C6E54"/>
    <w:rsid w:val="005C7BB3"/>
    <w:rsid w:val="005C7E83"/>
    <w:rsid w:val="005C7EC5"/>
    <w:rsid w:val="005C7F12"/>
    <w:rsid w:val="005D03E4"/>
    <w:rsid w:val="005D0466"/>
    <w:rsid w:val="005D047B"/>
    <w:rsid w:val="005D15B5"/>
    <w:rsid w:val="005D1D26"/>
    <w:rsid w:val="005D2389"/>
    <w:rsid w:val="005D2402"/>
    <w:rsid w:val="005D3BA2"/>
    <w:rsid w:val="005D443C"/>
    <w:rsid w:val="005D46A7"/>
    <w:rsid w:val="005D569A"/>
    <w:rsid w:val="005D5B30"/>
    <w:rsid w:val="005D6B8D"/>
    <w:rsid w:val="005D752A"/>
    <w:rsid w:val="005E079F"/>
    <w:rsid w:val="005E0C8A"/>
    <w:rsid w:val="005E2844"/>
    <w:rsid w:val="005E491F"/>
    <w:rsid w:val="005E7444"/>
    <w:rsid w:val="005F22BC"/>
    <w:rsid w:val="005F248A"/>
    <w:rsid w:val="005F35B9"/>
    <w:rsid w:val="005F428D"/>
    <w:rsid w:val="005F466A"/>
    <w:rsid w:val="005F55A4"/>
    <w:rsid w:val="005F5A8F"/>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1A9"/>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5DB5"/>
    <w:rsid w:val="0062665A"/>
    <w:rsid w:val="0062698C"/>
    <w:rsid w:val="00627EE3"/>
    <w:rsid w:val="00630648"/>
    <w:rsid w:val="006309A0"/>
    <w:rsid w:val="00630E3B"/>
    <w:rsid w:val="00630F68"/>
    <w:rsid w:val="00631FAB"/>
    <w:rsid w:val="00632906"/>
    <w:rsid w:val="0063318C"/>
    <w:rsid w:val="0063467F"/>
    <w:rsid w:val="00635303"/>
    <w:rsid w:val="00635903"/>
    <w:rsid w:val="0063606D"/>
    <w:rsid w:val="006372F4"/>
    <w:rsid w:val="00637C8E"/>
    <w:rsid w:val="00640310"/>
    <w:rsid w:val="00640A11"/>
    <w:rsid w:val="006419AE"/>
    <w:rsid w:val="00641C5F"/>
    <w:rsid w:val="006428BE"/>
    <w:rsid w:val="00643460"/>
    <w:rsid w:val="00643C05"/>
    <w:rsid w:val="00644FCD"/>
    <w:rsid w:val="00645F2B"/>
    <w:rsid w:val="006461AD"/>
    <w:rsid w:val="00646DE3"/>
    <w:rsid w:val="0064745A"/>
    <w:rsid w:val="00647733"/>
    <w:rsid w:val="00647CAC"/>
    <w:rsid w:val="00650521"/>
    <w:rsid w:val="00651023"/>
    <w:rsid w:val="00651DB0"/>
    <w:rsid w:val="0065237E"/>
    <w:rsid w:val="006524E7"/>
    <w:rsid w:val="006535EB"/>
    <w:rsid w:val="00653606"/>
    <w:rsid w:val="006536D5"/>
    <w:rsid w:val="00654B5D"/>
    <w:rsid w:val="00654F70"/>
    <w:rsid w:val="00655328"/>
    <w:rsid w:val="006565C8"/>
    <w:rsid w:val="00656C8A"/>
    <w:rsid w:val="006576A1"/>
    <w:rsid w:val="0066014E"/>
    <w:rsid w:val="006601DD"/>
    <w:rsid w:val="00660696"/>
    <w:rsid w:val="00660FA6"/>
    <w:rsid w:val="00661C40"/>
    <w:rsid w:val="00661CDA"/>
    <w:rsid w:val="006622D8"/>
    <w:rsid w:val="00663774"/>
    <w:rsid w:val="006639E8"/>
    <w:rsid w:val="00664184"/>
    <w:rsid w:val="006652A4"/>
    <w:rsid w:val="006652DD"/>
    <w:rsid w:val="0066543B"/>
    <w:rsid w:val="0066592E"/>
    <w:rsid w:val="0066688F"/>
    <w:rsid w:val="006669BF"/>
    <w:rsid w:val="00670496"/>
    <w:rsid w:val="00671503"/>
    <w:rsid w:val="006718FD"/>
    <w:rsid w:val="00671EFF"/>
    <w:rsid w:val="00672369"/>
    <w:rsid w:val="006724B9"/>
    <w:rsid w:val="00672DAD"/>
    <w:rsid w:val="00672E0E"/>
    <w:rsid w:val="006747C5"/>
    <w:rsid w:val="00676463"/>
    <w:rsid w:val="006766B8"/>
    <w:rsid w:val="00676DE2"/>
    <w:rsid w:val="00677D3F"/>
    <w:rsid w:val="0068060D"/>
    <w:rsid w:val="00680B37"/>
    <w:rsid w:val="00680CBB"/>
    <w:rsid w:val="00683081"/>
    <w:rsid w:val="00683309"/>
    <w:rsid w:val="006834AF"/>
    <w:rsid w:val="00683843"/>
    <w:rsid w:val="00683F3E"/>
    <w:rsid w:val="0068454F"/>
    <w:rsid w:val="006847E2"/>
    <w:rsid w:val="0068492B"/>
    <w:rsid w:val="00685B6B"/>
    <w:rsid w:val="00690920"/>
    <w:rsid w:val="00691C23"/>
    <w:rsid w:val="006922EC"/>
    <w:rsid w:val="00693643"/>
    <w:rsid w:val="00695838"/>
    <w:rsid w:val="00695D94"/>
    <w:rsid w:val="006960DA"/>
    <w:rsid w:val="0069696A"/>
    <w:rsid w:val="006A029C"/>
    <w:rsid w:val="006A0F0B"/>
    <w:rsid w:val="006A1E9E"/>
    <w:rsid w:val="006A21FC"/>
    <w:rsid w:val="006A2F36"/>
    <w:rsid w:val="006A45D0"/>
    <w:rsid w:val="006A4A8F"/>
    <w:rsid w:val="006A5163"/>
    <w:rsid w:val="006A7BD4"/>
    <w:rsid w:val="006B0989"/>
    <w:rsid w:val="006B0E5E"/>
    <w:rsid w:val="006B1145"/>
    <w:rsid w:val="006B18AB"/>
    <w:rsid w:val="006B1EE0"/>
    <w:rsid w:val="006B1EE3"/>
    <w:rsid w:val="006B2658"/>
    <w:rsid w:val="006B2F61"/>
    <w:rsid w:val="006B3128"/>
    <w:rsid w:val="006B4D2D"/>
    <w:rsid w:val="006B50F3"/>
    <w:rsid w:val="006B525A"/>
    <w:rsid w:val="006B557C"/>
    <w:rsid w:val="006B557E"/>
    <w:rsid w:val="006B62C1"/>
    <w:rsid w:val="006B6985"/>
    <w:rsid w:val="006B79FC"/>
    <w:rsid w:val="006B7B0A"/>
    <w:rsid w:val="006C070F"/>
    <w:rsid w:val="006C170E"/>
    <w:rsid w:val="006C25C2"/>
    <w:rsid w:val="006C2A50"/>
    <w:rsid w:val="006C346D"/>
    <w:rsid w:val="006C38DC"/>
    <w:rsid w:val="006C45AA"/>
    <w:rsid w:val="006C4755"/>
    <w:rsid w:val="006C4822"/>
    <w:rsid w:val="006C4974"/>
    <w:rsid w:val="006C4EDA"/>
    <w:rsid w:val="006C6BDE"/>
    <w:rsid w:val="006C7D1F"/>
    <w:rsid w:val="006C7E00"/>
    <w:rsid w:val="006D0682"/>
    <w:rsid w:val="006D0970"/>
    <w:rsid w:val="006D177C"/>
    <w:rsid w:val="006D225C"/>
    <w:rsid w:val="006D26D2"/>
    <w:rsid w:val="006D2EC0"/>
    <w:rsid w:val="006D3958"/>
    <w:rsid w:val="006D3C8B"/>
    <w:rsid w:val="006D3E8F"/>
    <w:rsid w:val="006D4C55"/>
    <w:rsid w:val="006D642E"/>
    <w:rsid w:val="006D7274"/>
    <w:rsid w:val="006D72D8"/>
    <w:rsid w:val="006D7D8E"/>
    <w:rsid w:val="006E02F8"/>
    <w:rsid w:val="006E0967"/>
    <w:rsid w:val="006E0F42"/>
    <w:rsid w:val="006E17ED"/>
    <w:rsid w:val="006E3FD7"/>
    <w:rsid w:val="006E45DD"/>
    <w:rsid w:val="006E498A"/>
    <w:rsid w:val="006E4E45"/>
    <w:rsid w:val="006E5405"/>
    <w:rsid w:val="006E56A2"/>
    <w:rsid w:val="006E5D8F"/>
    <w:rsid w:val="006E640F"/>
    <w:rsid w:val="006E6C84"/>
    <w:rsid w:val="006E6F46"/>
    <w:rsid w:val="006E7E9F"/>
    <w:rsid w:val="006F0B1A"/>
    <w:rsid w:val="006F0FE3"/>
    <w:rsid w:val="006F1114"/>
    <w:rsid w:val="006F1A2F"/>
    <w:rsid w:val="006F20FD"/>
    <w:rsid w:val="006F29B2"/>
    <w:rsid w:val="006F3115"/>
    <w:rsid w:val="006F3FB1"/>
    <w:rsid w:val="006F511E"/>
    <w:rsid w:val="006F51F3"/>
    <w:rsid w:val="006F5F3F"/>
    <w:rsid w:val="0070038B"/>
    <w:rsid w:val="00700459"/>
    <w:rsid w:val="00700617"/>
    <w:rsid w:val="00701097"/>
    <w:rsid w:val="00701D26"/>
    <w:rsid w:val="00701EDC"/>
    <w:rsid w:val="0070214C"/>
    <w:rsid w:val="00702977"/>
    <w:rsid w:val="00702F51"/>
    <w:rsid w:val="00703485"/>
    <w:rsid w:val="00703CD6"/>
    <w:rsid w:val="00704DA4"/>
    <w:rsid w:val="0070655B"/>
    <w:rsid w:val="00710840"/>
    <w:rsid w:val="00711F7C"/>
    <w:rsid w:val="00712406"/>
    <w:rsid w:val="00712590"/>
    <w:rsid w:val="0071289A"/>
    <w:rsid w:val="00712A36"/>
    <w:rsid w:val="00713949"/>
    <w:rsid w:val="0071463C"/>
    <w:rsid w:val="00715039"/>
    <w:rsid w:val="007157C3"/>
    <w:rsid w:val="00715847"/>
    <w:rsid w:val="00716F5B"/>
    <w:rsid w:val="007179BE"/>
    <w:rsid w:val="00717A35"/>
    <w:rsid w:val="00717D2E"/>
    <w:rsid w:val="00720B6F"/>
    <w:rsid w:val="00721D80"/>
    <w:rsid w:val="00722E11"/>
    <w:rsid w:val="0072320D"/>
    <w:rsid w:val="00723434"/>
    <w:rsid w:val="00723865"/>
    <w:rsid w:val="00723E29"/>
    <w:rsid w:val="0072425F"/>
    <w:rsid w:val="00725317"/>
    <w:rsid w:val="00725509"/>
    <w:rsid w:val="0072588C"/>
    <w:rsid w:val="007264E0"/>
    <w:rsid w:val="00726A28"/>
    <w:rsid w:val="007270CB"/>
    <w:rsid w:val="0072735A"/>
    <w:rsid w:val="007275D7"/>
    <w:rsid w:val="0073026D"/>
    <w:rsid w:val="007304C2"/>
    <w:rsid w:val="007304CB"/>
    <w:rsid w:val="007337ED"/>
    <w:rsid w:val="00734053"/>
    <w:rsid w:val="007341C4"/>
    <w:rsid w:val="00736DB4"/>
    <w:rsid w:val="0073710B"/>
    <w:rsid w:val="007374FE"/>
    <w:rsid w:val="00740493"/>
    <w:rsid w:val="0074053D"/>
    <w:rsid w:val="00740F02"/>
    <w:rsid w:val="007410C5"/>
    <w:rsid w:val="00741C40"/>
    <w:rsid w:val="00742250"/>
    <w:rsid w:val="007435F3"/>
    <w:rsid w:val="00744738"/>
    <w:rsid w:val="007456D0"/>
    <w:rsid w:val="00745955"/>
    <w:rsid w:val="00745A91"/>
    <w:rsid w:val="00746A73"/>
    <w:rsid w:val="00746B85"/>
    <w:rsid w:val="007501D0"/>
    <w:rsid w:val="00750520"/>
    <w:rsid w:val="007508DA"/>
    <w:rsid w:val="00750DD3"/>
    <w:rsid w:val="00751369"/>
    <w:rsid w:val="0075180F"/>
    <w:rsid w:val="00751EF6"/>
    <w:rsid w:val="00753679"/>
    <w:rsid w:val="00754090"/>
    <w:rsid w:val="007543E9"/>
    <w:rsid w:val="00755550"/>
    <w:rsid w:val="00755878"/>
    <w:rsid w:val="007560CA"/>
    <w:rsid w:val="0075732B"/>
    <w:rsid w:val="007573C3"/>
    <w:rsid w:val="00757844"/>
    <w:rsid w:val="0076001A"/>
    <w:rsid w:val="00760A57"/>
    <w:rsid w:val="00760DA7"/>
    <w:rsid w:val="00760EB9"/>
    <w:rsid w:val="0076114C"/>
    <w:rsid w:val="00761922"/>
    <w:rsid w:val="0076239B"/>
    <w:rsid w:val="00763A8F"/>
    <w:rsid w:val="00766185"/>
    <w:rsid w:val="007669C9"/>
    <w:rsid w:val="00766EA9"/>
    <w:rsid w:val="00771167"/>
    <w:rsid w:val="00772A3C"/>
    <w:rsid w:val="007736DF"/>
    <w:rsid w:val="00774E8C"/>
    <w:rsid w:val="00775119"/>
    <w:rsid w:val="00775B66"/>
    <w:rsid w:val="0077641D"/>
    <w:rsid w:val="00780BBD"/>
    <w:rsid w:val="00780FAA"/>
    <w:rsid w:val="0078170F"/>
    <w:rsid w:val="00783860"/>
    <w:rsid w:val="007845C1"/>
    <w:rsid w:val="00784F86"/>
    <w:rsid w:val="00785850"/>
    <w:rsid w:val="00785D7E"/>
    <w:rsid w:val="00786460"/>
    <w:rsid w:val="007914C8"/>
    <w:rsid w:val="007923BB"/>
    <w:rsid w:val="00796058"/>
    <w:rsid w:val="007961ED"/>
    <w:rsid w:val="0079674C"/>
    <w:rsid w:val="00797CFD"/>
    <w:rsid w:val="007A1F5B"/>
    <w:rsid w:val="007A452D"/>
    <w:rsid w:val="007A4A61"/>
    <w:rsid w:val="007A5B7D"/>
    <w:rsid w:val="007A5C1E"/>
    <w:rsid w:val="007A5C3B"/>
    <w:rsid w:val="007A5F41"/>
    <w:rsid w:val="007A61E1"/>
    <w:rsid w:val="007A669F"/>
    <w:rsid w:val="007A6BD2"/>
    <w:rsid w:val="007A700B"/>
    <w:rsid w:val="007A7D26"/>
    <w:rsid w:val="007B0AD9"/>
    <w:rsid w:val="007B2660"/>
    <w:rsid w:val="007B29BB"/>
    <w:rsid w:val="007B2BD9"/>
    <w:rsid w:val="007B2DFB"/>
    <w:rsid w:val="007B3513"/>
    <w:rsid w:val="007B4171"/>
    <w:rsid w:val="007B47C4"/>
    <w:rsid w:val="007B52B9"/>
    <w:rsid w:val="007B5D24"/>
    <w:rsid w:val="007B6A8F"/>
    <w:rsid w:val="007B6F03"/>
    <w:rsid w:val="007B6F82"/>
    <w:rsid w:val="007B725E"/>
    <w:rsid w:val="007C0092"/>
    <w:rsid w:val="007C05F6"/>
    <w:rsid w:val="007C1B99"/>
    <w:rsid w:val="007C3721"/>
    <w:rsid w:val="007C3A58"/>
    <w:rsid w:val="007C4D61"/>
    <w:rsid w:val="007C5DA4"/>
    <w:rsid w:val="007C6166"/>
    <w:rsid w:val="007C6E98"/>
    <w:rsid w:val="007C7399"/>
    <w:rsid w:val="007C74D8"/>
    <w:rsid w:val="007C7A83"/>
    <w:rsid w:val="007D151B"/>
    <w:rsid w:val="007D16AC"/>
    <w:rsid w:val="007D1BDD"/>
    <w:rsid w:val="007D277B"/>
    <w:rsid w:val="007D28F1"/>
    <w:rsid w:val="007D2D8E"/>
    <w:rsid w:val="007D331F"/>
    <w:rsid w:val="007D3A96"/>
    <w:rsid w:val="007D3C45"/>
    <w:rsid w:val="007D46F9"/>
    <w:rsid w:val="007D4C94"/>
    <w:rsid w:val="007D4DF4"/>
    <w:rsid w:val="007D4E10"/>
    <w:rsid w:val="007D5AE1"/>
    <w:rsid w:val="007D7028"/>
    <w:rsid w:val="007D7967"/>
    <w:rsid w:val="007E03C4"/>
    <w:rsid w:val="007E0CB1"/>
    <w:rsid w:val="007E1312"/>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844"/>
    <w:rsid w:val="007F197F"/>
    <w:rsid w:val="007F260B"/>
    <w:rsid w:val="007F31FE"/>
    <w:rsid w:val="007F394E"/>
    <w:rsid w:val="007F46A7"/>
    <w:rsid w:val="007F5302"/>
    <w:rsid w:val="007F6115"/>
    <w:rsid w:val="007F6E4D"/>
    <w:rsid w:val="007F751E"/>
    <w:rsid w:val="008004B8"/>
    <w:rsid w:val="00800ADC"/>
    <w:rsid w:val="00800CEB"/>
    <w:rsid w:val="00801EDC"/>
    <w:rsid w:val="00803E18"/>
    <w:rsid w:val="00805B4C"/>
    <w:rsid w:val="00807643"/>
    <w:rsid w:val="00810625"/>
    <w:rsid w:val="00810D84"/>
    <w:rsid w:val="00810E5E"/>
    <w:rsid w:val="00811931"/>
    <w:rsid w:val="0081279C"/>
    <w:rsid w:val="008130D3"/>
    <w:rsid w:val="008141F3"/>
    <w:rsid w:val="00814E3D"/>
    <w:rsid w:val="00815458"/>
    <w:rsid w:val="00815D87"/>
    <w:rsid w:val="00816AFB"/>
    <w:rsid w:val="008208B7"/>
    <w:rsid w:val="00820D4A"/>
    <w:rsid w:val="00821567"/>
    <w:rsid w:val="00822078"/>
    <w:rsid w:val="00822509"/>
    <w:rsid w:val="0082264A"/>
    <w:rsid w:val="00822999"/>
    <w:rsid w:val="008230FF"/>
    <w:rsid w:val="00823264"/>
    <w:rsid w:val="00825DF1"/>
    <w:rsid w:val="00826432"/>
    <w:rsid w:val="0083016B"/>
    <w:rsid w:val="00831EC7"/>
    <w:rsid w:val="008322A2"/>
    <w:rsid w:val="008326D0"/>
    <w:rsid w:val="00832A4D"/>
    <w:rsid w:val="008335B6"/>
    <w:rsid w:val="00833E01"/>
    <w:rsid w:val="008357B3"/>
    <w:rsid w:val="00835ED2"/>
    <w:rsid w:val="0083721A"/>
    <w:rsid w:val="0084002E"/>
    <w:rsid w:val="00841169"/>
    <w:rsid w:val="008414FB"/>
    <w:rsid w:val="008414FE"/>
    <w:rsid w:val="0084150F"/>
    <w:rsid w:val="00841DEE"/>
    <w:rsid w:val="00842B89"/>
    <w:rsid w:val="008434DE"/>
    <w:rsid w:val="0084362A"/>
    <w:rsid w:val="00844F38"/>
    <w:rsid w:val="008460FB"/>
    <w:rsid w:val="00846402"/>
    <w:rsid w:val="00846891"/>
    <w:rsid w:val="008501D2"/>
    <w:rsid w:val="0085031E"/>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782"/>
    <w:rsid w:val="00863AA4"/>
    <w:rsid w:val="00863DDF"/>
    <w:rsid w:val="00864859"/>
    <w:rsid w:val="00864CEC"/>
    <w:rsid w:val="00865DA7"/>
    <w:rsid w:val="00866185"/>
    <w:rsid w:val="00866475"/>
    <w:rsid w:val="00866B93"/>
    <w:rsid w:val="0086797D"/>
    <w:rsid w:val="00867FF2"/>
    <w:rsid w:val="00870D1B"/>
    <w:rsid w:val="00871057"/>
    <w:rsid w:val="0087128B"/>
    <w:rsid w:val="00872E1F"/>
    <w:rsid w:val="00872FBD"/>
    <w:rsid w:val="008731A2"/>
    <w:rsid w:val="0087370F"/>
    <w:rsid w:val="0087446D"/>
    <w:rsid w:val="008753E8"/>
    <w:rsid w:val="00876A7C"/>
    <w:rsid w:val="00876B11"/>
    <w:rsid w:val="00876D9E"/>
    <w:rsid w:val="00877003"/>
    <w:rsid w:val="00877266"/>
    <w:rsid w:val="00877820"/>
    <w:rsid w:val="00880190"/>
    <w:rsid w:val="008826AF"/>
    <w:rsid w:val="008826E1"/>
    <w:rsid w:val="00883638"/>
    <w:rsid w:val="0088386A"/>
    <w:rsid w:val="00884F03"/>
    <w:rsid w:val="0088593E"/>
    <w:rsid w:val="00885DD6"/>
    <w:rsid w:val="0088642E"/>
    <w:rsid w:val="008867C6"/>
    <w:rsid w:val="00886C85"/>
    <w:rsid w:val="008903A6"/>
    <w:rsid w:val="008906AD"/>
    <w:rsid w:val="008907B4"/>
    <w:rsid w:val="00890B76"/>
    <w:rsid w:val="00890C18"/>
    <w:rsid w:val="0089115D"/>
    <w:rsid w:val="00892348"/>
    <w:rsid w:val="00894942"/>
    <w:rsid w:val="00895837"/>
    <w:rsid w:val="00896403"/>
    <w:rsid w:val="0089686D"/>
    <w:rsid w:val="00896F25"/>
    <w:rsid w:val="00896F9E"/>
    <w:rsid w:val="00897EA1"/>
    <w:rsid w:val="008A030C"/>
    <w:rsid w:val="008A084C"/>
    <w:rsid w:val="008A0BDF"/>
    <w:rsid w:val="008A2DC5"/>
    <w:rsid w:val="008A3088"/>
    <w:rsid w:val="008A3DB3"/>
    <w:rsid w:val="008A5B08"/>
    <w:rsid w:val="008A6284"/>
    <w:rsid w:val="008A62A7"/>
    <w:rsid w:val="008A6434"/>
    <w:rsid w:val="008A660C"/>
    <w:rsid w:val="008A6BA8"/>
    <w:rsid w:val="008A6CB7"/>
    <w:rsid w:val="008A7697"/>
    <w:rsid w:val="008B0045"/>
    <w:rsid w:val="008B004B"/>
    <w:rsid w:val="008B0F37"/>
    <w:rsid w:val="008B10BB"/>
    <w:rsid w:val="008B1700"/>
    <w:rsid w:val="008B2208"/>
    <w:rsid w:val="008B26BA"/>
    <w:rsid w:val="008B26DF"/>
    <w:rsid w:val="008B5067"/>
    <w:rsid w:val="008B53D4"/>
    <w:rsid w:val="008B6AF2"/>
    <w:rsid w:val="008B7338"/>
    <w:rsid w:val="008B782B"/>
    <w:rsid w:val="008B79F7"/>
    <w:rsid w:val="008B7B4B"/>
    <w:rsid w:val="008B7F54"/>
    <w:rsid w:val="008C059B"/>
    <w:rsid w:val="008C085F"/>
    <w:rsid w:val="008C1A09"/>
    <w:rsid w:val="008C2174"/>
    <w:rsid w:val="008C2AFC"/>
    <w:rsid w:val="008C31E9"/>
    <w:rsid w:val="008C42FF"/>
    <w:rsid w:val="008C45A8"/>
    <w:rsid w:val="008C46F4"/>
    <w:rsid w:val="008C475A"/>
    <w:rsid w:val="008C4A4D"/>
    <w:rsid w:val="008C4C15"/>
    <w:rsid w:val="008C4DF0"/>
    <w:rsid w:val="008C5245"/>
    <w:rsid w:val="008C618E"/>
    <w:rsid w:val="008C6CEB"/>
    <w:rsid w:val="008C6F48"/>
    <w:rsid w:val="008C712A"/>
    <w:rsid w:val="008D0491"/>
    <w:rsid w:val="008D0FCE"/>
    <w:rsid w:val="008D138D"/>
    <w:rsid w:val="008D2404"/>
    <w:rsid w:val="008D3FA9"/>
    <w:rsid w:val="008D4752"/>
    <w:rsid w:val="008D4A96"/>
    <w:rsid w:val="008D4FF2"/>
    <w:rsid w:val="008D50E1"/>
    <w:rsid w:val="008D570D"/>
    <w:rsid w:val="008D714A"/>
    <w:rsid w:val="008D734E"/>
    <w:rsid w:val="008D765A"/>
    <w:rsid w:val="008D7665"/>
    <w:rsid w:val="008D78E1"/>
    <w:rsid w:val="008D7BB5"/>
    <w:rsid w:val="008D7BC7"/>
    <w:rsid w:val="008E0389"/>
    <w:rsid w:val="008E15F4"/>
    <w:rsid w:val="008E336B"/>
    <w:rsid w:val="008E33BA"/>
    <w:rsid w:val="008E3437"/>
    <w:rsid w:val="008E3838"/>
    <w:rsid w:val="008E38EB"/>
    <w:rsid w:val="008E3D10"/>
    <w:rsid w:val="008E5DE8"/>
    <w:rsid w:val="008E64B5"/>
    <w:rsid w:val="008E6701"/>
    <w:rsid w:val="008E71C5"/>
    <w:rsid w:val="008E7622"/>
    <w:rsid w:val="008F01C4"/>
    <w:rsid w:val="008F030F"/>
    <w:rsid w:val="008F0AB8"/>
    <w:rsid w:val="008F193E"/>
    <w:rsid w:val="008F1EE6"/>
    <w:rsid w:val="008F1F22"/>
    <w:rsid w:val="008F3926"/>
    <w:rsid w:val="008F471B"/>
    <w:rsid w:val="008F545A"/>
    <w:rsid w:val="008F5597"/>
    <w:rsid w:val="008F57CF"/>
    <w:rsid w:val="008F6A51"/>
    <w:rsid w:val="008F6AC8"/>
    <w:rsid w:val="00900D51"/>
    <w:rsid w:val="0090165C"/>
    <w:rsid w:val="009033B5"/>
    <w:rsid w:val="00903A0B"/>
    <w:rsid w:val="00903DAF"/>
    <w:rsid w:val="009066F7"/>
    <w:rsid w:val="0090789F"/>
    <w:rsid w:val="00907CDB"/>
    <w:rsid w:val="00907D0D"/>
    <w:rsid w:val="0091070F"/>
    <w:rsid w:val="009108FF"/>
    <w:rsid w:val="00911005"/>
    <w:rsid w:val="00911180"/>
    <w:rsid w:val="009115E3"/>
    <w:rsid w:val="00911FDE"/>
    <w:rsid w:val="009121FB"/>
    <w:rsid w:val="009124F5"/>
    <w:rsid w:val="009126FE"/>
    <w:rsid w:val="00912A46"/>
    <w:rsid w:val="0091383C"/>
    <w:rsid w:val="009142F6"/>
    <w:rsid w:val="0091470C"/>
    <w:rsid w:val="009155A8"/>
    <w:rsid w:val="00915974"/>
    <w:rsid w:val="00915E94"/>
    <w:rsid w:val="009167E1"/>
    <w:rsid w:val="00916B40"/>
    <w:rsid w:val="009173CB"/>
    <w:rsid w:val="00917DEA"/>
    <w:rsid w:val="009212F7"/>
    <w:rsid w:val="009227B4"/>
    <w:rsid w:val="009231B9"/>
    <w:rsid w:val="009234AB"/>
    <w:rsid w:val="00923FB2"/>
    <w:rsid w:val="00925A7D"/>
    <w:rsid w:val="00925AA2"/>
    <w:rsid w:val="00925BA7"/>
    <w:rsid w:val="0092625A"/>
    <w:rsid w:val="00926F01"/>
    <w:rsid w:val="00927D77"/>
    <w:rsid w:val="009309AB"/>
    <w:rsid w:val="00930B9A"/>
    <w:rsid w:val="009316A8"/>
    <w:rsid w:val="009316AE"/>
    <w:rsid w:val="00931A81"/>
    <w:rsid w:val="0093232A"/>
    <w:rsid w:val="00932830"/>
    <w:rsid w:val="00933EE3"/>
    <w:rsid w:val="00934693"/>
    <w:rsid w:val="009346BC"/>
    <w:rsid w:val="00936049"/>
    <w:rsid w:val="00936812"/>
    <w:rsid w:val="00936821"/>
    <w:rsid w:val="0093694A"/>
    <w:rsid w:val="00936D9D"/>
    <w:rsid w:val="00936E0C"/>
    <w:rsid w:val="00937EDD"/>
    <w:rsid w:val="009404EC"/>
    <w:rsid w:val="00940C37"/>
    <w:rsid w:val="00940EE2"/>
    <w:rsid w:val="00941007"/>
    <w:rsid w:val="00941491"/>
    <w:rsid w:val="00941D51"/>
    <w:rsid w:val="00942708"/>
    <w:rsid w:val="00943D06"/>
    <w:rsid w:val="00944981"/>
    <w:rsid w:val="00944B23"/>
    <w:rsid w:val="009452E5"/>
    <w:rsid w:val="00946CA5"/>
    <w:rsid w:val="00946D26"/>
    <w:rsid w:val="00947D8C"/>
    <w:rsid w:val="009500E7"/>
    <w:rsid w:val="0095031F"/>
    <w:rsid w:val="00950722"/>
    <w:rsid w:val="00951B10"/>
    <w:rsid w:val="009524A4"/>
    <w:rsid w:val="0095254D"/>
    <w:rsid w:val="00952760"/>
    <w:rsid w:val="00952BB2"/>
    <w:rsid w:val="00953413"/>
    <w:rsid w:val="00953EC3"/>
    <w:rsid w:val="00954A27"/>
    <w:rsid w:val="00955368"/>
    <w:rsid w:val="00956EB7"/>
    <w:rsid w:val="009577A3"/>
    <w:rsid w:val="00957B58"/>
    <w:rsid w:val="00957F10"/>
    <w:rsid w:val="00960AD0"/>
    <w:rsid w:val="00960C8E"/>
    <w:rsid w:val="00963FD4"/>
    <w:rsid w:val="00964660"/>
    <w:rsid w:val="00964667"/>
    <w:rsid w:val="00970EFC"/>
    <w:rsid w:val="009732A8"/>
    <w:rsid w:val="009732F5"/>
    <w:rsid w:val="00973CB5"/>
    <w:rsid w:val="00974D82"/>
    <w:rsid w:val="00974E8C"/>
    <w:rsid w:val="00975C65"/>
    <w:rsid w:val="009766FA"/>
    <w:rsid w:val="00976D40"/>
    <w:rsid w:val="0098169D"/>
    <w:rsid w:val="0098337C"/>
    <w:rsid w:val="0098383B"/>
    <w:rsid w:val="00983C8A"/>
    <w:rsid w:val="00987062"/>
    <w:rsid w:val="00987D0B"/>
    <w:rsid w:val="00990555"/>
    <w:rsid w:val="00991863"/>
    <w:rsid w:val="009918A7"/>
    <w:rsid w:val="00992911"/>
    <w:rsid w:val="00994366"/>
    <w:rsid w:val="009947F3"/>
    <w:rsid w:val="00994A79"/>
    <w:rsid w:val="00995170"/>
    <w:rsid w:val="00995C60"/>
    <w:rsid w:val="009961B1"/>
    <w:rsid w:val="0099629F"/>
    <w:rsid w:val="009977DD"/>
    <w:rsid w:val="00997C0F"/>
    <w:rsid w:val="009A11E1"/>
    <w:rsid w:val="009A1494"/>
    <w:rsid w:val="009A1B0D"/>
    <w:rsid w:val="009A34E3"/>
    <w:rsid w:val="009A352B"/>
    <w:rsid w:val="009A4C0C"/>
    <w:rsid w:val="009B0659"/>
    <w:rsid w:val="009B0947"/>
    <w:rsid w:val="009B0B47"/>
    <w:rsid w:val="009B0B5A"/>
    <w:rsid w:val="009B0E3F"/>
    <w:rsid w:val="009B0F48"/>
    <w:rsid w:val="009B1141"/>
    <w:rsid w:val="009B3382"/>
    <w:rsid w:val="009B3478"/>
    <w:rsid w:val="009B4CFF"/>
    <w:rsid w:val="009B5946"/>
    <w:rsid w:val="009B70A2"/>
    <w:rsid w:val="009B717E"/>
    <w:rsid w:val="009B71AB"/>
    <w:rsid w:val="009C06C0"/>
    <w:rsid w:val="009C06D4"/>
    <w:rsid w:val="009C17FA"/>
    <w:rsid w:val="009C1B7F"/>
    <w:rsid w:val="009C4257"/>
    <w:rsid w:val="009C4545"/>
    <w:rsid w:val="009C4A36"/>
    <w:rsid w:val="009C4C2C"/>
    <w:rsid w:val="009C5AEB"/>
    <w:rsid w:val="009D0697"/>
    <w:rsid w:val="009D0752"/>
    <w:rsid w:val="009D1283"/>
    <w:rsid w:val="009D22F8"/>
    <w:rsid w:val="009D38F3"/>
    <w:rsid w:val="009D5B66"/>
    <w:rsid w:val="009D6C13"/>
    <w:rsid w:val="009D78AF"/>
    <w:rsid w:val="009D7B40"/>
    <w:rsid w:val="009D7D94"/>
    <w:rsid w:val="009E0EB6"/>
    <w:rsid w:val="009E102C"/>
    <w:rsid w:val="009E1512"/>
    <w:rsid w:val="009E166A"/>
    <w:rsid w:val="009E232B"/>
    <w:rsid w:val="009E26C2"/>
    <w:rsid w:val="009E3EA6"/>
    <w:rsid w:val="009E455B"/>
    <w:rsid w:val="009E481E"/>
    <w:rsid w:val="009E4F6F"/>
    <w:rsid w:val="009E519A"/>
    <w:rsid w:val="009E5515"/>
    <w:rsid w:val="009E5F6A"/>
    <w:rsid w:val="009E6C78"/>
    <w:rsid w:val="009E765A"/>
    <w:rsid w:val="009F0511"/>
    <w:rsid w:val="009F18AE"/>
    <w:rsid w:val="009F263A"/>
    <w:rsid w:val="009F305C"/>
    <w:rsid w:val="009F3A7E"/>
    <w:rsid w:val="009F4241"/>
    <w:rsid w:val="009F5183"/>
    <w:rsid w:val="009F72FD"/>
    <w:rsid w:val="009F7D23"/>
    <w:rsid w:val="00A0024C"/>
    <w:rsid w:val="00A00AE4"/>
    <w:rsid w:val="00A014EA"/>
    <w:rsid w:val="00A02CA8"/>
    <w:rsid w:val="00A02F9B"/>
    <w:rsid w:val="00A05399"/>
    <w:rsid w:val="00A0547A"/>
    <w:rsid w:val="00A062FE"/>
    <w:rsid w:val="00A06CF5"/>
    <w:rsid w:val="00A1054A"/>
    <w:rsid w:val="00A105F8"/>
    <w:rsid w:val="00A10E1E"/>
    <w:rsid w:val="00A12B86"/>
    <w:rsid w:val="00A131AF"/>
    <w:rsid w:val="00A14CBE"/>
    <w:rsid w:val="00A16A9A"/>
    <w:rsid w:val="00A16CC6"/>
    <w:rsid w:val="00A17195"/>
    <w:rsid w:val="00A172DE"/>
    <w:rsid w:val="00A173AE"/>
    <w:rsid w:val="00A17E00"/>
    <w:rsid w:val="00A204F7"/>
    <w:rsid w:val="00A2052F"/>
    <w:rsid w:val="00A20A78"/>
    <w:rsid w:val="00A20C41"/>
    <w:rsid w:val="00A210D4"/>
    <w:rsid w:val="00A2129B"/>
    <w:rsid w:val="00A21ADC"/>
    <w:rsid w:val="00A22624"/>
    <w:rsid w:val="00A22FB4"/>
    <w:rsid w:val="00A2544B"/>
    <w:rsid w:val="00A25833"/>
    <w:rsid w:val="00A25C2F"/>
    <w:rsid w:val="00A2762D"/>
    <w:rsid w:val="00A27BCC"/>
    <w:rsid w:val="00A3091D"/>
    <w:rsid w:val="00A30F19"/>
    <w:rsid w:val="00A33806"/>
    <w:rsid w:val="00A34650"/>
    <w:rsid w:val="00A34AD9"/>
    <w:rsid w:val="00A34BEC"/>
    <w:rsid w:val="00A34E20"/>
    <w:rsid w:val="00A34F4E"/>
    <w:rsid w:val="00A35FFE"/>
    <w:rsid w:val="00A3683F"/>
    <w:rsid w:val="00A36A75"/>
    <w:rsid w:val="00A36F96"/>
    <w:rsid w:val="00A373F2"/>
    <w:rsid w:val="00A37B8B"/>
    <w:rsid w:val="00A402B0"/>
    <w:rsid w:val="00A41323"/>
    <w:rsid w:val="00A43667"/>
    <w:rsid w:val="00A4401A"/>
    <w:rsid w:val="00A45011"/>
    <w:rsid w:val="00A45866"/>
    <w:rsid w:val="00A459FB"/>
    <w:rsid w:val="00A46441"/>
    <w:rsid w:val="00A4663A"/>
    <w:rsid w:val="00A46D04"/>
    <w:rsid w:val="00A46EF6"/>
    <w:rsid w:val="00A473D7"/>
    <w:rsid w:val="00A478FD"/>
    <w:rsid w:val="00A503EE"/>
    <w:rsid w:val="00A50A42"/>
    <w:rsid w:val="00A5209C"/>
    <w:rsid w:val="00A52586"/>
    <w:rsid w:val="00A52894"/>
    <w:rsid w:val="00A5438B"/>
    <w:rsid w:val="00A54615"/>
    <w:rsid w:val="00A54B91"/>
    <w:rsid w:val="00A5603C"/>
    <w:rsid w:val="00A5645A"/>
    <w:rsid w:val="00A579F3"/>
    <w:rsid w:val="00A60C26"/>
    <w:rsid w:val="00A62BF1"/>
    <w:rsid w:val="00A62C64"/>
    <w:rsid w:val="00A62E7A"/>
    <w:rsid w:val="00A6367D"/>
    <w:rsid w:val="00A63FDA"/>
    <w:rsid w:val="00A650D3"/>
    <w:rsid w:val="00A65997"/>
    <w:rsid w:val="00A663C9"/>
    <w:rsid w:val="00A66854"/>
    <w:rsid w:val="00A66869"/>
    <w:rsid w:val="00A6779F"/>
    <w:rsid w:val="00A7038D"/>
    <w:rsid w:val="00A704A9"/>
    <w:rsid w:val="00A70622"/>
    <w:rsid w:val="00A712DA"/>
    <w:rsid w:val="00A716B4"/>
    <w:rsid w:val="00A730AA"/>
    <w:rsid w:val="00A747CF"/>
    <w:rsid w:val="00A7606C"/>
    <w:rsid w:val="00A7612F"/>
    <w:rsid w:val="00A808D7"/>
    <w:rsid w:val="00A80AA1"/>
    <w:rsid w:val="00A811DA"/>
    <w:rsid w:val="00A8125B"/>
    <w:rsid w:val="00A8134F"/>
    <w:rsid w:val="00A82953"/>
    <w:rsid w:val="00A82ECB"/>
    <w:rsid w:val="00A83834"/>
    <w:rsid w:val="00A838E8"/>
    <w:rsid w:val="00A83C7D"/>
    <w:rsid w:val="00A84112"/>
    <w:rsid w:val="00A844AA"/>
    <w:rsid w:val="00A8672B"/>
    <w:rsid w:val="00A868BE"/>
    <w:rsid w:val="00A8750E"/>
    <w:rsid w:val="00A87584"/>
    <w:rsid w:val="00A877C7"/>
    <w:rsid w:val="00A90D5A"/>
    <w:rsid w:val="00A9153D"/>
    <w:rsid w:val="00A92286"/>
    <w:rsid w:val="00A92874"/>
    <w:rsid w:val="00A92F29"/>
    <w:rsid w:val="00A931F0"/>
    <w:rsid w:val="00A939B2"/>
    <w:rsid w:val="00A95059"/>
    <w:rsid w:val="00A95673"/>
    <w:rsid w:val="00A95921"/>
    <w:rsid w:val="00A95B62"/>
    <w:rsid w:val="00AA1334"/>
    <w:rsid w:val="00AA2227"/>
    <w:rsid w:val="00AA28B3"/>
    <w:rsid w:val="00AA30CA"/>
    <w:rsid w:val="00AA34DE"/>
    <w:rsid w:val="00AA4121"/>
    <w:rsid w:val="00AA5644"/>
    <w:rsid w:val="00AA6A34"/>
    <w:rsid w:val="00AA6E8E"/>
    <w:rsid w:val="00AB1F2E"/>
    <w:rsid w:val="00AB3E0E"/>
    <w:rsid w:val="00AB444C"/>
    <w:rsid w:val="00AB445E"/>
    <w:rsid w:val="00AB4A50"/>
    <w:rsid w:val="00AB5CB0"/>
    <w:rsid w:val="00AB6042"/>
    <w:rsid w:val="00AB7499"/>
    <w:rsid w:val="00AC0C78"/>
    <w:rsid w:val="00AC14B9"/>
    <w:rsid w:val="00AC2BF0"/>
    <w:rsid w:val="00AC2F49"/>
    <w:rsid w:val="00AC3BA6"/>
    <w:rsid w:val="00AC44C1"/>
    <w:rsid w:val="00AC7C1F"/>
    <w:rsid w:val="00AD0537"/>
    <w:rsid w:val="00AD07FE"/>
    <w:rsid w:val="00AD0BD6"/>
    <w:rsid w:val="00AD162A"/>
    <w:rsid w:val="00AD21B7"/>
    <w:rsid w:val="00AD3472"/>
    <w:rsid w:val="00AD3B0F"/>
    <w:rsid w:val="00AD3E93"/>
    <w:rsid w:val="00AD4E26"/>
    <w:rsid w:val="00AD5878"/>
    <w:rsid w:val="00AD611E"/>
    <w:rsid w:val="00AD632D"/>
    <w:rsid w:val="00AD63E1"/>
    <w:rsid w:val="00AD75B9"/>
    <w:rsid w:val="00AD7DC0"/>
    <w:rsid w:val="00AD7FF9"/>
    <w:rsid w:val="00AE1223"/>
    <w:rsid w:val="00AE3490"/>
    <w:rsid w:val="00AE3D34"/>
    <w:rsid w:val="00AE46AD"/>
    <w:rsid w:val="00AE4750"/>
    <w:rsid w:val="00AE496C"/>
    <w:rsid w:val="00AE4FD7"/>
    <w:rsid w:val="00AE580E"/>
    <w:rsid w:val="00AE6790"/>
    <w:rsid w:val="00AE728D"/>
    <w:rsid w:val="00AF04EA"/>
    <w:rsid w:val="00AF0995"/>
    <w:rsid w:val="00AF19A1"/>
    <w:rsid w:val="00AF3149"/>
    <w:rsid w:val="00AF3245"/>
    <w:rsid w:val="00AF466E"/>
    <w:rsid w:val="00AF477A"/>
    <w:rsid w:val="00AF4C4C"/>
    <w:rsid w:val="00AF51CC"/>
    <w:rsid w:val="00AF5273"/>
    <w:rsid w:val="00AF62AA"/>
    <w:rsid w:val="00AF6BDB"/>
    <w:rsid w:val="00AF7B7E"/>
    <w:rsid w:val="00AF7BD0"/>
    <w:rsid w:val="00B004CF"/>
    <w:rsid w:val="00B01AE3"/>
    <w:rsid w:val="00B01C56"/>
    <w:rsid w:val="00B0255F"/>
    <w:rsid w:val="00B0290C"/>
    <w:rsid w:val="00B02F9A"/>
    <w:rsid w:val="00B03AAF"/>
    <w:rsid w:val="00B0425D"/>
    <w:rsid w:val="00B04385"/>
    <w:rsid w:val="00B055DB"/>
    <w:rsid w:val="00B056B1"/>
    <w:rsid w:val="00B0669C"/>
    <w:rsid w:val="00B10593"/>
    <w:rsid w:val="00B11D1A"/>
    <w:rsid w:val="00B1236E"/>
    <w:rsid w:val="00B12E8B"/>
    <w:rsid w:val="00B12F39"/>
    <w:rsid w:val="00B131FB"/>
    <w:rsid w:val="00B1323F"/>
    <w:rsid w:val="00B14081"/>
    <w:rsid w:val="00B140DF"/>
    <w:rsid w:val="00B146BB"/>
    <w:rsid w:val="00B14807"/>
    <w:rsid w:val="00B16728"/>
    <w:rsid w:val="00B167C7"/>
    <w:rsid w:val="00B20077"/>
    <w:rsid w:val="00B206FB"/>
    <w:rsid w:val="00B207DD"/>
    <w:rsid w:val="00B20B4D"/>
    <w:rsid w:val="00B20FDD"/>
    <w:rsid w:val="00B21AB5"/>
    <w:rsid w:val="00B220CC"/>
    <w:rsid w:val="00B227D2"/>
    <w:rsid w:val="00B233CE"/>
    <w:rsid w:val="00B236F7"/>
    <w:rsid w:val="00B23E78"/>
    <w:rsid w:val="00B241B9"/>
    <w:rsid w:val="00B24747"/>
    <w:rsid w:val="00B24C43"/>
    <w:rsid w:val="00B25B2C"/>
    <w:rsid w:val="00B26DDF"/>
    <w:rsid w:val="00B2742B"/>
    <w:rsid w:val="00B27533"/>
    <w:rsid w:val="00B305CC"/>
    <w:rsid w:val="00B30909"/>
    <w:rsid w:val="00B31116"/>
    <w:rsid w:val="00B31211"/>
    <w:rsid w:val="00B3164E"/>
    <w:rsid w:val="00B31E54"/>
    <w:rsid w:val="00B3274D"/>
    <w:rsid w:val="00B32CCB"/>
    <w:rsid w:val="00B334B4"/>
    <w:rsid w:val="00B34089"/>
    <w:rsid w:val="00B34684"/>
    <w:rsid w:val="00B356D4"/>
    <w:rsid w:val="00B35B11"/>
    <w:rsid w:val="00B35E88"/>
    <w:rsid w:val="00B36A40"/>
    <w:rsid w:val="00B37620"/>
    <w:rsid w:val="00B37C2C"/>
    <w:rsid w:val="00B40308"/>
    <w:rsid w:val="00B4051A"/>
    <w:rsid w:val="00B40531"/>
    <w:rsid w:val="00B40D6E"/>
    <w:rsid w:val="00B411FF"/>
    <w:rsid w:val="00B416B5"/>
    <w:rsid w:val="00B42D9C"/>
    <w:rsid w:val="00B433F9"/>
    <w:rsid w:val="00B43BC5"/>
    <w:rsid w:val="00B468A5"/>
    <w:rsid w:val="00B46941"/>
    <w:rsid w:val="00B50676"/>
    <w:rsid w:val="00B50B98"/>
    <w:rsid w:val="00B50F1A"/>
    <w:rsid w:val="00B51264"/>
    <w:rsid w:val="00B515DE"/>
    <w:rsid w:val="00B51A90"/>
    <w:rsid w:val="00B51DCD"/>
    <w:rsid w:val="00B52097"/>
    <w:rsid w:val="00B5239F"/>
    <w:rsid w:val="00B530E4"/>
    <w:rsid w:val="00B5336D"/>
    <w:rsid w:val="00B541E3"/>
    <w:rsid w:val="00B55554"/>
    <w:rsid w:val="00B5559F"/>
    <w:rsid w:val="00B56BCE"/>
    <w:rsid w:val="00B6025A"/>
    <w:rsid w:val="00B60428"/>
    <w:rsid w:val="00B6050B"/>
    <w:rsid w:val="00B614B7"/>
    <w:rsid w:val="00B61C66"/>
    <w:rsid w:val="00B6486A"/>
    <w:rsid w:val="00B66882"/>
    <w:rsid w:val="00B67343"/>
    <w:rsid w:val="00B67E15"/>
    <w:rsid w:val="00B719E1"/>
    <w:rsid w:val="00B73260"/>
    <w:rsid w:val="00B73393"/>
    <w:rsid w:val="00B73ECE"/>
    <w:rsid w:val="00B73FC3"/>
    <w:rsid w:val="00B7441F"/>
    <w:rsid w:val="00B76087"/>
    <w:rsid w:val="00B77E51"/>
    <w:rsid w:val="00B817A6"/>
    <w:rsid w:val="00B8432A"/>
    <w:rsid w:val="00B84430"/>
    <w:rsid w:val="00B84E3D"/>
    <w:rsid w:val="00B84E87"/>
    <w:rsid w:val="00B858FE"/>
    <w:rsid w:val="00B86C86"/>
    <w:rsid w:val="00B8705C"/>
    <w:rsid w:val="00B872D6"/>
    <w:rsid w:val="00B9042C"/>
    <w:rsid w:val="00B916A9"/>
    <w:rsid w:val="00B92945"/>
    <w:rsid w:val="00B93603"/>
    <w:rsid w:val="00B93F5E"/>
    <w:rsid w:val="00B9420D"/>
    <w:rsid w:val="00B9434E"/>
    <w:rsid w:val="00B94AB5"/>
    <w:rsid w:val="00B95FAB"/>
    <w:rsid w:val="00B966B4"/>
    <w:rsid w:val="00B96D33"/>
    <w:rsid w:val="00B9791C"/>
    <w:rsid w:val="00BA2B10"/>
    <w:rsid w:val="00BA4220"/>
    <w:rsid w:val="00BA564D"/>
    <w:rsid w:val="00BA6605"/>
    <w:rsid w:val="00BA68CA"/>
    <w:rsid w:val="00BA71BD"/>
    <w:rsid w:val="00BB1043"/>
    <w:rsid w:val="00BB30DF"/>
    <w:rsid w:val="00BB32FA"/>
    <w:rsid w:val="00BB3BF0"/>
    <w:rsid w:val="00BB4034"/>
    <w:rsid w:val="00BB5466"/>
    <w:rsid w:val="00BB618B"/>
    <w:rsid w:val="00BB70AC"/>
    <w:rsid w:val="00BB7178"/>
    <w:rsid w:val="00BB76B6"/>
    <w:rsid w:val="00BC0E76"/>
    <w:rsid w:val="00BC27B0"/>
    <w:rsid w:val="00BC283C"/>
    <w:rsid w:val="00BC4952"/>
    <w:rsid w:val="00BC50F7"/>
    <w:rsid w:val="00BC57BF"/>
    <w:rsid w:val="00BC5D6D"/>
    <w:rsid w:val="00BC6172"/>
    <w:rsid w:val="00BC692D"/>
    <w:rsid w:val="00BC7363"/>
    <w:rsid w:val="00BC7C29"/>
    <w:rsid w:val="00BD1169"/>
    <w:rsid w:val="00BD18B1"/>
    <w:rsid w:val="00BD21A8"/>
    <w:rsid w:val="00BD39D7"/>
    <w:rsid w:val="00BD3CD8"/>
    <w:rsid w:val="00BD465D"/>
    <w:rsid w:val="00BD55AF"/>
    <w:rsid w:val="00BE009D"/>
    <w:rsid w:val="00BE014A"/>
    <w:rsid w:val="00BE03B1"/>
    <w:rsid w:val="00BE0BC3"/>
    <w:rsid w:val="00BE0FDC"/>
    <w:rsid w:val="00BE24EF"/>
    <w:rsid w:val="00BE3F31"/>
    <w:rsid w:val="00BE415C"/>
    <w:rsid w:val="00BE60DA"/>
    <w:rsid w:val="00BE6279"/>
    <w:rsid w:val="00BE6FA0"/>
    <w:rsid w:val="00BF05AE"/>
    <w:rsid w:val="00BF1E83"/>
    <w:rsid w:val="00BF1F0D"/>
    <w:rsid w:val="00BF28A9"/>
    <w:rsid w:val="00BF29D9"/>
    <w:rsid w:val="00BF42DA"/>
    <w:rsid w:val="00BF51C5"/>
    <w:rsid w:val="00BF7B61"/>
    <w:rsid w:val="00C0005F"/>
    <w:rsid w:val="00C00143"/>
    <w:rsid w:val="00C00C97"/>
    <w:rsid w:val="00C0187E"/>
    <w:rsid w:val="00C01DCD"/>
    <w:rsid w:val="00C02835"/>
    <w:rsid w:val="00C033FF"/>
    <w:rsid w:val="00C03B8E"/>
    <w:rsid w:val="00C04029"/>
    <w:rsid w:val="00C0479F"/>
    <w:rsid w:val="00C059CE"/>
    <w:rsid w:val="00C06840"/>
    <w:rsid w:val="00C076E0"/>
    <w:rsid w:val="00C10016"/>
    <w:rsid w:val="00C1045B"/>
    <w:rsid w:val="00C10995"/>
    <w:rsid w:val="00C113FC"/>
    <w:rsid w:val="00C11523"/>
    <w:rsid w:val="00C11A03"/>
    <w:rsid w:val="00C1237C"/>
    <w:rsid w:val="00C12FFC"/>
    <w:rsid w:val="00C131FF"/>
    <w:rsid w:val="00C13E48"/>
    <w:rsid w:val="00C17116"/>
    <w:rsid w:val="00C20617"/>
    <w:rsid w:val="00C21082"/>
    <w:rsid w:val="00C21C59"/>
    <w:rsid w:val="00C22703"/>
    <w:rsid w:val="00C227C1"/>
    <w:rsid w:val="00C22CBF"/>
    <w:rsid w:val="00C26932"/>
    <w:rsid w:val="00C31695"/>
    <w:rsid w:val="00C31A7D"/>
    <w:rsid w:val="00C31AE9"/>
    <w:rsid w:val="00C32B61"/>
    <w:rsid w:val="00C33176"/>
    <w:rsid w:val="00C341C0"/>
    <w:rsid w:val="00C363DF"/>
    <w:rsid w:val="00C36E9A"/>
    <w:rsid w:val="00C3764E"/>
    <w:rsid w:val="00C37B4A"/>
    <w:rsid w:val="00C40B87"/>
    <w:rsid w:val="00C4269D"/>
    <w:rsid w:val="00C4277D"/>
    <w:rsid w:val="00C43D48"/>
    <w:rsid w:val="00C44A6E"/>
    <w:rsid w:val="00C44F70"/>
    <w:rsid w:val="00C46E51"/>
    <w:rsid w:val="00C50073"/>
    <w:rsid w:val="00C504B5"/>
    <w:rsid w:val="00C51846"/>
    <w:rsid w:val="00C5185A"/>
    <w:rsid w:val="00C528C8"/>
    <w:rsid w:val="00C52B9A"/>
    <w:rsid w:val="00C539B6"/>
    <w:rsid w:val="00C53C66"/>
    <w:rsid w:val="00C53D86"/>
    <w:rsid w:val="00C54247"/>
    <w:rsid w:val="00C55E53"/>
    <w:rsid w:val="00C567FF"/>
    <w:rsid w:val="00C56AB4"/>
    <w:rsid w:val="00C5702D"/>
    <w:rsid w:val="00C574CF"/>
    <w:rsid w:val="00C57814"/>
    <w:rsid w:val="00C6092A"/>
    <w:rsid w:val="00C60BD5"/>
    <w:rsid w:val="00C613F2"/>
    <w:rsid w:val="00C61C1D"/>
    <w:rsid w:val="00C6391D"/>
    <w:rsid w:val="00C643D4"/>
    <w:rsid w:val="00C6564B"/>
    <w:rsid w:val="00C66974"/>
    <w:rsid w:val="00C67374"/>
    <w:rsid w:val="00C67AC2"/>
    <w:rsid w:val="00C67B43"/>
    <w:rsid w:val="00C73D6A"/>
    <w:rsid w:val="00C73E54"/>
    <w:rsid w:val="00C74E0A"/>
    <w:rsid w:val="00C7520A"/>
    <w:rsid w:val="00C752A5"/>
    <w:rsid w:val="00C7620D"/>
    <w:rsid w:val="00C76363"/>
    <w:rsid w:val="00C76996"/>
    <w:rsid w:val="00C802FF"/>
    <w:rsid w:val="00C80B0A"/>
    <w:rsid w:val="00C81A4F"/>
    <w:rsid w:val="00C820E8"/>
    <w:rsid w:val="00C824FF"/>
    <w:rsid w:val="00C82C17"/>
    <w:rsid w:val="00C82FE7"/>
    <w:rsid w:val="00C837C7"/>
    <w:rsid w:val="00C854FD"/>
    <w:rsid w:val="00C8577D"/>
    <w:rsid w:val="00C85ADE"/>
    <w:rsid w:val="00C85BA8"/>
    <w:rsid w:val="00C85EB5"/>
    <w:rsid w:val="00C864A9"/>
    <w:rsid w:val="00C87843"/>
    <w:rsid w:val="00C87A0E"/>
    <w:rsid w:val="00C903B4"/>
    <w:rsid w:val="00C90859"/>
    <w:rsid w:val="00C90C03"/>
    <w:rsid w:val="00C912AD"/>
    <w:rsid w:val="00C92843"/>
    <w:rsid w:val="00C92E1A"/>
    <w:rsid w:val="00C9368B"/>
    <w:rsid w:val="00C95454"/>
    <w:rsid w:val="00C95716"/>
    <w:rsid w:val="00C95F7F"/>
    <w:rsid w:val="00C96614"/>
    <w:rsid w:val="00C97827"/>
    <w:rsid w:val="00C97A03"/>
    <w:rsid w:val="00C97C27"/>
    <w:rsid w:val="00CA0357"/>
    <w:rsid w:val="00CA0CF5"/>
    <w:rsid w:val="00CA1963"/>
    <w:rsid w:val="00CA21C9"/>
    <w:rsid w:val="00CA3714"/>
    <w:rsid w:val="00CA3F71"/>
    <w:rsid w:val="00CA45E3"/>
    <w:rsid w:val="00CA5970"/>
    <w:rsid w:val="00CA77FB"/>
    <w:rsid w:val="00CA790A"/>
    <w:rsid w:val="00CA7BFE"/>
    <w:rsid w:val="00CB06D2"/>
    <w:rsid w:val="00CB16B7"/>
    <w:rsid w:val="00CB2440"/>
    <w:rsid w:val="00CB2B32"/>
    <w:rsid w:val="00CB2C1B"/>
    <w:rsid w:val="00CB4A03"/>
    <w:rsid w:val="00CB506B"/>
    <w:rsid w:val="00CB6439"/>
    <w:rsid w:val="00CB6579"/>
    <w:rsid w:val="00CB711F"/>
    <w:rsid w:val="00CB7AA5"/>
    <w:rsid w:val="00CC16DD"/>
    <w:rsid w:val="00CC1BB0"/>
    <w:rsid w:val="00CC25E7"/>
    <w:rsid w:val="00CC265D"/>
    <w:rsid w:val="00CC37ED"/>
    <w:rsid w:val="00CC3AC0"/>
    <w:rsid w:val="00CC4542"/>
    <w:rsid w:val="00CC4DA8"/>
    <w:rsid w:val="00CC55DD"/>
    <w:rsid w:val="00CC5A11"/>
    <w:rsid w:val="00CC6107"/>
    <w:rsid w:val="00CC7214"/>
    <w:rsid w:val="00CC7A94"/>
    <w:rsid w:val="00CC7C08"/>
    <w:rsid w:val="00CD0C80"/>
    <w:rsid w:val="00CD1909"/>
    <w:rsid w:val="00CD1F9B"/>
    <w:rsid w:val="00CD4BCE"/>
    <w:rsid w:val="00CD52D3"/>
    <w:rsid w:val="00CD5667"/>
    <w:rsid w:val="00CD59A8"/>
    <w:rsid w:val="00CD661D"/>
    <w:rsid w:val="00CD733F"/>
    <w:rsid w:val="00CD7A90"/>
    <w:rsid w:val="00CE1ABC"/>
    <w:rsid w:val="00CE1CD9"/>
    <w:rsid w:val="00CE27F3"/>
    <w:rsid w:val="00CE2A99"/>
    <w:rsid w:val="00CE309C"/>
    <w:rsid w:val="00CE3174"/>
    <w:rsid w:val="00CE43BD"/>
    <w:rsid w:val="00CE51C5"/>
    <w:rsid w:val="00CE6A12"/>
    <w:rsid w:val="00CE7CBF"/>
    <w:rsid w:val="00CF0363"/>
    <w:rsid w:val="00CF07CF"/>
    <w:rsid w:val="00CF0CD5"/>
    <w:rsid w:val="00CF1122"/>
    <w:rsid w:val="00CF127D"/>
    <w:rsid w:val="00CF2797"/>
    <w:rsid w:val="00CF561D"/>
    <w:rsid w:val="00CF5C5E"/>
    <w:rsid w:val="00D00070"/>
    <w:rsid w:val="00D00700"/>
    <w:rsid w:val="00D00BD0"/>
    <w:rsid w:val="00D013B6"/>
    <w:rsid w:val="00D0171F"/>
    <w:rsid w:val="00D0289E"/>
    <w:rsid w:val="00D02BFB"/>
    <w:rsid w:val="00D03754"/>
    <w:rsid w:val="00D04186"/>
    <w:rsid w:val="00D045AC"/>
    <w:rsid w:val="00D04F06"/>
    <w:rsid w:val="00D06E74"/>
    <w:rsid w:val="00D07BF0"/>
    <w:rsid w:val="00D10355"/>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4880"/>
    <w:rsid w:val="00D25FFD"/>
    <w:rsid w:val="00D2654D"/>
    <w:rsid w:val="00D276F1"/>
    <w:rsid w:val="00D32C0C"/>
    <w:rsid w:val="00D33088"/>
    <w:rsid w:val="00D348B0"/>
    <w:rsid w:val="00D34A38"/>
    <w:rsid w:val="00D34A4F"/>
    <w:rsid w:val="00D3664C"/>
    <w:rsid w:val="00D366BD"/>
    <w:rsid w:val="00D3687F"/>
    <w:rsid w:val="00D368BE"/>
    <w:rsid w:val="00D4041C"/>
    <w:rsid w:val="00D40A31"/>
    <w:rsid w:val="00D40ACA"/>
    <w:rsid w:val="00D40EDF"/>
    <w:rsid w:val="00D43329"/>
    <w:rsid w:val="00D441EB"/>
    <w:rsid w:val="00D44217"/>
    <w:rsid w:val="00D44710"/>
    <w:rsid w:val="00D44FBB"/>
    <w:rsid w:val="00D453A5"/>
    <w:rsid w:val="00D46B7E"/>
    <w:rsid w:val="00D46C06"/>
    <w:rsid w:val="00D4753B"/>
    <w:rsid w:val="00D47C03"/>
    <w:rsid w:val="00D47CF2"/>
    <w:rsid w:val="00D50343"/>
    <w:rsid w:val="00D50D0E"/>
    <w:rsid w:val="00D52659"/>
    <w:rsid w:val="00D5469F"/>
    <w:rsid w:val="00D54D11"/>
    <w:rsid w:val="00D55EC0"/>
    <w:rsid w:val="00D56791"/>
    <w:rsid w:val="00D60F32"/>
    <w:rsid w:val="00D62D3E"/>
    <w:rsid w:val="00D6309A"/>
    <w:rsid w:val="00D63275"/>
    <w:rsid w:val="00D63547"/>
    <w:rsid w:val="00D67BF2"/>
    <w:rsid w:val="00D708F9"/>
    <w:rsid w:val="00D72EC0"/>
    <w:rsid w:val="00D739FA"/>
    <w:rsid w:val="00D74339"/>
    <w:rsid w:val="00D75546"/>
    <w:rsid w:val="00D75AF4"/>
    <w:rsid w:val="00D75D46"/>
    <w:rsid w:val="00D7667A"/>
    <w:rsid w:val="00D766F6"/>
    <w:rsid w:val="00D76C49"/>
    <w:rsid w:val="00D76DBA"/>
    <w:rsid w:val="00D80579"/>
    <w:rsid w:val="00D80710"/>
    <w:rsid w:val="00D81152"/>
    <w:rsid w:val="00D81538"/>
    <w:rsid w:val="00D81E43"/>
    <w:rsid w:val="00D82045"/>
    <w:rsid w:val="00D8216E"/>
    <w:rsid w:val="00D823D7"/>
    <w:rsid w:val="00D840F4"/>
    <w:rsid w:val="00D8452E"/>
    <w:rsid w:val="00D84B29"/>
    <w:rsid w:val="00D85034"/>
    <w:rsid w:val="00D85075"/>
    <w:rsid w:val="00D85324"/>
    <w:rsid w:val="00D85ED8"/>
    <w:rsid w:val="00D87C47"/>
    <w:rsid w:val="00D87D13"/>
    <w:rsid w:val="00D90317"/>
    <w:rsid w:val="00D916E4"/>
    <w:rsid w:val="00D91793"/>
    <w:rsid w:val="00D92136"/>
    <w:rsid w:val="00D943D2"/>
    <w:rsid w:val="00D94622"/>
    <w:rsid w:val="00D95134"/>
    <w:rsid w:val="00D95FAF"/>
    <w:rsid w:val="00D95FE3"/>
    <w:rsid w:val="00DA0D8E"/>
    <w:rsid w:val="00DA122D"/>
    <w:rsid w:val="00DA2D5A"/>
    <w:rsid w:val="00DA35B5"/>
    <w:rsid w:val="00DA3F48"/>
    <w:rsid w:val="00DA6196"/>
    <w:rsid w:val="00DA6FE4"/>
    <w:rsid w:val="00DA77AE"/>
    <w:rsid w:val="00DB090C"/>
    <w:rsid w:val="00DB1223"/>
    <w:rsid w:val="00DB2956"/>
    <w:rsid w:val="00DB4452"/>
    <w:rsid w:val="00DB487F"/>
    <w:rsid w:val="00DB58F3"/>
    <w:rsid w:val="00DB6247"/>
    <w:rsid w:val="00DB7FAE"/>
    <w:rsid w:val="00DC0345"/>
    <w:rsid w:val="00DC0F98"/>
    <w:rsid w:val="00DC1FC8"/>
    <w:rsid w:val="00DC2CAB"/>
    <w:rsid w:val="00DC3CC6"/>
    <w:rsid w:val="00DC4282"/>
    <w:rsid w:val="00DC50D4"/>
    <w:rsid w:val="00DC5CE4"/>
    <w:rsid w:val="00DC604D"/>
    <w:rsid w:val="00DC6FEF"/>
    <w:rsid w:val="00DD0576"/>
    <w:rsid w:val="00DD08C5"/>
    <w:rsid w:val="00DD09E5"/>
    <w:rsid w:val="00DD2F75"/>
    <w:rsid w:val="00DD2FFA"/>
    <w:rsid w:val="00DD46C1"/>
    <w:rsid w:val="00DD5A56"/>
    <w:rsid w:val="00DD66BB"/>
    <w:rsid w:val="00DD7346"/>
    <w:rsid w:val="00DD74A7"/>
    <w:rsid w:val="00DD7657"/>
    <w:rsid w:val="00DE20E2"/>
    <w:rsid w:val="00DE2CAD"/>
    <w:rsid w:val="00DE32DD"/>
    <w:rsid w:val="00DE44E1"/>
    <w:rsid w:val="00DE49FF"/>
    <w:rsid w:val="00DE6188"/>
    <w:rsid w:val="00DF1CA8"/>
    <w:rsid w:val="00DF2516"/>
    <w:rsid w:val="00DF2E99"/>
    <w:rsid w:val="00DF3576"/>
    <w:rsid w:val="00DF3BBD"/>
    <w:rsid w:val="00DF5083"/>
    <w:rsid w:val="00DF5087"/>
    <w:rsid w:val="00DF655E"/>
    <w:rsid w:val="00DF7B6A"/>
    <w:rsid w:val="00E00C78"/>
    <w:rsid w:val="00E012B8"/>
    <w:rsid w:val="00E01CF0"/>
    <w:rsid w:val="00E020CC"/>
    <w:rsid w:val="00E033EF"/>
    <w:rsid w:val="00E04C11"/>
    <w:rsid w:val="00E052E5"/>
    <w:rsid w:val="00E053CB"/>
    <w:rsid w:val="00E05762"/>
    <w:rsid w:val="00E0607D"/>
    <w:rsid w:val="00E0699A"/>
    <w:rsid w:val="00E07041"/>
    <w:rsid w:val="00E072AC"/>
    <w:rsid w:val="00E10184"/>
    <w:rsid w:val="00E124EB"/>
    <w:rsid w:val="00E135AF"/>
    <w:rsid w:val="00E14AB8"/>
    <w:rsid w:val="00E157A3"/>
    <w:rsid w:val="00E16623"/>
    <w:rsid w:val="00E1681B"/>
    <w:rsid w:val="00E21A07"/>
    <w:rsid w:val="00E21A95"/>
    <w:rsid w:val="00E2218B"/>
    <w:rsid w:val="00E232A3"/>
    <w:rsid w:val="00E2369D"/>
    <w:rsid w:val="00E24146"/>
    <w:rsid w:val="00E25611"/>
    <w:rsid w:val="00E25A1B"/>
    <w:rsid w:val="00E261DA"/>
    <w:rsid w:val="00E2629F"/>
    <w:rsid w:val="00E26380"/>
    <w:rsid w:val="00E26CB0"/>
    <w:rsid w:val="00E27C6D"/>
    <w:rsid w:val="00E31481"/>
    <w:rsid w:val="00E314F3"/>
    <w:rsid w:val="00E32223"/>
    <w:rsid w:val="00E33664"/>
    <w:rsid w:val="00E345E3"/>
    <w:rsid w:val="00E34637"/>
    <w:rsid w:val="00E347B9"/>
    <w:rsid w:val="00E35ED5"/>
    <w:rsid w:val="00E363E1"/>
    <w:rsid w:val="00E3677E"/>
    <w:rsid w:val="00E36D8D"/>
    <w:rsid w:val="00E37438"/>
    <w:rsid w:val="00E37754"/>
    <w:rsid w:val="00E37777"/>
    <w:rsid w:val="00E40FE6"/>
    <w:rsid w:val="00E42032"/>
    <w:rsid w:val="00E430CA"/>
    <w:rsid w:val="00E43474"/>
    <w:rsid w:val="00E43AE5"/>
    <w:rsid w:val="00E44257"/>
    <w:rsid w:val="00E44C6B"/>
    <w:rsid w:val="00E45BC2"/>
    <w:rsid w:val="00E471A5"/>
    <w:rsid w:val="00E477E3"/>
    <w:rsid w:val="00E479DD"/>
    <w:rsid w:val="00E52237"/>
    <w:rsid w:val="00E52722"/>
    <w:rsid w:val="00E52890"/>
    <w:rsid w:val="00E52E3E"/>
    <w:rsid w:val="00E53FCD"/>
    <w:rsid w:val="00E54355"/>
    <w:rsid w:val="00E561CA"/>
    <w:rsid w:val="00E562BB"/>
    <w:rsid w:val="00E5659F"/>
    <w:rsid w:val="00E565CE"/>
    <w:rsid w:val="00E56A47"/>
    <w:rsid w:val="00E574F2"/>
    <w:rsid w:val="00E60121"/>
    <w:rsid w:val="00E60176"/>
    <w:rsid w:val="00E6020A"/>
    <w:rsid w:val="00E61E0C"/>
    <w:rsid w:val="00E61EED"/>
    <w:rsid w:val="00E61F6B"/>
    <w:rsid w:val="00E63A86"/>
    <w:rsid w:val="00E63CDA"/>
    <w:rsid w:val="00E6442F"/>
    <w:rsid w:val="00E649AC"/>
    <w:rsid w:val="00E65CF5"/>
    <w:rsid w:val="00E661B7"/>
    <w:rsid w:val="00E66659"/>
    <w:rsid w:val="00E70B03"/>
    <w:rsid w:val="00E70EDE"/>
    <w:rsid w:val="00E7135D"/>
    <w:rsid w:val="00E72ED5"/>
    <w:rsid w:val="00E735EF"/>
    <w:rsid w:val="00E745DA"/>
    <w:rsid w:val="00E7545F"/>
    <w:rsid w:val="00E767F3"/>
    <w:rsid w:val="00E7689F"/>
    <w:rsid w:val="00E77DDD"/>
    <w:rsid w:val="00E8048E"/>
    <w:rsid w:val="00E81D6E"/>
    <w:rsid w:val="00E82D11"/>
    <w:rsid w:val="00E8300F"/>
    <w:rsid w:val="00E846FF"/>
    <w:rsid w:val="00E86F66"/>
    <w:rsid w:val="00E87AE6"/>
    <w:rsid w:val="00E91332"/>
    <w:rsid w:val="00E91477"/>
    <w:rsid w:val="00E9174C"/>
    <w:rsid w:val="00E91D4C"/>
    <w:rsid w:val="00E92139"/>
    <w:rsid w:val="00E92368"/>
    <w:rsid w:val="00E92D87"/>
    <w:rsid w:val="00E940ED"/>
    <w:rsid w:val="00E94730"/>
    <w:rsid w:val="00E94855"/>
    <w:rsid w:val="00E94EAB"/>
    <w:rsid w:val="00E951A8"/>
    <w:rsid w:val="00E9582E"/>
    <w:rsid w:val="00E95E2E"/>
    <w:rsid w:val="00E95EB9"/>
    <w:rsid w:val="00E96AF3"/>
    <w:rsid w:val="00E96B10"/>
    <w:rsid w:val="00E96D52"/>
    <w:rsid w:val="00E97615"/>
    <w:rsid w:val="00E97CC3"/>
    <w:rsid w:val="00EA1DE3"/>
    <w:rsid w:val="00EA1F80"/>
    <w:rsid w:val="00EA2351"/>
    <w:rsid w:val="00EA2B73"/>
    <w:rsid w:val="00EA4139"/>
    <w:rsid w:val="00EA5FF7"/>
    <w:rsid w:val="00EA6D0E"/>
    <w:rsid w:val="00EA7D55"/>
    <w:rsid w:val="00EB0A9A"/>
    <w:rsid w:val="00EB124A"/>
    <w:rsid w:val="00EB1616"/>
    <w:rsid w:val="00EB1630"/>
    <w:rsid w:val="00EB2B72"/>
    <w:rsid w:val="00EB3ACE"/>
    <w:rsid w:val="00EB4CF7"/>
    <w:rsid w:val="00EB5118"/>
    <w:rsid w:val="00EB6403"/>
    <w:rsid w:val="00EB6C57"/>
    <w:rsid w:val="00EB6E23"/>
    <w:rsid w:val="00EB75FE"/>
    <w:rsid w:val="00EB7B56"/>
    <w:rsid w:val="00EC0A15"/>
    <w:rsid w:val="00EC0BFA"/>
    <w:rsid w:val="00EC103C"/>
    <w:rsid w:val="00EC2E1A"/>
    <w:rsid w:val="00EC464D"/>
    <w:rsid w:val="00EC466E"/>
    <w:rsid w:val="00EC4B73"/>
    <w:rsid w:val="00EC603C"/>
    <w:rsid w:val="00EC6289"/>
    <w:rsid w:val="00EC74CD"/>
    <w:rsid w:val="00EC781D"/>
    <w:rsid w:val="00ED0809"/>
    <w:rsid w:val="00ED0D5F"/>
    <w:rsid w:val="00ED148E"/>
    <w:rsid w:val="00ED164A"/>
    <w:rsid w:val="00ED179F"/>
    <w:rsid w:val="00ED19B8"/>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D7F4D"/>
    <w:rsid w:val="00EE0696"/>
    <w:rsid w:val="00EE0ACB"/>
    <w:rsid w:val="00EE0E1E"/>
    <w:rsid w:val="00EE1256"/>
    <w:rsid w:val="00EE203E"/>
    <w:rsid w:val="00EE2276"/>
    <w:rsid w:val="00EE2D0B"/>
    <w:rsid w:val="00EE33BB"/>
    <w:rsid w:val="00EE4232"/>
    <w:rsid w:val="00EE4362"/>
    <w:rsid w:val="00EE56E6"/>
    <w:rsid w:val="00EE58CF"/>
    <w:rsid w:val="00EE6326"/>
    <w:rsid w:val="00EE6422"/>
    <w:rsid w:val="00EE6EBE"/>
    <w:rsid w:val="00EE75D5"/>
    <w:rsid w:val="00EF0861"/>
    <w:rsid w:val="00EF0CF0"/>
    <w:rsid w:val="00EF2512"/>
    <w:rsid w:val="00EF2B8C"/>
    <w:rsid w:val="00EF2FAE"/>
    <w:rsid w:val="00EF3837"/>
    <w:rsid w:val="00EF3AF3"/>
    <w:rsid w:val="00EF3FC2"/>
    <w:rsid w:val="00EF5A59"/>
    <w:rsid w:val="00EF5ACA"/>
    <w:rsid w:val="00EF64C2"/>
    <w:rsid w:val="00EF7C09"/>
    <w:rsid w:val="00F013CA"/>
    <w:rsid w:val="00F01B05"/>
    <w:rsid w:val="00F01B6A"/>
    <w:rsid w:val="00F01E95"/>
    <w:rsid w:val="00F0247E"/>
    <w:rsid w:val="00F037E4"/>
    <w:rsid w:val="00F03EF8"/>
    <w:rsid w:val="00F045CA"/>
    <w:rsid w:val="00F054DC"/>
    <w:rsid w:val="00F05555"/>
    <w:rsid w:val="00F059F8"/>
    <w:rsid w:val="00F05CA8"/>
    <w:rsid w:val="00F06981"/>
    <w:rsid w:val="00F06DEC"/>
    <w:rsid w:val="00F078D7"/>
    <w:rsid w:val="00F12ACF"/>
    <w:rsid w:val="00F13B0C"/>
    <w:rsid w:val="00F15900"/>
    <w:rsid w:val="00F1713A"/>
    <w:rsid w:val="00F173B7"/>
    <w:rsid w:val="00F175B6"/>
    <w:rsid w:val="00F17954"/>
    <w:rsid w:val="00F17A72"/>
    <w:rsid w:val="00F20720"/>
    <w:rsid w:val="00F208B1"/>
    <w:rsid w:val="00F21490"/>
    <w:rsid w:val="00F21707"/>
    <w:rsid w:val="00F21F1E"/>
    <w:rsid w:val="00F2300D"/>
    <w:rsid w:val="00F23A79"/>
    <w:rsid w:val="00F2496F"/>
    <w:rsid w:val="00F25273"/>
    <w:rsid w:val="00F268D9"/>
    <w:rsid w:val="00F26E7E"/>
    <w:rsid w:val="00F302C0"/>
    <w:rsid w:val="00F33148"/>
    <w:rsid w:val="00F33CB8"/>
    <w:rsid w:val="00F34CBB"/>
    <w:rsid w:val="00F352E3"/>
    <w:rsid w:val="00F36633"/>
    <w:rsid w:val="00F36AFD"/>
    <w:rsid w:val="00F36C8E"/>
    <w:rsid w:val="00F3745E"/>
    <w:rsid w:val="00F375D7"/>
    <w:rsid w:val="00F37C8E"/>
    <w:rsid w:val="00F40066"/>
    <w:rsid w:val="00F41E98"/>
    <w:rsid w:val="00F42577"/>
    <w:rsid w:val="00F4286A"/>
    <w:rsid w:val="00F428FC"/>
    <w:rsid w:val="00F43A27"/>
    <w:rsid w:val="00F443A3"/>
    <w:rsid w:val="00F44F7B"/>
    <w:rsid w:val="00F456E8"/>
    <w:rsid w:val="00F45931"/>
    <w:rsid w:val="00F45AE3"/>
    <w:rsid w:val="00F45E8B"/>
    <w:rsid w:val="00F47DD7"/>
    <w:rsid w:val="00F47FEA"/>
    <w:rsid w:val="00F50A15"/>
    <w:rsid w:val="00F522B1"/>
    <w:rsid w:val="00F523BA"/>
    <w:rsid w:val="00F5399B"/>
    <w:rsid w:val="00F53B09"/>
    <w:rsid w:val="00F54CCF"/>
    <w:rsid w:val="00F57621"/>
    <w:rsid w:val="00F57C9D"/>
    <w:rsid w:val="00F57DCF"/>
    <w:rsid w:val="00F60243"/>
    <w:rsid w:val="00F607FB"/>
    <w:rsid w:val="00F60D0A"/>
    <w:rsid w:val="00F61261"/>
    <w:rsid w:val="00F612FD"/>
    <w:rsid w:val="00F61379"/>
    <w:rsid w:val="00F6280A"/>
    <w:rsid w:val="00F62A88"/>
    <w:rsid w:val="00F651F0"/>
    <w:rsid w:val="00F674CC"/>
    <w:rsid w:val="00F678B8"/>
    <w:rsid w:val="00F7032E"/>
    <w:rsid w:val="00F7047E"/>
    <w:rsid w:val="00F739BA"/>
    <w:rsid w:val="00F76660"/>
    <w:rsid w:val="00F770B4"/>
    <w:rsid w:val="00F77563"/>
    <w:rsid w:val="00F77ECC"/>
    <w:rsid w:val="00F80067"/>
    <w:rsid w:val="00F807F8"/>
    <w:rsid w:val="00F819ED"/>
    <w:rsid w:val="00F830A8"/>
    <w:rsid w:val="00F83C56"/>
    <w:rsid w:val="00F854A8"/>
    <w:rsid w:val="00F8565E"/>
    <w:rsid w:val="00F86862"/>
    <w:rsid w:val="00F86B93"/>
    <w:rsid w:val="00F87108"/>
    <w:rsid w:val="00F87EEB"/>
    <w:rsid w:val="00F90715"/>
    <w:rsid w:val="00F9097C"/>
    <w:rsid w:val="00F9114B"/>
    <w:rsid w:val="00F93111"/>
    <w:rsid w:val="00F9318B"/>
    <w:rsid w:val="00F93578"/>
    <w:rsid w:val="00F95229"/>
    <w:rsid w:val="00F9534B"/>
    <w:rsid w:val="00F9586C"/>
    <w:rsid w:val="00F95AD1"/>
    <w:rsid w:val="00F96B53"/>
    <w:rsid w:val="00F96F22"/>
    <w:rsid w:val="00F973F8"/>
    <w:rsid w:val="00F9744E"/>
    <w:rsid w:val="00F97695"/>
    <w:rsid w:val="00FA0014"/>
    <w:rsid w:val="00FA015D"/>
    <w:rsid w:val="00FA1026"/>
    <w:rsid w:val="00FA2536"/>
    <w:rsid w:val="00FA2BAB"/>
    <w:rsid w:val="00FA2BED"/>
    <w:rsid w:val="00FA300C"/>
    <w:rsid w:val="00FA33FB"/>
    <w:rsid w:val="00FA3706"/>
    <w:rsid w:val="00FA3BAB"/>
    <w:rsid w:val="00FA50F4"/>
    <w:rsid w:val="00FA5F87"/>
    <w:rsid w:val="00FA6A64"/>
    <w:rsid w:val="00FA6B4E"/>
    <w:rsid w:val="00FA739A"/>
    <w:rsid w:val="00FA7583"/>
    <w:rsid w:val="00FA7D73"/>
    <w:rsid w:val="00FB02F4"/>
    <w:rsid w:val="00FB0D2A"/>
    <w:rsid w:val="00FB17F8"/>
    <w:rsid w:val="00FB21EC"/>
    <w:rsid w:val="00FB42FC"/>
    <w:rsid w:val="00FB5B7D"/>
    <w:rsid w:val="00FB6269"/>
    <w:rsid w:val="00FB7AA4"/>
    <w:rsid w:val="00FB7BE7"/>
    <w:rsid w:val="00FC051D"/>
    <w:rsid w:val="00FC092A"/>
    <w:rsid w:val="00FC0B4B"/>
    <w:rsid w:val="00FC0E94"/>
    <w:rsid w:val="00FC0F79"/>
    <w:rsid w:val="00FC13CE"/>
    <w:rsid w:val="00FC1777"/>
    <w:rsid w:val="00FC19DC"/>
    <w:rsid w:val="00FC24B4"/>
    <w:rsid w:val="00FC272B"/>
    <w:rsid w:val="00FC3AED"/>
    <w:rsid w:val="00FC51DF"/>
    <w:rsid w:val="00FC53A1"/>
    <w:rsid w:val="00FC56E4"/>
    <w:rsid w:val="00FC6AD6"/>
    <w:rsid w:val="00FC7546"/>
    <w:rsid w:val="00FD036D"/>
    <w:rsid w:val="00FD065D"/>
    <w:rsid w:val="00FD06D9"/>
    <w:rsid w:val="00FD0D4B"/>
    <w:rsid w:val="00FD1158"/>
    <w:rsid w:val="00FD1658"/>
    <w:rsid w:val="00FD20BE"/>
    <w:rsid w:val="00FD47D6"/>
    <w:rsid w:val="00FD49DA"/>
    <w:rsid w:val="00FD6B78"/>
    <w:rsid w:val="00FD7DB9"/>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4874"/>
    <w:rsid w:val="00FF6128"/>
    <w:rsid w:val="00FF6158"/>
    <w:rsid w:val="00FF7420"/>
    <w:rsid w:val="00FF773E"/>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0BA34F"/>
  <w15:docId w15:val="{5E449B65-EAE4-46CA-92D2-FD34E997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uiPriority w:val="39"/>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semiHidden/>
    <w:rsid w:val="00261B3D"/>
    <w:pPr>
      <w:spacing w:line="240" w:lineRule="auto"/>
    </w:pPr>
    <w:rPr>
      <w:rFonts w:eastAsia="Times New Roman"/>
      <w:sz w:val="20"/>
      <w:szCs w:val="20"/>
      <w:lang w:eastAsia="fi-FI"/>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customStyle="1" w:styleId="KommentintekstiChar">
    <w:name w:val="Kommentin teksti Char"/>
    <w:basedOn w:val="Kappaleenoletusfontti"/>
    <w:link w:val="Kommentinteksti"/>
    <w:uiPriority w:val="99"/>
    <w:semiHidden/>
    <w:rsid w:val="00F375D7"/>
  </w:style>
  <w:style w:type="paragraph" w:customStyle="1" w:styleId="Default">
    <w:name w:val="Default"/>
    <w:rsid w:val="005C67D1"/>
    <w:pPr>
      <w:autoSpaceDE w:val="0"/>
      <w:autoSpaceDN w:val="0"/>
      <w:adjustRightInd w:val="0"/>
    </w:pPr>
    <w:rPr>
      <w:rFonts w:eastAsiaTheme="minorHAnsi"/>
      <w:color w:val="000000"/>
      <w:sz w:val="24"/>
      <w:szCs w:val="24"/>
      <w:lang w:eastAsia="en-US"/>
    </w:rPr>
  </w:style>
  <w:style w:type="character" w:customStyle="1" w:styleId="AlaviitteentekstiChar">
    <w:name w:val="Alaviitteen teksti Char"/>
    <w:basedOn w:val="Kappaleenoletusfontti"/>
    <w:link w:val="Alaviitteenteksti"/>
    <w:uiPriority w:val="99"/>
    <w:semiHidden/>
    <w:rsid w:val="005C67D1"/>
  </w:style>
  <w:style w:type="paragraph" w:styleId="NormaaliWWW">
    <w:name w:val="Normal (Web)"/>
    <w:basedOn w:val="Normaali"/>
    <w:semiHidden/>
    <w:unhideWhenUsed/>
    <w:rsid w:val="000144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4256">
      <w:bodyDiv w:val="1"/>
      <w:marLeft w:val="0"/>
      <w:marRight w:val="0"/>
      <w:marTop w:val="0"/>
      <w:marBottom w:val="0"/>
      <w:divBdr>
        <w:top w:val="none" w:sz="0" w:space="0" w:color="auto"/>
        <w:left w:val="none" w:sz="0" w:space="0" w:color="auto"/>
        <w:bottom w:val="none" w:sz="0" w:space="0" w:color="auto"/>
        <w:right w:val="none" w:sz="0" w:space="0" w:color="auto"/>
      </w:divBdr>
    </w:div>
    <w:div w:id="378939626">
      <w:bodyDiv w:val="1"/>
      <w:marLeft w:val="0"/>
      <w:marRight w:val="0"/>
      <w:marTop w:val="0"/>
      <w:marBottom w:val="0"/>
      <w:divBdr>
        <w:top w:val="none" w:sz="0" w:space="0" w:color="auto"/>
        <w:left w:val="none" w:sz="0" w:space="0" w:color="auto"/>
        <w:bottom w:val="none" w:sz="0" w:space="0" w:color="auto"/>
        <w:right w:val="none" w:sz="0" w:space="0" w:color="auto"/>
      </w:divBdr>
    </w:div>
    <w:div w:id="647589417">
      <w:bodyDiv w:val="1"/>
      <w:marLeft w:val="0"/>
      <w:marRight w:val="0"/>
      <w:marTop w:val="0"/>
      <w:marBottom w:val="0"/>
      <w:divBdr>
        <w:top w:val="none" w:sz="0" w:space="0" w:color="auto"/>
        <w:left w:val="none" w:sz="0" w:space="0" w:color="auto"/>
        <w:bottom w:val="none" w:sz="0" w:space="0" w:color="auto"/>
        <w:right w:val="none" w:sz="0" w:space="0" w:color="auto"/>
      </w:divBdr>
      <w:divsChild>
        <w:div w:id="521283471">
          <w:marLeft w:val="547"/>
          <w:marRight w:val="0"/>
          <w:marTop w:val="120"/>
          <w:marBottom w:val="0"/>
          <w:divBdr>
            <w:top w:val="none" w:sz="0" w:space="0" w:color="auto"/>
            <w:left w:val="none" w:sz="0" w:space="0" w:color="auto"/>
            <w:bottom w:val="none" w:sz="0" w:space="0" w:color="auto"/>
            <w:right w:val="none" w:sz="0" w:space="0" w:color="auto"/>
          </w:divBdr>
        </w:div>
      </w:divsChild>
    </w:div>
    <w:div w:id="783232334">
      <w:bodyDiv w:val="1"/>
      <w:marLeft w:val="0"/>
      <w:marRight w:val="0"/>
      <w:marTop w:val="0"/>
      <w:marBottom w:val="0"/>
      <w:divBdr>
        <w:top w:val="none" w:sz="0" w:space="0" w:color="auto"/>
        <w:left w:val="none" w:sz="0" w:space="0" w:color="auto"/>
        <w:bottom w:val="none" w:sz="0" w:space="0" w:color="auto"/>
        <w:right w:val="none" w:sz="0" w:space="0" w:color="auto"/>
      </w:divBdr>
    </w:div>
    <w:div w:id="828055459">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897518997">
      <w:bodyDiv w:val="1"/>
      <w:marLeft w:val="0"/>
      <w:marRight w:val="0"/>
      <w:marTop w:val="0"/>
      <w:marBottom w:val="0"/>
      <w:divBdr>
        <w:top w:val="none" w:sz="0" w:space="0" w:color="auto"/>
        <w:left w:val="none" w:sz="0" w:space="0" w:color="auto"/>
        <w:bottom w:val="none" w:sz="0" w:space="0" w:color="auto"/>
        <w:right w:val="none" w:sz="0" w:space="0" w:color="auto"/>
      </w:divBdr>
    </w:div>
    <w:div w:id="1161965938">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73024855">
      <w:bodyDiv w:val="1"/>
      <w:marLeft w:val="0"/>
      <w:marRight w:val="0"/>
      <w:marTop w:val="0"/>
      <w:marBottom w:val="0"/>
      <w:divBdr>
        <w:top w:val="none" w:sz="0" w:space="0" w:color="auto"/>
        <w:left w:val="none" w:sz="0" w:space="0" w:color="auto"/>
        <w:bottom w:val="none" w:sz="0" w:space="0" w:color="auto"/>
        <w:right w:val="none" w:sz="0" w:space="0" w:color="auto"/>
      </w:divBdr>
    </w:div>
    <w:div w:id="1742096398">
      <w:bodyDiv w:val="1"/>
      <w:marLeft w:val="0"/>
      <w:marRight w:val="0"/>
      <w:marTop w:val="0"/>
      <w:marBottom w:val="0"/>
      <w:divBdr>
        <w:top w:val="none" w:sz="0" w:space="0" w:color="auto"/>
        <w:left w:val="none" w:sz="0" w:space="0" w:color="auto"/>
        <w:bottom w:val="none" w:sz="0" w:space="0" w:color="auto"/>
        <w:right w:val="none" w:sz="0" w:space="0" w:color="auto"/>
      </w:divBdr>
    </w:div>
    <w:div w:id="1753893346">
      <w:bodyDiv w:val="1"/>
      <w:marLeft w:val="0"/>
      <w:marRight w:val="0"/>
      <w:marTop w:val="0"/>
      <w:marBottom w:val="0"/>
      <w:divBdr>
        <w:top w:val="none" w:sz="0" w:space="0" w:color="auto"/>
        <w:left w:val="none" w:sz="0" w:space="0" w:color="auto"/>
        <w:bottom w:val="none" w:sz="0" w:space="0" w:color="auto"/>
        <w:right w:val="none" w:sz="0" w:space="0" w:color="auto"/>
      </w:divBdr>
    </w:div>
    <w:div w:id="195181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mattibarometri.fi"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budjetti.vm.fi/indox/sisalto.jsp?year=2023&amp;lang=fi&amp;maindoc=/2023/tae/hallituksenEsitys/hallituksenEsitys.xml&amp;opennode=0:1:3:79:81" TargetMode="External"/><Relationship Id="rId1" Type="http://schemas.openxmlformats.org/officeDocument/2006/relationships/hyperlink" Target="https://julkaisut.valtioneuvosto.fi/bitstream/handle/10024/164342/VM_2022_57.pdf?sequence=11&amp;isAllowed=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49\AppData\Roaming\Microsoft\Mallit\HEperus.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laskentataulukko.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a:t>Henkilöstömitoitus vuosina 2020-2023,</a:t>
            </a:r>
          </a:p>
          <a:p>
            <a:pPr>
              <a:defRPr/>
            </a:pPr>
            <a:r>
              <a:rPr lang="fi-FI"/>
              <a:t>2023 ennakkotieto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col"/>
        <c:grouping val="clustered"/>
        <c:varyColors val="0"/>
        <c:ser>
          <c:idx val="0"/>
          <c:order val="0"/>
          <c:tx>
            <c:strRef>
              <c:f>Taul1!$B$2</c:f>
              <c:strCache>
                <c:ptCount val="1"/>
                <c:pt idx="0">
                  <c:v>2020/11</c:v>
                </c:pt>
              </c:strCache>
            </c:strRef>
          </c:tx>
          <c:spPr>
            <a:solidFill>
              <a:schemeClr val="accent6"/>
            </a:solidFill>
            <a:ln>
              <a:noFill/>
            </a:ln>
            <a:effectLst/>
          </c:spPr>
          <c:invertIfNegative val="0"/>
          <c:cat>
            <c:strRef>
              <c:f>Taul1!$A$3:$A$8</c:f>
              <c:strCache>
                <c:ptCount val="6"/>
                <c:pt idx="0">
                  <c:v>Alle 0,55</c:v>
                </c:pt>
                <c:pt idx="1">
                  <c:v>0,55–0,59 </c:v>
                </c:pt>
                <c:pt idx="2">
                  <c:v>0,6–0,64</c:v>
                </c:pt>
                <c:pt idx="3">
                  <c:v>0,65–0,69</c:v>
                </c:pt>
                <c:pt idx="4">
                  <c:v>0,7–0,74</c:v>
                </c:pt>
                <c:pt idx="5">
                  <c:v>0,75 tai enemmän</c:v>
                </c:pt>
              </c:strCache>
            </c:strRef>
          </c:cat>
          <c:val>
            <c:numRef>
              <c:f>Taul1!$B$3:$B$8</c:f>
              <c:numCache>
                <c:formatCode>General</c:formatCode>
                <c:ptCount val="6"/>
                <c:pt idx="0">
                  <c:v>296</c:v>
                </c:pt>
                <c:pt idx="1">
                  <c:v>378</c:v>
                </c:pt>
                <c:pt idx="2">
                  <c:v>375</c:v>
                </c:pt>
                <c:pt idx="3">
                  <c:v>222</c:v>
                </c:pt>
                <c:pt idx="4">
                  <c:v>128</c:v>
                </c:pt>
                <c:pt idx="5">
                  <c:v>128</c:v>
                </c:pt>
              </c:numCache>
            </c:numRef>
          </c:val>
          <c:extLst>
            <c:ext xmlns:c16="http://schemas.microsoft.com/office/drawing/2014/chart" uri="{C3380CC4-5D6E-409C-BE32-E72D297353CC}">
              <c16:uniqueId val="{00000000-FA8B-4612-BE55-6E1D56FAE0D1}"/>
            </c:ext>
          </c:extLst>
        </c:ser>
        <c:ser>
          <c:idx val="1"/>
          <c:order val="1"/>
          <c:tx>
            <c:strRef>
              <c:f>Taul1!$C$2</c:f>
              <c:strCache>
                <c:ptCount val="1"/>
                <c:pt idx="0">
                  <c:v>2021/11</c:v>
                </c:pt>
              </c:strCache>
            </c:strRef>
          </c:tx>
          <c:spPr>
            <a:solidFill>
              <a:schemeClr val="accent1"/>
            </a:solidFill>
            <a:ln>
              <a:noFill/>
            </a:ln>
            <a:effectLst/>
          </c:spPr>
          <c:invertIfNegative val="0"/>
          <c:cat>
            <c:strRef>
              <c:f>Taul1!$A$3:$A$8</c:f>
              <c:strCache>
                <c:ptCount val="6"/>
                <c:pt idx="0">
                  <c:v>Alle 0,55</c:v>
                </c:pt>
                <c:pt idx="1">
                  <c:v>0,55–0,59 </c:v>
                </c:pt>
                <c:pt idx="2">
                  <c:v>0,6–0,64</c:v>
                </c:pt>
                <c:pt idx="3">
                  <c:v>0,65–0,69</c:v>
                </c:pt>
                <c:pt idx="4">
                  <c:v>0,7–0,74</c:v>
                </c:pt>
                <c:pt idx="5">
                  <c:v>0,75 tai enemmän</c:v>
                </c:pt>
              </c:strCache>
            </c:strRef>
          </c:cat>
          <c:val>
            <c:numRef>
              <c:f>Taul1!$C$3:$C$8</c:f>
              <c:numCache>
                <c:formatCode>General</c:formatCode>
                <c:ptCount val="6"/>
                <c:pt idx="0">
                  <c:v>82</c:v>
                </c:pt>
                <c:pt idx="1">
                  <c:v>444</c:v>
                </c:pt>
                <c:pt idx="2">
                  <c:v>582</c:v>
                </c:pt>
                <c:pt idx="3">
                  <c:v>307</c:v>
                </c:pt>
                <c:pt idx="4">
                  <c:v>198</c:v>
                </c:pt>
                <c:pt idx="5">
                  <c:v>200</c:v>
                </c:pt>
              </c:numCache>
            </c:numRef>
          </c:val>
          <c:extLst>
            <c:ext xmlns:c16="http://schemas.microsoft.com/office/drawing/2014/chart" uri="{C3380CC4-5D6E-409C-BE32-E72D297353CC}">
              <c16:uniqueId val="{00000001-FA8B-4612-BE55-6E1D56FAE0D1}"/>
            </c:ext>
          </c:extLst>
        </c:ser>
        <c:ser>
          <c:idx val="2"/>
          <c:order val="2"/>
          <c:tx>
            <c:strRef>
              <c:f>Taul1!$D$2</c:f>
              <c:strCache>
                <c:ptCount val="1"/>
                <c:pt idx="0">
                  <c:v>2022/11</c:v>
                </c:pt>
              </c:strCache>
            </c:strRef>
          </c:tx>
          <c:spPr>
            <a:solidFill>
              <a:srgbClr val="7030A0"/>
            </a:solidFill>
            <a:ln>
              <a:noFill/>
            </a:ln>
            <a:effectLst/>
          </c:spPr>
          <c:invertIfNegative val="0"/>
          <c:cat>
            <c:strRef>
              <c:f>Taul1!$A$3:$A$8</c:f>
              <c:strCache>
                <c:ptCount val="6"/>
                <c:pt idx="0">
                  <c:v>Alle 0,55</c:v>
                </c:pt>
                <c:pt idx="1">
                  <c:v>0,55–0,59 </c:v>
                </c:pt>
                <c:pt idx="2">
                  <c:v>0,6–0,64</c:v>
                </c:pt>
                <c:pt idx="3">
                  <c:v>0,65–0,69</c:v>
                </c:pt>
                <c:pt idx="4">
                  <c:v>0,7–0,74</c:v>
                </c:pt>
                <c:pt idx="5">
                  <c:v>0,75 tai enemmän</c:v>
                </c:pt>
              </c:strCache>
            </c:strRef>
          </c:cat>
          <c:val>
            <c:numRef>
              <c:f>Taul1!$D$3:$D$8</c:f>
              <c:numCache>
                <c:formatCode>General</c:formatCode>
                <c:ptCount val="6"/>
                <c:pt idx="0">
                  <c:v>18</c:v>
                </c:pt>
                <c:pt idx="1">
                  <c:v>67</c:v>
                </c:pt>
                <c:pt idx="2">
                  <c:v>696</c:v>
                </c:pt>
                <c:pt idx="3">
                  <c:v>443</c:v>
                </c:pt>
                <c:pt idx="4">
                  <c:v>286</c:v>
                </c:pt>
                <c:pt idx="5">
                  <c:v>282</c:v>
                </c:pt>
              </c:numCache>
            </c:numRef>
          </c:val>
          <c:extLst>
            <c:ext xmlns:c16="http://schemas.microsoft.com/office/drawing/2014/chart" uri="{C3380CC4-5D6E-409C-BE32-E72D297353CC}">
              <c16:uniqueId val="{00000002-FA8B-4612-BE55-6E1D56FAE0D1}"/>
            </c:ext>
          </c:extLst>
        </c:ser>
        <c:ser>
          <c:idx val="3"/>
          <c:order val="3"/>
          <c:tx>
            <c:strRef>
              <c:f>Taul1!$E$2</c:f>
              <c:strCache>
                <c:ptCount val="1"/>
                <c:pt idx="0">
                  <c:v>2023/5</c:v>
                </c:pt>
              </c:strCache>
            </c:strRef>
          </c:tx>
          <c:spPr>
            <a:solidFill>
              <a:schemeClr val="accent4"/>
            </a:solidFill>
            <a:ln>
              <a:noFill/>
            </a:ln>
            <a:effectLst/>
          </c:spPr>
          <c:invertIfNegative val="0"/>
          <c:cat>
            <c:strRef>
              <c:f>Taul1!$A$3:$A$8</c:f>
              <c:strCache>
                <c:ptCount val="6"/>
                <c:pt idx="0">
                  <c:v>Alle 0,55</c:v>
                </c:pt>
                <c:pt idx="1">
                  <c:v>0,55–0,59 </c:v>
                </c:pt>
                <c:pt idx="2">
                  <c:v>0,6–0,64</c:v>
                </c:pt>
                <c:pt idx="3">
                  <c:v>0,65–0,69</c:v>
                </c:pt>
                <c:pt idx="4">
                  <c:v>0,7–0,74</c:v>
                </c:pt>
                <c:pt idx="5">
                  <c:v>0,75 tai enemmän</c:v>
                </c:pt>
              </c:strCache>
            </c:strRef>
          </c:cat>
          <c:val>
            <c:numRef>
              <c:f>Taul1!$E$3:$E$8</c:f>
              <c:numCache>
                <c:formatCode>#,##0</c:formatCode>
                <c:ptCount val="6"/>
                <c:pt idx="0">
                  <c:v>12</c:v>
                </c:pt>
                <c:pt idx="1">
                  <c:v>24</c:v>
                </c:pt>
                <c:pt idx="2">
                  <c:v>165</c:v>
                </c:pt>
                <c:pt idx="3">
                  <c:v>878</c:v>
                </c:pt>
                <c:pt idx="4">
                  <c:v>410</c:v>
                </c:pt>
                <c:pt idx="5">
                  <c:v>309</c:v>
                </c:pt>
              </c:numCache>
            </c:numRef>
          </c:val>
          <c:extLst>
            <c:ext xmlns:c16="http://schemas.microsoft.com/office/drawing/2014/chart" uri="{C3380CC4-5D6E-409C-BE32-E72D297353CC}">
              <c16:uniqueId val="{00000003-FA8B-4612-BE55-6E1D56FAE0D1}"/>
            </c:ext>
          </c:extLst>
        </c:ser>
        <c:dLbls>
          <c:showLegendKey val="0"/>
          <c:showVal val="0"/>
          <c:showCatName val="0"/>
          <c:showSerName val="0"/>
          <c:showPercent val="0"/>
          <c:showBubbleSize val="0"/>
        </c:dLbls>
        <c:gapWidth val="219"/>
        <c:overlap val="-27"/>
        <c:axId val="790667848"/>
        <c:axId val="793979640"/>
      </c:barChart>
      <c:catAx>
        <c:axId val="790667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793979640"/>
        <c:crosses val="autoZero"/>
        <c:auto val="1"/>
        <c:lblAlgn val="ctr"/>
        <c:lblOffset val="100"/>
        <c:noMultiLvlLbl val="0"/>
      </c:catAx>
      <c:valAx>
        <c:axId val="793979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790667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1132CBB95B44E1940E0900344FAD89"/>
        <w:category>
          <w:name w:val="Yleiset"/>
          <w:gallery w:val="placeholder"/>
        </w:category>
        <w:types>
          <w:type w:val="bbPlcHdr"/>
        </w:types>
        <w:behaviors>
          <w:behavior w:val="content"/>
        </w:behaviors>
        <w:guid w:val="{9941C67D-24C9-4198-BE49-C4C77E0877BD}"/>
      </w:docPartPr>
      <w:docPartBody>
        <w:p w:rsidR="00CC3D4C" w:rsidRDefault="00450C86">
          <w:pPr>
            <w:pStyle w:val="681132CBB95B44E1940E0900344FAD89"/>
          </w:pPr>
          <w:r w:rsidRPr="005D3E42">
            <w:rPr>
              <w:rStyle w:val="Paikkamerkkiteksti"/>
            </w:rPr>
            <w:t>Click or tap here to enter text.</w:t>
          </w:r>
        </w:p>
      </w:docPartBody>
    </w:docPart>
    <w:docPart>
      <w:docPartPr>
        <w:name w:val="D13964D0939B4A2583BA106A02DC45E4"/>
        <w:category>
          <w:name w:val="Yleiset"/>
          <w:gallery w:val="placeholder"/>
        </w:category>
        <w:types>
          <w:type w:val="bbPlcHdr"/>
        </w:types>
        <w:behaviors>
          <w:behavior w:val="content"/>
        </w:behaviors>
        <w:guid w:val="{3123B6B5-3FEC-4C49-8B9A-C2F928650095}"/>
      </w:docPartPr>
      <w:docPartBody>
        <w:p w:rsidR="00CC3D4C" w:rsidRDefault="00450C86">
          <w:pPr>
            <w:pStyle w:val="D13964D0939B4A2583BA106A02DC45E4"/>
          </w:pPr>
          <w:r w:rsidRPr="005D3E42">
            <w:rPr>
              <w:rStyle w:val="Paikkamerkkiteksti"/>
            </w:rPr>
            <w:t>Click or tap here to enter text.</w:t>
          </w:r>
        </w:p>
      </w:docPartBody>
    </w:docPart>
    <w:docPart>
      <w:docPartPr>
        <w:name w:val="B3D7273523C840668E5123DCD0D2B8F7"/>
        <w:category>
          <w:name w:val="Yleiset"/>
          <w:gallery w:val="placeholder"/>
        </w:category>
        <w:types>
          <w:type w:val="bbPlcHdr"/>
        </w:types>
        <w:behaviors>
          <w:behavior w:val="content"/>
        </w:behaviors>
        <w:guid w:val="{944D9449-F602-4A29-8FC1-D3951E1F8686}"/>
      </w:docPartPr>
      <w:docPartBody>
        <w:p w:rsidR="00CC3D4C" w:rsidRDefault="00450C86">
          <w:pPr>
            <w:pStyle w:val="B3D7273523C840668E5123DCD0D2B8F7"/>
          </w:pPr>
          <w:r w:rsidRPr="002B458A">
            <w:rPr>
              <w:rStyle w:val="Paikkamerkkiteksti"/>
            </w:rPr>
            <w:t>Kirjoita tekstiä napsauttamalla tai napauttamalla tätä.</w:t>
          </w:r>
        </w:p>
      </w:docPartBody>
    </w:docPart>
    <w:docPart>
      <w:docPartPr>
        <w:name w:val="AF74CF05B5914AA1938B93A1D39660E3"/>
        <w:category>
          <w:name w:val="Yleiset"/>
          <w:gallery w:val="placeholder"/>
        </w:category>
        <w:types>
          <w:type w:val="bbPlcHdr"/>
        </w:types>
        <w:behaviors>
          <w:behavior w:val="content"/>
        </w:behaviors>
        <w:guid w:val="{726E0157-834D-46B4-9689-A530C35A89FD}"/>
      </w:docPartPr>
      <w:docPartBody>
        <w:p w:rsidR="00CC3D4C" w:rsidRDefault="00450C86">
          <w:pPr>
            <w:pStyle w:val="AF74CF05B5914AA1938B93A1D39660E3"/>
          </w:pPr>
          <w:r w:rsidRPr="00E27C6D">
            <w:t>Valitse kohde.</w:t>
          </w:r>
        </w:p>
      </w:docPartBody>
    </w:docPart>
    <w:docPart>
      <w:docPartPr>
        <w:name w:val="5919B7FC0B954A89A4D1026E91ED91EE"/>
        <w:category>
          <w:name w:val="Yleiset"/>
          <w:gallery w:val="placeholder"/>
        </w:category>
        <w:types>
          <w:type w:val="bbPlcHdr"/>
        </w:types>
        <w:behaviors>
          <w:behavior w:val="content"/>
        </w:behaviors>
        <w:guid w:val="{28E83F02-33CA-421E-953E-8E04F394127A}"/>
      </w:docPartPr>
      <w:docPartBody>
        <w:p w:rsidR="00CC3D4C" w:rsidRDefault="00450C86">
          <w:pPr>
            <w:pStyle w:val="5919B7FC0B954A89A4D1026E91ED91EE"/>
          </w:pPr>
          <w:r w:rsidRPr="005D3E42">
            <w:rPr>
              <w:rStyle w:val="Paikkamerkkiteksti"/>
            </w:rPr>
            <w:t>Click or tap here to enter text.</w:t>
          </w:r>
        </w:p>
      </w:docPartBody>
    </w:docPart>
    <w:docPart>
      <w:docPartPr>
        <w:name w:val="D5AED7A6275747F2B71D1ABC06F9F12C"/>
        <w:category>
          <w:name w:val="Yleiset"/>
          <w:gallery w:val="placeholder"/>
        </w:category>
        <w:types>
          <w:type w:val="bbPlcHdr"/>
        </w:types>
        <w:behaviors>
          <w:behavior w:val="content"/>
        </w:behaviors>
        <w:guid w:val="{54BFC470-D00B-4FB0-BFAB-F8BCA9273B7C}"/>
      </w:docPartPr>
      <w:docPartBody>
        <w:p w:rsidR="00CC3D4C" w:rsidRDefault="00450C86">
          <w:pPr>
            <w:pStyle w:val="D5AED7A6275747F2B71D1ABC06F9F12C"/>
          </w:pPr>
          <w:r w:rsidRPr="00CC518A">
            <w:rPr>
              <w:rStyle w:val="Paikkamerkkiteksti"/>
            </w:rPr>
            <w:t>Valitse kohde.</w:t>
          </w:r>
        </w:p>
      </w:docPartBody>
    </w:docPart>
    <w:docPart>
      <w:docPartPr>
        <w:name w:val="37183265A726448D93128B02276C1164"/>
        <w:category>
          <w:name w:val="Yleiset"/>
          <w:gallery w:val="placeholder"/>
        </w:category>
        <w:types>
          <w:type w:val="bbPlcHdr"/>
        </w:types>
        <w:behaviors>
          <w:behavior w:val="content"/>
        </w:behaviors>
        <w:guid w:val="{4C333FC6-4D4B-4771-90B1-3CCD862A98E5}"/>
      </w:docPartPr>
      <w:docPartBody>
        <w:p w:rsidR="000C3487" w:rsidRDefault="00450C86">
          <w:pPr>
            <w:pStyle w:val="37183265A726448D93128B02276C1164"/>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86"/>
    <w:rsid w:val="000020C5"/>
    <w:rsid w:val="000221EB"/>
    <w:rsid w:val="00054477"/>
    <w:rsid w:val="000568E9"/>
    <w:rsid w:val="000C3487"/>
    <w:rsid w:val="000F3FC0"/>
    <w:rsid w:val="0011247F"/>
    <w:rsid w:val="00157771"/>
    <w:rsid w:val="00165DD7"/>
    <w:rsid w:val="00197620"/>
    <w:rsid w:val="00213C36"/>
    <w:rsid w:val="00216E92"/>
    <w:rsid w:val="00232CD0"/>
    <w:rsid w:val="00243052"/>
    <w:rsid w:val="002566B8"/>
    <w:rsid w:val="0034370D"/>
    <w:rsid w:val="00363D92"/>
    <w:rsid w:val="00364532"/>
    <w:rsid w:val="0037122F"/>
    <w:rsid w:val="00390FE1"/>
    <w:rsid w:val="003A08A8"/>
    <w:rsid w:val="003F63A4"/>
    <w:rsid w:val="00402D3C"/>
    <w:rsid w:val="00403682"/>
    <w:rsid w:val="00427D2F"/>
    <w:rsid w:val="00450C86"/>
    <w:rsid w:val="004709FF"/>
    <w:rsid w:val="004A6182"/>
    <w:rsid w:val="004E71EC"/>
    <w:rsid w:val="005A01BB"/>
    <w:rsid w:val="005F33DD"/>
    <w:rsid w:val="00624DE2"/>
    <w:rsid w:val="0066685F"/>
    <w:rsid w:val="00695193"/>
    <w:rsid w:val="00695EF2"/>
    <w:rsid w:val="006B1450"/>
    <w:rsid w:val="006B7FC9"/>
    <w:rsid w:val="0072647A"/>
    <w:rsid w:val="00755720"/>
    <w:rsid w:val="00775CA2"/>
    <w:rsid w:val="00792711"/>
    <w:rsid w:val="00810FBF"/>
    <w:rsid w:val="00836852"/>
    <w:rsid w:val="008369AF"/>
    <w:rsid w:val="008C6788"/>
    <w:rsid w:val="008F64AA"/>
    <w:rsid w:val="009A2BB9"/>
    <w:rsid w:val="00A6201A"/>
    <w:rsid w:val="00A6481A"/>
    <w:rsid w:val="00A87C7D"/>
    <w:rsid w:val="00AB4D43"/>
    <w:rsid w:val="00AF267A"/>
    <w:rsid w:val="00B025A4"/>
    <w:rsid w:val="00B05FDE"/>
    <w:rsid w:val="00B158B7"/>
    <w:rsid w:val="00BF3A3E"/>
    <w:rsid w:val="00BF5F80"/>
    <w:rsid w:val="00C65A4A"/>
    <w:rsid w:val="00CB0A03"/>
    <w:rsid w:val="00CC3D4C"/>
    <w:rsid w:val="00CC407D"/>
    <w:rsid w:val="00CD7401"/>
    <w:rsid w:val="00D154BD"/>
    <w:rsid w:val="00D77C3A"/>
    <w:rsid w:val="00D834B7"/>
    <w:rsid w:val="00DC2D7E"/>
    <w:rsid w:val="00E40234"/>
    <w:rsid w:val="00EB2DCB"/>
    <w:rsid w:val="00EB5A5F"/>
    <w:rsid w:val="00F12429"/>
    <w:rsid w:val="00F2048A"/>
    <w:rsid w:val="00F20BFF"/>
    <w:rsid w:val="00F35ECA"/>
    <w:rsid w:val="00F51177"/>
    <w:rsid w:val="00F563A7"/>
    <w:rsid w:val="00F91FBC"/>
    <w:rsid w:val="00FC31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81132CBB95B44E1940E0900344FAD89">
    <w:name w:val="681132CBB95B44E1940E0900344FAD89"/>
  </w:style>
  <w:style w:type="paragraph" w:customStyle="1" w:styleId="D13964D0939B4A2583BA106A02DC45E4">
    <w:name w:val="D13964D0939B4A2583BA106A02DC45E4"/>
  </w:style>
  <w:style w:type="paragraph" w:customStyle="1" w:styleId="B3D7273523C840668E5123DCD0D2B8F7">
    <w:name w:val="B3D7273523C840668E5123DCD0D2B8F7"/>
  </w:style>
  <w:style w:type="paragraph" w:customStyle="1" w:styleId="AF74CF05B5914AA1938B93A1D39660E3">
    <w:name w:val="AF74CF05B5914AA1938B93A1D39660E3"/>
  </w:style>
  <w:style w:type="paragraph" w:customStyle="1" w:styleId="5919B7FC0B954A89A4D1026E91ED91EE">
    <w:name w:val="5919B7FC0B954A89A4D1026E91ED91EE"/>
  </w:style>
  <w:style w:type="paragraph" w:customStyle="1" w:styleId="D5AED7A6275747F2B71D1ABC06F9F12C">
    <w:name w:val="D5AED7A6275747F2B71D1ABC06F9F12C"/>
  </w:style>
  <w:style w:type="paragraph" w:customStyle="1" w:styleId="37183265A726448D93128B02276C1164">
    <w:name w:val="37183265A726448D93128B02276C1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a1789c21e23614790b95c56934f64040">
  <xsd:schema xmlns:xsd="http://www.w3.org/2001/XMLSchema" xmlns:xs="http://www.w3.org/2001/XMLSchema" xmlns:p="http://schemas.microsoft.com/office/2006/metadata/properties" xmlns:ns2="ebb82943-49da-4504-a2f3-a33fb2eb95f1" targetNamespace="http://schemas.microsoft.com/office/2006/metadata/properties" ma:root="true" ma:fieldsID="722c4ba27fb44f9ac8eb7ccc4aa2ffe3"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553B3-92BB-4160-ABC0-561B4291B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A4FACA-92B6-4EED-B55C-4640F43AA41B}">
  <ds:schemaRefs>
    <ds:schemaRef ds:uri="http://schemas.microsoft.com/sharepoint/v3/contenttype/forms"/>
  </ds:schemaRefs>
</ds:datastoreItem>
</file>

<file path=customXml/itemProps3.xml><?xml version="1.0" encoding="utf-8"?>
<ds:datastoreItem xmlns:ds="http://schemas.openxmlformats.org/officeDocument/2006/customXml" ds:itemID="{597154D8-FF07-442D-ABB2-B317EE3AD0CC}">
  <ds:schemaRefs>
    <ds:schemaRef ds:uri="http://schemas.openxmlformats.org/package/2006/metadata/core-properties"/>
    <ds:schemaRef ds:uri="http://purl.org/dc/elements/1.1/"/>
    <ds:schemaRef ds:uri="http://schemas.microsoft.com/office/infopath/2007/PartnerControls"/>
    <ds:schemaRef ds:uri="ebb82943-49da-4504-a2f3-a33fb2eb95f1"/>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ECFCEB7-63BD-4D9E-92F0-B4CBF989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3</TotalTime>
  <Pages>27</Pages>
  <Words>8267</Words>
  <Characters>66965</Characters>
  <Application>Microsoft Office Word</Application>
  <DocSecurity>0</DocSecurity>
  <Lines>558</Lines>
  <Paragraphs>150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75082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Hakanen Ida (STM)</dc:creator>
  <cp:keywords/>
  <dc:description/>
  <cp:lastModifiedBy>Kankaanpää Eeva (STM)</cp:lastModifiedBy>
  <cp:revision>2</cp:revision>
  <cp:lastPrinted>2022-10-11T16:10:00Z</cp:lastPrinted>
  <dcterms:created xsi:type="dcterms:W3CDTF">2023-08-17T05:43:00Z</dcterms:created>
  <dcterms:modified xsi:type="dcterms:W3CDTF">2023-08-17T05:43:00Z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0x010100FC273FBDB1AAC448BDBB3CA1302F22C6</vt:lpwstr>
  </property>
</Properties>
</file>