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D42E0" w14:textId="77777777" w:rsidR="00B54DD4" w:rsidRDefault="00B54DD4" w:rsidP="00ED2B4A">
      <w:pPr>
        <w:pStyle w:val="akpasia3"/>
        <w:rPr>
          <w:b/>
          <w:sz w:val="22"/>
          <w:szCs w:val="22"/>
        </w:rPr>
      </w:pPr>
    </w:p>
    <w:p w14:paraId="465B8655" w14:textId="77777777" w:rsidR="00177CB1" w:rsidRDefault="00177CB1" w:rsidP="00ED2B4A">
      <w:pPr>
        <w:pStyle w:val="akpasia3"/>
        <w:rPr>
          <w:b/>
          <w:sz w:val="22"/>
          <w:szCs w:val="22"/>
        </w:rPr>
      </w:pPr>
    </w:p>
    <w:p w14:paraId="403D477E" w14:textId="77777777" w:rsidR="00177CB1" w:rsidRPr="0039450C" w:rsidRDefault="00177CB1" w:rsidP="00ED2B4A">
      <w:pPr>
        <w:pStyle w:val="akpasia3"/>
        <w:rPr>
          <w:b/>
          <w:sz w:val="22"/>
          <w:szCs w:val="22"/>
        </w:rPr>
      </w:pPr>
    </w:p>
    <w:p w14:paraId="09EC73BC" w14:textId="77777777" w:rsidR="00B54DD4" w:rsidRDefault="00B54DD4" w:rsidP="00ED2B4A">
      <w:pPr>
        <w:pStyle w:val="akpasia3"/>
        <w:rPr>
          <w:b/>
          <w:sz w:val="22"/>
          <w:szCs w:val="22"/>
        </w:rPr>
      </w:pPr>
    </w:p>
    <w:p w14:paraId="4F20A74C" w14:textId="77777777" w:rsidR="00481081" w:rsidRDefault="00481081" w:rsidP="00ED2B4A">
      <w:pPr>
        <w:pStyle w:val="akpasia3"/>
        <w:rPr>
          <w:b/>
          <w:sz w:val="22"/>
          <w:szCs w:val="22"/>
        </w:rPr>
      </w:pPr>
    </w:p>
    <w:p w14:paraId="32BEEAB3" w14:textId="77777777" w:rsidR="00481081" w:rsidRPr="0039450C" w:rsidRDefault="00481081" w:rsidP="00ED2B4A">
      <w:pPr>
        <w:pStyle w:val="akpasia3"/>
        <w:rPr>
          <w:b/>
          <w:sz w:val="22"/>
          <w:szCs w:val="22"/>
        </w:rPr>
      </w:pPr>
    </w:p>
    <w:p w14:paraId="613E9191" w14:textId="77777777" w:rsidR="00ED2B4A" w:rsidRPr="0039450C" w:rsidRDefault="00C151B6" w:rsidP="00ED2B4A">
      <w:pPr>
        <w:pStyle w:val="akpasia3"/>
        <w:rPr>
          <w:b/>
          <w:sz w:val="28"/>
          <w:szCs w:val="28"/>
        </w:rPr>
      </w:pPr>
      <w:r>
        <w:rPr>
          <w:b/>
          <w:sz w:val="28"/>
          <w:szCs w:val="28"/>
        </w:rPr>
        <w:t>TURVALLISUUSSELVITYSTEN LAATIMINEN TUOMIOISTUIMISSA</w:t>
      </w:r>
    </w:p>
    <w:p w14:paraId="38635EE3" w14:textId="77777777" w:rsidR="00B54DD4" w:rsidRPr="0039450C" w:rsidRDefault="00B54DD4" w:rsidP="00ED2B4A">
      <w:pPr>
        <w:pStyle w:val="akpasia3"/>
        <w:rPr>
          <w:b/>
          <w:sz w:val="22"/>
          <w:szCs w:val="22"/>
        </w:rPr>
      </w:pPr>
    </w:p>
    <w:p w14:paraId="573C03EE" w14:textId="77777777" w:rsidR="00B54DD4" w:rsidRPr="0039450C" w:rsidRDefault="00B54DD4" w:rsidP="00ED2B4A">
      <w:pPr>
        <w:pStyle w:val="akpasia3"/>
        <w:rPr>
          <w:sz w:val="22"/>
          <w:szCs w:val="22"/>
        </w:rPr>
      </w:pPr>
    </w:p>
    <w:p w14:paraId="346F96A8" w14:textId="77777777" w:rsidR="00ED2B4A" w:rsidRDefault="00C151B6" w:rsidP="00ED2B4A">
      <w:pPr>
        <w:pStyle w:val="Otsikko1"/>
        <w:rPr>
          <w:szCs w:val="24"/>
        </w:rPr>
      </w:pPr>
      <w:r w:rsidRPr="00C151B6">
        <w:rPr>
          <w:szCs w:val="24"/>
        </w:rPr>
        <w:t>Johdanto</w:t>
      </w:r>
    </w:p>
    <w:p w14:paraId="37F372AA" w14:textId="77777777" w:rsidR="006240AF" w:rsidRPr="006240AF" w:rsidRDefault="006240AF" w:rsidP="006240AF">
      <w:pPr>
        <w:pStyle w:val="Otsikko2"/>
      </w:pPr>
      <w:r>
        <w:t>Lainsäädännöllinen pohja</w:t>
      </w:r>
    </w:p>
    <w:p w14:paraId="1182B01D" w14:textId="77777777" w:rsidR="006E62FF" w:rsidRDefault="00FA7625" w:rsidP="001E20BD">
      <w:pPr>
        <w:ind w:left="1298"/>
        <w:rPr>
          <w:sz w:val="22"/>
          <w:szCs w:val="22"/>
        </w:rPr>
      </w:pPr>
      <w:r>
        <w:rPr>
          <w:sz w:val="22"/>
          <w:szCs w:val="22"/>
        </w:rPr>
        <w:t>Turvallisuusselvityksistä ja niiden laatimisesta säädetään turvallisuusselvityslaissa (</w:t>
      </w:r>
      <w:hyperlink r:id="rId8" w:history="1">
        <w:r w:rsidRPr="00061B5D">
          <w:rPr>
            <w:rStyle w:val="Hyperlinkki"/>
            <w:sz w:val="22"/>
            <w:szCs w:val="22"/>
          </w:rPr>
          <w:t>726/2014</w:t>
        </w:r>
      </w:hyperlink>
      <w:r>
        <w:rPr>
          <w:sz w:val="22"/>
          <w:szCs w:val="22"/>
        </w:rPr>
        <w:t>). Lain tarkoituksena on parantaa mahdollisuuksia ennalta ehkäistä toimintaa, joka voi vahingoittaa valtion turvallisuutta ja muita vastaavia etuja.</w:t>
      </w:r>
      <w:r w:rsidR="00E2520C">
        <w:rPr>
          <w:sz w:val="22"/>
          <w:szCs w:val="22"/>
        </w:rPr>
        <w:t xml:space="preserve"> Lain tavoitteena on ennakolta arvioida henkilön nuhteettomuutta ja luotettavuutta erityisesti sellaisiin tehtäviin tai toimeksiantoihin, joissa hänellä on pääsy yleisen turvallisuuden kanna</w:t>
      </w:r>
      <w:r w:rsidR="00A424A4">
        <w:rPr>
          <w:sz w:val="22"/>
          <w:szCs w:val="22"/>
        </w:rPr>
        <w:t xml:space="preserve">lta arkaluonteisiin tietoihin </w:t>
      </w:r>
      <w:r w:rsidR="00E2520C">
        <w:rPr>
          <w:sz w:val="22"/>
          <w:szCs w:val="22"/>
        </w:rPr>
        <w:t xml:space="preserve">tai hän muutoin hoitaa yhteiskunnan ja sen infrastruktuurin toimivuuden kannalta keskeisiä tehtäviä. </w:t>
      </w:r>
      <w:r>
        <w:rPr>
          <w:sz w:val="22"/>
          <w:szCs w:val="22"/>
        </w:rPr>
        <w:t xml:space="preserve">Laissa säädetään turvallisuusselvityksen laatimisen edellytyksistä ja tasosta, selvityksen tekemiseen toimivaltaisista viranomaisista, selvityksen pyytäjän velvollisuuksista ja selvityksen kohteen oikeuksista. </w:t>
      </w:r>
      <w:r w:rsidRPr="00FA7625">
        <w:rPr>
          <w:sz w:val="22"/>
          <w:szCs w:val="22"/>
        </w:rPr>
        <w:t>Lainsäädäntö on uudistettu hiljattain, mutta uudistus ei</w:t>
      </w:r>
      <w:r w:rsidR="00A424A4">
        <w:rPr>
          <w:sz w:val="22"/>
          <w:szCs w:val="22"/>
        </w:rPr>
        <w:t xml:space="preserve"> muutoin kuin uuden yritysselvitystä koskevan sääntelyn lisäksi </w:t>
      </w:r>
      <w:r w:rsidRPr="00FA7625">
        <w:rPr>
          <w:sz w:val="22"/>
          <w:szCs w:val="22"/>
        </w:rPr>
        <w:t>tuonut huomattavia muutoksia</w:t>
      </w:r>
      <w:r w:rsidR="00A424A4">
        <w:rPr>
          <w:sz w:val="22"/>
          <w:szCs w:val="22"/>
        </w:rPr>
        <w:t xml:space="preserve"> sitä </w:t>
      </w:r>
      <w:r w:rsidRPr="00FA7625">
        <w:rPr>
          <w:sz w:val="22"/>
          <w:szCs w:val="22"/>
        </w:rPr>
        <w:t>edeltäneeseen turvallisuusselvityksistä annettuun lakiin (177/2002).</w:t>
      </w:r>
      <w:r>
        <w:rPr>
          <w:sz w:val="22"/>
          <w:szCs w:val="22"/>
        </w:rPr>
        <w:t xml:space="preserve"> </w:t>
      </w:r>
    </w:p>
    <w:p w14:paraId="5DAAFF88" w14:textId="77777777" w:rsidR="00433269" w:rsidRDefault="00433269" w:rsidP="001E20BD">
      <w:pPr>
        <w:ind w:left="1298"/>
        <w:rPr>
          <w:sz w:val="22"/>
          <w:szCs w:val="22"/>
        </w:rPr>
      </w:pPr>
    </w:p>
    <w:p w14:paraId="0419EAB0" w14:textId="11E1D759" w:rsidR="0022547B" w:rsidRDefault="00433269" w:rsidP="0022547B">
      <w:pPr>
        <w:ind w:left="1298"/>
        <w:rPr>
          <w:sz w:val="22"/>
          <w:szCs w:val="22"/>
        </w:rPr>
      </w:pPr>
      <w:r>
        <w:rPr>
          <w:sz w:val="22"/>
          <w:szCs w:val="22"/>
        </w:rPr>
        <w:t>Turvallisuusselvityslaki ja selvitysten laatiminen liitty</w:t>
      </w:r>
      <w:r w:rsidR="00A424A4">
        <w:rPr>
          <w:sz w:val="22"/>
          <w:szCs w:val="22"/>
        </w:rPr>
        <w:t>vät</w:t>
      </w:r>
      <w:r>
        <w:rPr>
          <w:sz w:val="22"/>
          <w:szCs w:val="22"/>
        </w:rPr>
        <w:t xml:space="preserve"> keskeisesti asiakirjojen luokitteluun. Syksyllä 2010 voimaantullut tietoturvallisuudesta valtionhallinnossa annettu valtioneuvoston asetus (</w:t>
      </w:r>
      <w:hyperlink r:id="rId9" w:history="1">
        <w:r w:rsidR="003E4C66" w:rsidRPr="00061B5D">
          <w:rPr>
            <w:rStyle w:val="Hyperlinkki"/>
            <w:sz w:val="22"/>
            <w:szCs w:val="22"/>
          </w:rPr>
          <w:t>681/2010</w:t>
        </w:r>
      </w:hyperlink>
      <w:r w:rsidR="00AB599B">
        <w:rPr>
          <w:sz w:val="22"/>
          <w:szCs w:val="22"/>
        </w:rPr>
        <w:t>, jäljempänä tietoturva-asetus</w:t>
      </w:r>
      <w:r w:rsidR="003E4C66">
        <w:rPr>
          <w:sz w:val="22"/>
          <w:szCs w:val="22"/>
        </w:rPr>
        <w:t xml:space="preserve">) edellyttää, että </w:t>
      </w:r>
      <w:r w:rsidR="0022547B" w:rsidRPr="0022547B">
        <w:rPr>
          <w:sz w:val="22"/>
          <w:szCs w:val="22"/>
        </w:rPr>
        <w:t>viranomaisten toiminna</w:t>
      </w:r>
      <w:r w:rsidR="0022547B">
        <w:rPr>
          <w:sz w:val="22"/>
          <w:szCs w:val="22"/>
        </w:rPr>
        <w:t>n julkisuudesta annetun lain</w:t>
      </w:r>
      <w:r w:rsidR="0022547B" w:rsidRPr="0022547B">
        <w:rPr>
          <w:sz w:val="22"/>
          <w:szCs w:val="22"/>
        </w:rPr>
        <w:t xml:space="preserve"> (621/1999</w:t>
      </w:r>
      <w:r w:rsidR="00A424A4">
        <w:rPr>
          <w:sz w:val="22"/>
          <w:szCs w:val="22"/>
        </w:rPr>
        <w:t>, jäljempänä julkisuuslaki</w:t>
      </w:r>
      <w:r w:rsidR="0022547B" w:rsidRPr="0022547B">
        <w:rPr>
          <w:sz w:val="22"/>
          <w:szCs w:val="22"/>
        </w:rPr>
        <w:t xml:space="preserve">) </w:t>
      </w:r>
      <w:r w:rsidR="0022547B">
        <w:rPr>
          <w:sz w:val="22"/>
          <w:szCs w:val="22"/>
        </w:rPr>
        <w:t xml:space="preserve">perusteella </w:t>
      </w:r>
      <w:r w:rsidR="003E4C66">
        <w:rPr>
          <w:sz w:val="22"/>
          <w:szCs w:val="22"/>
        </w:rPr>
        <w:t xml:space="preserve">salassa pidettävät asiakirjat luokitellaan niiden käsittelyn edellyttämän tietoturvallisuuden tason mukaisesti. </w:t>
      </w:r>
      <w:r w:rsidR="00E87D3E">
        <w:rPr>
          <w:sz w:val="22"/>
          <w:szCs w:val="22"/>
        </w:rPr>
        <w:t>Tietoturva-a</w:t>
      </w:r>
      <w:r w:rsidR="0022547B">
        <w:rPr>
          <w:sz w:val="22"/>
          <w:szCs w:val="22"/>
        </w:rPr>
        <w:t xml:space="preserve">setuksessa säädetään </w:t>
      </w:r>
      <w:r w:rsidR="0022547B" w:rsidRPr="0022547B">
        <w:rPr>
          <w:sz w:val="22"/>
          <w:szCs w:val="22"/>
        </w:rPr>
        <w:t>valtionhallinnon viranomaisten asiakirjojen luokittelun perusteista ja asiakirjojen käsittelyssä noudatettavista tietoturvallisuusvaatimuksista</w:t>
      </w:r>
      <w:r w:rsidR="0022547B">
        <w:rPr>
          <w:sz w:val="22"/>
          <w:szCs w:val="22"/>
        </w:rPr>
        <w:t>. Asetuksen mukaan viranomai</w:t>
      </w:r>
      <w:r w:rsidR="00A424A4">
        <w:rPr>
          <w:sz w:val="22"/>
          <w:szCs w:val="22"/>
        </w:rPr>
        <w:t>sen tulee</w:t>
      </w:r>
      <w:r w:rsidR="0022547B">
        <w:rPr>
          <w:sz w:val="22"/>
          <w:szCs w:val="22"/>
        </w:rPr>
        <w:t xml:space="preserve"> kolmen vuoden kuluessa asetuksen voimaantulosta huoleh</w:t>
      </w:r>
      <w:r w:rsidR="00A424A4">
        <w:rPr>
          <w:sz w:val="22"/>
          <w:szCs w:val="22"/>
        </w:rPr>
        <w:t>tia</w:t>
      </w:r>
      <w:r w:rsidR="0022547B">
        <w:rPr>
          <w:sz w:val="22"/>
          <w:szCs w:val="22"/>
        </w:rPr>
        <w:t xml:space="preserve"> tietoturvallisuuden perustasosta ja sitä varten kartoittaa </w:t>
      </w:r>
      <w:r w:rsidR="0022547B" w:rsidRPr="0022547B">
        <w:rPr>
          <w:sz w:val="22"/>
          <w:szCs w:val="22"/>
        </w:rPr>
        <w:t>viranomaisen toimintaan liittyvät tietoturvallisuusris</w:t>
      </w:r>
      <w:r w:rsidR="00A424A4">
        <w:rPr>
          <w:sz w:val="22"/>
          <w:szCs w:val="22"/>
        </w:rPr>
        <w:t>kit. Tämän lisäksi tulee</w:t>
      </w:r>
      <w:r w:rsidR="0022547B">
        <w:rPr>
          <w:sz w:val="22"/>
          <w:szCs w:val="22"/>
        </w:rPr>
        <w:t xml:space="preserve"> huolehtia siitä, että </w:t>
      </w:r>
      <w:r w:rsidR="0022547B" w:rsidRPr="0022547B">
        <w:rPr>
          <w:sz w:val="22"/>
          <w:szCs w:val="22"/>
        </w:rPr>
        <w:t>viranomaisen käytössä on riittävä asiantuntemus tietoturvallisuuden varmistamiseksi</w:t>
      </w:r>
      <w:r w:rsidR="0022547B">
        <w:rPr>
          <w:sz w:val="22"/>
          <w:szCs w:val="22"/>
        </w:rPr>
        <w:t>. Niin ikään on tullut määritellä t</w:t>
      </w:r>
      <w:r w:rsidR="0022547B" w:rsidRPr="0022547B">
        <w:rPr>
          <w:sz w:val="22"/>
          <w:szCs w:val="22"/>
        </w:rPr>
        <w:t>ietoturvallisuuden hoitamista</w:t>
      </w:r>
      <w:r w:rsidR="0022547B">
        <w:rPr>
          <w:sz w:val="22"/>
          <w:szCs w:val="22"/>
        </w:rPr>
        <w:t xml:space="preserve"> sekä asiakirjojen käsittelyä</w:t>
      </w:r>
      <w:r w:rsidR="0022547B" w:rsidRPr="0022547B">
        <w:rPr>
          <w:sz w:val="22"/>
          <w:szCs w:val="22"/>
        </w:rPr>
        <w:t xml:space="preserve"> koskevat tehtävät ja vas</w:t>
      </w:r>
      <w:r w:rsidR="0022547B">
        <w:rPr>
          <w:sz w:val="22"/>
          <w:szCs w:val="22"/>
        </w:rPr>
        <w:t xml:space="preserve">tuu. </w:t>
      </w:r>
    </w:p>
    <w:p w14:paraId="714D1316" w14:textId="77777777" w:rsidR="0022547B" w:rsidRDefault="0022547B" w:rsidP="0022547B">
      <w:pPr>
        <w:ind w:left="1298"/>
        <w:rPr>
          <w:sz w:val="22"/>
          <w:szCs w:val="22"/>
        </w:rPr>
      </w:pPr>
    </w:p>
    <w:p w14:paraId="34E23931" w14:textId="37FED280" w:rsidR="00061B5D" w:rsidRDefault="0022547B" w:rsidP="0022547B">
      <w:pPr>
        <w:ind w:left="1298"/>
        <w:rPr>
          <w:sz w:val="22"/>
          <w:szCs w:val="22"/>
        </w:rPr>
      </w:pPr>
      <w:r>
        <w:rPr>
          <w:sz w:val="22"/>
          <w:szCs w:val="22"/>
        </w:rPr>
        <w:t>Edelleen viranomaisen tulee luokitella s</w:t>
      </w:r>
      <w:r w:rsidRPr="0022547B">
        <w:rPr>
          <w:sz w:val="22"/>
          <w:szCs w:val="22"/>
        </w:rPr>
        <w:t>alassa pidettävät asiakirjat tai niihin sisältyvät tiedot sen mukaan,</w:t>
      </w:r>
      <w:r w:rsidR="00061B5D">
        <w:rPr>
          <w:sz w:val="22"/>
          <w:szCs w:val="22"/>
        </w:rPr>
        <w:t xml:space="preserve"> minkälaista tietoturvallisuutta </w:t>
      </w:r>
      <w:r w:rsidRPr="0022547B">
        <w:rPr>
          <w:sz w:val="22"/>
          <w:szCs w:val="22"/>
        </w:rPr>
        <w:t>niiden käsittelyssä on tarpeen noudattaa.</w:t>
      </w:r>
      <w:r w:rsidR="00E87D3E">
        <w:rPr>
          <w:sz w:val="22"/>
          <w:szCs w:val="22"/>
        </w:rPr>
        <w:t xml:space="preserve"> Tietoturva-</w:t>
      </w:r>
      <w:r w:rsidR="00E87D3E">
        <w:rPr>
          <w:sz w:val="22"/>
          <w:szCs w:val="22"/>
        </w:rPr>
        <w:lastRenderedPageBreak/>
        <w:t>a</w:t>
      </w:r>
      <w:r>
        <w:rPr>
          <w:sz w:val="22"/>
          <w:szCs w:val="22"/>
        </w:rPr>
        <w:t xml:space="preserve">setuksen mukaan asiakirjat voidaan luokitella neljälle eri suojaustasolle. Korkeimmalla suojaustasolla I on asiakirjat, joihin </w:t>
      </w:r>
      <w:r w:rsidRPr="0022547B">
        <w:rPr>
          <w:sz w:val="22"/>
          <w:szCs w:val="22"/>
        </w:rPr>
        <w:t xml:space="preserve">sisältyvän salassa pidettävän tiedon oikeudeton paljastuminen tai oikeudeton käyttö voi aiheuttaa </w:t>
      </w:r>
      <w:r w:rsidRPr="0022547B">
        <w:rPr>
          <w:b/>
          <w:sz w:val="22"/>
          <w:szCs w:val="22"/>
        </w:rPr>
        <w:t>erityisen suurta vahinkoa</w:t>
      </w:r>
      <w:r w:rsidRPr="0022547B">
        <w:rPr>
          <w:sz w:val="22"/>
          <w:szCs w:val="22"/>
        </w:rPr>
        <w:t xml:space="preserve"> salassapitosäännöksessä</w:t>
      </w:r>
      <w:r>
        <w:rPr>
          <w:sz w:val="22"/>
          <w:szCs w:val="22"/>
        </w:rPr>
        <w:t xml:space="preserve"> tarkoitetulle </w:t>
      </w:r>
      <w:r w:rsidRPr="00A424A4">
        <w:rPr>
          <w:b/>
          <w:sz w:val="22"/>
          <w:szCs w:val="22"/>
        </w:rPr>
        <w:t>yleiselle edulle</w:t>
      </w:r>
      <w:r>
        <w:rPr>
          <w:sz w:val="22"/>
          <w:szCs w:val="22"/>
        </w:rPr>
        <w:t xml:space="preserve">. </w:t>
      </w:r>
      <w:r w:rsidR="00061B5D">
        <w:rPr>
          <w:sz w:val="22"/>
          <w:szCs w:val="22"/>
        </w:rPr>
        <w:t>A</w:t>
      </w:r>
      <w:r w:rsidR="00061B5D" w:rsidRPr="00061B5D">
        <w:rPr>
          <w:sz w:val="22"/>
          <w:szCs w:val="22"/>
        </w:rPr>
        <w:t xml:space="preserve">siakirja kuuluu suojaustasolle II, jos asiakirjaan sisältyvän salassa pidettävän tiedon oikeudeton paljastuminen tai oikeudeton käyttö voi aiheuttaa </w:t>
      </w:r>
      <w:r w:rsidR="00061B5D" w:rsidRPr="00061B5D">
        <w:rPr>
          <w:b/>
          <w:sz w:val="22"/>
          <w:szCs w:val="22"/>
        </w:rPr>
        <w:t>merkittävää vahinkoa</w:t>
      </w:r>
      <w:r w:rsidR="00061B5D" w:rsidRPr="00061B5D">
        <w:rPr>
          <w:sz w:val="22"/>
          <w:szCs w:val="22"/>
        </w:rPr>
        <w:t xml:space="preserve"> salassapitosäännöksessä tarkoitetulle </w:t>
      </w:r>
      <w:r w:rsidR="00061B5D" w:rsidRPr="00061B5D">
        <w:rPr>
          <w:b/>
          <w:sz w:val="22"/>
          <w:szCs w:val="22"/>
        </w:rPr>
        <w:t>yleiselle edulle</w:t>
      </w:r>
      <w:r w:rsidR="00061B5D" w:rsidRPr="00061B5D">
        <w:rPr>
          <w:sz w:val="22"/>
          <w:szCs w:val="22"/>
        </w:rPr>
        <w:t xml:space="preserve">. </w:t>
      </w:r>
      <w:r w:rsidR="00061B5D">
        <w:rPr>
          <w:sz w:val="22"/>
          <w:szCs w:val="22"/>
        </w:rPr>
        <w:t>A</w:t>
      </w:r>
      <w:r w:rsidR="00061B5D" w:rsidRPr="00061B5D">
        <w:rPr>
          <w:sz w:val="22"/>
          <w:szCs w:val="22"/>
        </w:rPr>
        <w:t xml:space="preserve">siakirja on </w:t>
      </w:r>
      <w:r w:rsidR="00061B5D">
        <w:rPr>
          <w:sz w:val="22"/>
          <w:szCs w:val="22"/>
        </w:rPr>
        <w:t xml:space="preserve">puolestaan </w:t>
      </w:r>
      <w:r w:rsidR="00061B5D" w:rsidRPr="00061B5D">
        <w:rPr>
          <w:sz w:val="22"/>
          <w:szCs w:val="22"/>
        </w:rPr>
        <w:t>suojaustasoa III, jos</w:t>
      </w:r>
      <w:r w:rsidR="00061B5D">
        <w:rPr>
          <w:sz w:val="22"/>
          <w:szCs w:val="22"/>
        </w:rPr>
        <w:t xml:space="preserve"> siinä olevan</w:t>
      </w:r>
      <w:r w:rsidR="00061B5D" w:rsidRPr="00061B5D">
        <w:rPr>
          <w:sz w:val="22"/>
          <w:szCs w:val="22"/>
        </w:rPr>
        <w:t xml:space="preserve"> tiedon oikeudeton paljastuminen tai käyttö voi aiheuttaa </w:t>
      </w:r>
      <w:r w:rsidR="00061B5D" w:rsidRPr="00061B5D">
        <w:rPr>
          <w:b/>
          <w:sz w:val="22"/>
          <w:szCs w:val="22"/>
        </w:rPr>
        <w:t>vahinkoa</w:t>
      </w:r>
      <w:r w:rsidR="00061B5D" w:rsidRPr="00061B5D">
        <w:rPr>
          <w:sz w:val="22"/>
          <w:szCs w:val="22"/>
        </w:rPr>
        <w:t xml:space="preserve"> salassapitosäännöksessä tarkoitetulle </w:t>
      </w:r>
      <w:r w:rsidR="00061B5D" w:rsidRPr="00061B5D">
        <w:rPr>
          <w:b/>
          <w:sz w:val="22"/>
          <w:szCs w:val="22"/>
        </w:rPr>
        <w:t>yleiselle tai yksityiselle edulle</w:t>
      </w:r>
      <w:r w:rsidR="00061B5D" w:rsidRPr="00061B5D">
        <w:rPr>
          <w:sz w:val="22"/>
          <w:szCs w:val="22"/>
        </w:rPr>
        <w:t xml:space="preserve">. </w:t>
      </w:r>
      <w:r>
        <w:rPr>
          <w:sz w:val="22"/>
          <w:szCs w:val="22"/>
        </w:rPr>
        <w:t xml:space="preserve">Vastaavasti alimmalle tasolle eli suojaustasolle IV kuuluvan asiakirjan sisältämän tiedon </w:t>
      </w:r>
      <w:r w:rsidRPr="0022547B">
        <w:rPr>
          <w:sz w:val="22"/>
          <w:szCs w:val="22"/>
        </w:rPr>
        <w:t xml:space="preserve">paljastuminen tai oikeudeton käyttö voi aiheuttaa </w:t>
      </w:r>
      <w:r w:rsidRPr="0022547B">
        <w:rPr>
          <w:b/>
          <w:sz w:val="22"/>
          <w:szCs w:val="22"/>
        </w:rPr>
        <w:t>haittaa</w:t>
      </w:r>
      <w:r w:rsidRPr="0022547B">
        <w:rPr>
          <w:sz w:val="22"/>
          <w:szCs w:val="22"/>
        </w:rPr>
        <w:t xml:space="preserve"> salassapitosäännöksessä tarkoitetulle </w:t>
      </w:r>
      <w:r w:rsidRPr="00A424A4">
        <w:rPr>
          <w:b/>
          <w:sz w:val="22"/>
          <w:szCs w:val="22"/>
        </w:rPr>
        <w:t>yleiselle tai yksityiselle edulle</w:t>
      </w:r>
      <w:r w:rsidRPr="0022547B">
        <w:rPr>
          <w:sz w:val="22"/>
          <w:szCs w:val="22"/>
        </w:rPr>
        <w:t>.</w:t>
      </w:r>
      <w:r>
        <w:rPr>
          <w:sz w:val="22"/>
          <w:szCs w:val="22"/>
        </w:rPr>
        <w:t xml:space="preserve"> </w:t>
      </w:r>
    </w:p>
    <w:p w14:paraId="65B8CC90" w14:textId="77777777" w:rsidR="00061B5D" w:rsidRDefault="00061B5D" w:rsidP="0022547B">
      <w:pPr>
        <w:ind w:left="1298"/>
        <w:rPr>
          <w:sz w:val="22"/>
          <w:szCs w:val="22"/>
        </w:rPr>
      </w:pPr>
    </w:p>
    <w:p w14:paraId="7D8CA040" w14:textId="77777777" w:rsidR="0022547B" w:rsidRDefault="00AB599B" w:rsidP="0022547B">
      <w:pPr>
        <w:ind w:left="1298"/>
        <w:rPr>
          <w:sz w:val="22"/>
          <w:szCs w:val="22"/>
        </w:rPr>
      </w:pPr>
      <w:r>
        <w:rPr>
          <w:sz w:val="22"/>
          <w:szCs w:val="22"/>
        </w:rPr>
        <w:t xml:space="preserve">Luokiteltuja </w:t>
      </w:r>
      <w:r w:rsidRPr="00AB599B">
        <w:rPr>
          <w:sz w:val="22"/>
          <w:szCs w:val="22"/>
        </w:rPr>
        <w:t>asiakirjoja tulee k</w:t>
      </w:r>
      <w:r>
        <w:rPr>
          <w:sz w:val="22"/>
          <w:szCs w:val="22"/>
        </w:rPr>
        <w:t>ä</w:t>
      </w:r>
      <w:r w:rsidRPr="00AB599B">
        <w:rPr>
          <w:sz w:val="22"/>
          <w:szCs w:val="22"/>
        </w:rPr>
        <w:t>si</w:t>
      </w:r>
      <w:r>
        <w:rPr>
          <w:sz w:val="22"/>
          <w:szCs w:val="22"/>
        </w:rPr>
        <w:t xml:space="preserve">tellä </w:t>
      </w:r>
      <w:r w:rsidRPr="00AB599B">
        <w:rPr>
          <w:sz w:val="22"/>
          <w:szCs w:val="22"/>
        </w:rPr>
        <w:t xml:space="preserve">tietoturva-asetuksen 4 luvun mukaisesti. </w:t>
      </w:r>
      <w:r w:rsidR="00A424A4">
        <w:rPr>
          <w:sz w:val="22"/>
          <w:szCs w:val="22"/>
        </w:rPr>
        <w:t xml:space="preserve">Tämä edellyttää muun muassa käyttöoikeuksien rajoittamista sekä sitä, että luokiteltujen asiakirjojen säilytystilat on asianmukaisesti järjestetty. </w:t>
      </w:r>
    </w:p>
    <w:p w14:paraId="16ECC5B1" w14:textId="77777777" w:rsidR="00A424A4" w:rsidRDefault="00A424A4" w:rsidP="0022547B">
      <w:pPr>
        <w:ind w:left="1298"/>
        <w:rPr>
          <w:sz w:val="22"/>
          <w:szCs w:val="22"/>
        </w:rPr>
      </w:pPr>
    </w:p>
    <w:p w14:paraId="1468D652" w14:textId="44D31462" w:rsidR="00AB599B" w:rsidRDefault="00AB599B" w:rsidP="00AB599B">
      <w:pPr>
        <w:ind w:left="1298"/>
        <w:rPr>
          <w:sz w:val="22"/>
          <w:szCs w:val="22"/>
        </w:rPr>
      </w:pPr>
      <w:r>
        <w:rPr>
          <w:sz w:val="22"/>
          <w:szCs w:val="22"/>
        </w:rPr>
        <w:t>Oikeusministeri</w:t>
      </w:r>
      <w:r w:rsidR="0047171A">
        <w:rPr>
          <w:sz w:val="22"/>
          <w:szCs w:val="22"/>
        </w:rPr>
        <w:t>ö on 31.12</w:t>
      </w:r>
      <w:r>
        <w:rPr>
          <w:sz w:val="22"/>
          <w:szCs w:val="22"/>
        </w:rPr>
        <w:t>.201</w:t>
      </w:r>
      <w:r w:rsidR="0047171A">
        <w:rPr>
          <w:sz w:val="22"/>
          <w:szCs w:val="22"/>
        </w:rPr>
        <w:t>6</w:t>
      </w:r>
      <w:r>
        <w:rPr>
          <w:sz w:val="22"/>
          <w:szCs w:val="22"/>
        </w:rPr>
        <w:t xml:space="preserve"> tehnyt päätöksen, jonka perusteella oikeusministeriö ja </w:t>
      </w:r>
      <w:r w:rsidR="003E4C66">
        <w:rPr>
          <w:sz w:val="22"/>
          <w:szCs w:val="22"/>
        </w:rPr>
        <w:t xml:space="preserve">sen hallinnonala </w:t>
      </w:r>
      <w:r>
        <w:rPr>
          <w:sz w:val="22"/>
          <w:szCs w:val="22"/>
        </w:rPr>
        <w:t xml:space="preserve">siirtyy </w:t>
      </w:r>
      <w:r w:rsidR="00E87D3E">
        <w:rPr>
          <w:sz w:val="22"/>
          <w:szCs w:val="22"/>
        </w:rPr>
        <w:t>tietoturva-</w:t>
      </w:r>
      <w:r w:rsidR="003E4C66">
        <w:rPr>
          <w:sz w:val="22"/>
          <w:szCs w:val="22"/>
        </w:rPr>
        <w:t xml:space="preserve">asetuksen edellyttämän suojaustasoluokituksen käyttöön. </w:t>
      </w:r>
      <w:r w:rsidR="0047171A">
        <w:rPr>
          <w:sz w:val="22"/>
          <w:szCs w:val="22"/>
        </w:rPr>
        <w:t xml:space="preserve">Päätöksen </w:t>
      </w:r>
      <w:r w:rsidR="0047171A" w:rsidRPr="0047171A">
        <w:rPr>
          <w:sz w:val="22"/>
          <w:szCs w:val="22"/>
        </w:rPr>
        <w:t xml:space="preserve">tavoitteena on </w:t>
      </w:r>
      <w:r w:rsidR="0047171A">
        <w:rPr>
          <w:sz w:val="22"/>
          <w:szCs w:val="22"/>
        </w:rPr>
        <w:t xml:space="preserve">tietoturva-asetuksen mukaisesti </w:t>
      </w:r>
      <w:r w:rsidR="0047171A" w:rsidRPr="0047171A">
        <w:rPr>
          <w:sz w:val="22"/>
          <w:szCs w:val="22"/>
        </w:rPr>
        <w:t>yhten</w:t>
      </w:r>
      <w:r w:rsidR="0047171A">
        <w:rPr>
          <w:sz w:val="22"/>
          <w:szCs w:val="22"/>
        </w:rPr>
        <w:t xml:space="preserve">äistää </w:t>
      </w:r>
      <w:r w:rsidR="0047171A" w:rsidRPr="0047171A">
        <w:rPr>
          <w:sz w:val="22"/>
          <w:szCs w:val="22"/>
        </w:rPr>
        <w:t>menettelyj</w:t>
      </w:r>
      <w:r w:rsidR="0047171A">
        <w:rPr>
          <w:sz w:val="22"/>
          <w:szCs w:val="22"/>
        </w:rPr>
        <w:t>ä salassa pidettä</w:t>
      </w:r>
      <w:r w:rsidR="0047171A" w:rsidRPr="0047171A">
        <w:rPr>
          <w:sz w:val="22"/>
          <w:szCs w:val="22"/>
        </w:rPr>
        <w:t>vien tietoaineistojen luokittelussa ja k</w:t>
      </w:r>
      <w:r w:rsidR="0047171A">
        <w:rPr>
          <w:sz w:val="22"/>
          <w:szCs w:val="22"/>
        </w:rPr>
        <w:t>äsittelyssä</w:t>
      </w:r>
      <w:r w:rsidR="0047171A" w:rsidRPr="0047171A">
        <w:rPr>
          <w:sz w:val="22"/>
          <w:szCs w:val="22"/>
        </w:rPr>
        <w:t>.</w:t>
      </w:r>
      <w:r w:rsidR="0047171A">
        <w:rPr>
          <w:sz w:val="22"/>
          <w:szCs w:val="22"/>
        </w:rPr>
        <w:t xml:space="preserve"> Yhtenä</w:t>
      </w:r>
      <w:r w:rsidR="0047171A" w:rsidRPr="0047171A">
        <w:rPr>
          <w:sz w:val="22"/>
          <w:szCs w:val="22"/>
        </w:rPr>
        <w:t>isill</w:t>
      </w:r>
      <w:r w:rsidR="0047171A">
        <w:rPr>
          <w:sz w:val="22"/>
          <w:szCs w:val="22"/>
        </w:rPr>
        <w:t>ä</w:t>
      </w:r>
      <w:r w:rsidR="0047171A" w:rsidRPr="0047171A">
        <w:rPr>
          <w:sz w:val="22"/>
          <w:szCs w:val="22"/>
        </w:rPr>
        <w:t xml:space="preserve"> menettelyill</w:t>
      </w:r>
      <w:r w:rsidR="0047171A">
        <w:rPr>
          <w:sz w:val="22"/>
          <w:szCs w:val="22"/>
        </w:rPr>
        <w:t>ä</w:t>
      </w:r>
      <w:r w:rsidR="0047171A" w:rsidRPr="0047171A">
        <w:rPr>
          <w:sz w:val="22"/>
          <w:szCs w:val="22"/>
        </w:rPr>
        <w:t xml:space="preserve"> luodaan edellytykset tietoaineistojen turvalliseen</w:t>
      </w:r>
      <w:r w:rsidR="0047171A">
        <w:rPr>
          <w:sz w:val="22"/>
          <w:szCs w:val="22"/>
        </w:rPr>
        <w:t xml:space="preserve"> </w:t>
      </w:r>
      <w:r w:rsidR="0047171A" w:rsidRPr="0047171A">
        <w:rPr>
          <w:sz w:val="22"/>
          <w:szCs w:val="22"/>
        </w:rPr>
        <w:t>k</w:t>
      </w:r>
      <w:r w:rsidR="0047171A">
        <w:rPr>
          <w:sz w:val="22"/>
          <w:szCs w:val="22"/>
        </w:rPr>
        <w:t>ä</w:t>
      </w:r>
      <w:r w:rsidR="0047171A" w:rsidRPr="0047171A">
        <w:rPr>
          <w:sz w:val="22"/>
          <w:szCs w:val="22"/>
        </w:rPr>
        <w:t>sittelyyn viranomaisten ja n</w:t>
      </w:r>
      <w:r w:rsidR="0047171A">
        <w:rPr>
          <w:sz w:val="22"/>
          <w:szCs w:val="22"/>
        </w:rPr>
        <w:t>ä</w:t>
      </w:r>
      <w:r w:rsidR="0047171A" w:rsidRPr="0047171A">
        <w:rPr>
          <w:sz w:val="22"/>
          <w:szCs w:val="22"/>
        </w:rPr>
        <w:t>iden lukuun toimivien palvelutoimittajien ja viranomaistietoa</w:t>
      </w:r>
      <w:r w:rsidR="0047171A">
        <w:rPr>
          <w:sz w:val="22"/>
          <w:szCs w:val="22"/>
        </w:rPr>
        <w:t xml:space="preserve"> </w:t>
      </w:r>
      <w:r w:rsidR="0047171A" w:rsidRPr="0047171A">
        <w:rPr>
          <w:sz w:val="22"/>
          <w:szCs w:val="22"/>
        </w:rPr>
        <w:t>k</w:t>
      </w:r>
      <w:r w:rsidR="0047171A">
        <w:rPr>
          <w:sz w:val="22"/>
          <w:szCs w:val="22"/>
        </w:rPr>
        <w:t>ä</w:t>
      </w:r>
      <w:r w:rsidR="0047171A" w:rsidRPr="0047171A">
        <w:rPr>
          <w:sz w:val="22"/>
          <w:szCs w:val="22"/>
        </w:rPr>
        <w:t>sittelevien osapuolten kanssa.</w:t>
      </w:r>
      <w:r w:rsidR="0047171A">
        <w:rPr>
          <w:sz w:val="22"/>
          <w:szCs w:val="22"/>
        </w:rPr>
        <w:t xml:space="preserve"> </w:t>
      </w:r>
      <w:r w:rsidR="001C54B8">
        <w:rPr>
          <w:sz w:val="22"/>
          <w:szCs w:val="22"/>
        </w:rPr>
        <w:t>Päätöksen perusteella a</w:t>
      </w:r>
      <w:r w:rsidRPr="00AB599B">
        <w:rPr>
          <w:sz w:val="22"/>
          <w:szCs w:val="22"/>
        </w:rPr>
        <w:t>siakirjojen luokit</w:t>
      </w:r>
      <w:r>
        <w:rPr>
          <w:sz w:val="22"/>
          <w:szCs w:val="22"/>
        </w:rPr>
        <w:t xml:space="preserve">telu sekä asiakirjojen </w:t>
      </w:r>
      <w:r w:rsidRPr="00AB599B">
        <w:rPr>
          <w:sz w:val="22"/>
          <w:szCs w:val="22"/>
        </w:rPr>
        <w:t>k</w:t>
      </w:r>
      <w:r>
        <w:rPr>
          <w:sz w:val="22"/>
          <w:szCs w:val="22"/>
        </w:rPr>
        <w:t xml:space="preserve">äsittelyä </w:t>
      </w:r>
      <w:r w:rsidRPr="00AB599B">
        <w:rPr>
          <w:sz w:val="22"/>
          <w:szCs w:val="22"/>
        </w:rPr>
        <w:t>koskevat vaatimukset tulee ottaa oikeusm</w:t>
      </w:r>
      <w:r>
        <w:rPr>
          <w:sz w:val="22"/>
          <w:szCs w:val="22"/>
        </w:rPr>
        <w:t xml:space="preserve">inisteriössä </w:t>
      </w:r>
      <w:r w:rsidRPr="00AB599B">
        <w:rPr>
          <w:sz w:val="22"/>
          <w:szCs w:val="22"/>
        </w:rPr>
        <w:t>ja</w:t>
      </w:r>
      <w:r>
        <w:rPr>
          <w:sz w:val="22"/>
          <w:szCs w:val="22"/>
        </w:rPr>
        <w:t xml:space="preserve"> sen hallinnonalalla käyttöön viiden vuoden siirtymäajan kuluessa eli </w:t>
      </w:r>
      <w:r w:rsidR="0047171A">
        <w:rPr>
          <w:sz w:val="22"/>
          <w:szCs w:val="22"/>
        </w:rPr>
        <w:t xml:space="preserve">vuoden </w:t>
      </w:r>
      <w:r>
        <w:rPr>
          <w:sz w:val="22"/>
          <w:szCs w:val="22"/>
        </w:rPr>
        <w:t>202</w:t>
      </w:r>
      <w:r w:rsidR="0047171A">
        <w:rPr>
          <w:sz w:val="22"/>
          <w:szCs w:val="22"/>
        </w:rPr>
        <w:t>1 loppuun</w:t>
      </w:r>
      <w:r>
        <w:rPr>
          <w:sz w:val="22"/>
          <w:szCs w:val="22"/>
        </w:rPr>
        <w:t xml:space="preserve"> mennessä. </w:t>
      </w:r>
      <w:r w:rsidR="0047171A">
        <w:rPr>
          <w:sz w:val="22"/>
          <w:szCs w:val="22"/>
        </w:rPr>
        <w:t>Oikeusministeriö on 6.2.2017 asettanut hankkeen (OM 3/016/2017) luokittelupäätöksen jalkauttamiseksi. Hankkeen tavoitteena on tukea ministeriötä ja sen hallinnonalaa tietoturva-asetuksen velvoitteiden täyttämisessä. Tarkoituksena on, että asetuksen 3 luvun mukai</w:t>
      </w:r>
      <w:r w:rsidR="001C54B8">
        <w:rPr>
          <w:sz w:val="22"/>
          <w:szCs w:val="22"/>
        </w:rPr>
        <w:t>nen</w:t>
      </w:r>
      <w:r w:rsidR="0047171A">
        <w:rPr>
          <w:sz w:val="22"/>
          <w:szCs w:val="22"/>
        </w:rPr>
        <w:t xml:space="preserve"> salassa pidettävien asiakirjojen luokittelu ja 4 luvun mukaiset käsittelyvaatimukset ovat käytössä vuoden 201</w:t>
      </w:r>
      <w:r w:rsidR="00061B5D">
        <w:rPr>
          <w:sz w:val="22"/>
          <w:szCs w:val="22"/>
        </w:rPr>
        <w:t xml:space="preserve">8 loppuun mennessä. Hankkeen tehtävänä on luoda </w:t>
      </w:r>
      <w:r w:rsidR="0047171A">
        <w:rPr>
          <w:sz w:val="22"/>
          <w:szCs w:val="22"/>
        </w:rPr>
        <w:t xml:space="preserve">vaadittavat ohjeistukset luokittelun laatimiseksi </w:t>
      </w:r>
      <w:r w:rsidR="00061B5D">
        <w:rPr>
          <w:sz w:val="22"/>
          <w:szCs w:val="22"/>
        </w:rPr>
        <w:t>ja toteuttaa</w:t>
      </w:r>
      <w:r w:rsidR="0047171A">
        <w:rPr>
          <w:sz w:val="22"/>
          <w:szCs w:val="22"/>
        </w:rPr>
        <w:t xml:space="preserve"> henkilöstön koulutus luokiteltujen asiakirjojen käsittelyyn. </w:t>
      </w:r>
    </w:p>
    <w:p w14:paraId="14F2B20D" w14:textId="77777777" w:rsidR="0047171A" w:rsidRDefault="0047171A" w:rsidP="00AB599B">
      <w:pPr>
        <w:ind w:left="1298"/>
        <w:rPr>
          <w:sz w:val="22"/>
          <w:szCs w:val="22"/>
        </w:rPr>
      </w:pPr>
    </w:p>
    <w:p w14:paraId="3DA56148" w14:textId="7EB9A911" w:rsidR="003E4C66" w:rsidRDefault="00AB599B" w:rsidP="003E4C66">
      <w:pPr>
        <w:ind w:left="1298"/>
        <w:rPr>
          <w:sz w:val="22"/>
          <w:szCs w:val="22"/>
        </w:rPr>
      </w:pPr>
      <w:r>
        <w:rPr>
          <w:sz w:val="22"/>
          <w:szCs w:val="22"/>
        </w:rPr>
        <w:t>Myös t</w:t>
      </w:r>
      <w:r w:rsidR="003E4C66">
        <w:rPr>
          <w:sz w:val="22"/>
          <w:szCs w:val="22"/>
        </w:rPr>
        <w:t>urvallisuusselvi</w:t>
      </w:r>
      <w:r>
        <w:rPr>
          <w:sz w:val="22"/>
          <w:szCs w:val="22"/>
        </w:rPr>
        <w:t xml:space="preserve">tyslaki nojaa </w:t>
      </w:r>
      <w:r w:rsidR="003E4C66">
        <w:rPr>
          <w:sz w:val="22"/>
          <w:szCs w:val="22"/>
        </w:rPr>
        <w:t xml:space="preserve">kyseiseen suojaustasoluokitukseen. Esimerkiksi henkilöturvallisuusselvityksen laatimisen yhtenä edellytyksenä on henkilön pääsy tietyn suojaustasoon luokiteltuihin asiakirjoihin. </w:t>
      </w:r>
      <w:r w:rsidR="004E1D31">
        <w:rPr>
          <w:sz w:val="22"/>
          <w:szCs w:val="22"/>
        </w:rPr>
        <w:t xml:space="preserve">Toisaalta turvallisuusselvitys voidaan tehdä myös muilla kuin asiakirjojen suojausluokitukseen perustuvilla edellytyksillä. </w:t>
      </w:r>
    </w:p>
    <w:p w14:paraId="2B594F47" w14:textId="77777777" w:rsidR="006F7109" w:rsidRDefault="006F7109" w:rsidP="003E4C66">
      <w:pPr>
        <w:ind w:left="1298"/>
        <w:rPr>
          <w:sz w:val="22"/>
          <w:szCs w:val="22"/>
        </w:rPr>
      </w:pPr>
    </w:p>
    <w:p w14:paraId="272BC009" w14:textId="5633531B" w:rsidR="00B63A59" w:rsidRDefault="006F7109" w:rsidP="006F7109">
      <w:pPr>
        <w:ind w:left="1298"/>
        <w:rPr>
          <w:sz w:val="22"/>
          <w:szCs w:val="22"/>
        </w:rPr>
      </w:pPr>
      <w:r w:rsidRPr="006F7109">
        <w:rPr>
          <w:sz w:val="22"/>
          <w:szCs w:val="22"/>
        </w:rPr>
        <w:t>Vuoden 2018 alusta on tullut voimaan muutos (HE 7</w:t>
      </w:r>
      <w:r w:rsidR="00F37E14">
        <w:rPr>
          <w:sz w:val="22"/>
          <w:szCs w:val="22"/>
        </w:rPr>
        <w:t>0</w:t>
      </w:r>
      <w:r w:rsidRPr="006F7109">
        <w:rPr>
          <w:sz w:val="22"/>
          <w:szCs w:val="22"/>
        </w:rPr>
        <w:t>/2017 vp, lait 948-952/2017), jonka myötä nimitysharkinnassa on varmistuttava virkaan valittavan henkilön nuhteettomuudesta sekä siitä, ettei hänellä ole sellaisia sidonnaisuuksia, jotka voivat vaarantaa virkaan kuuluvien tehtävien asianmukaisen hoitamisen ja että hänellä on muissakin suhteissa edellytykset hoitaa tehtävänsä riippumattomasti ja muutoinkin luotettavasti. Myös turvallisuusselvityslain sääntelyä ulkomaansidonnaisuuksien selvittämisestä täsmennettiin.</w:t>
      </w:r>
      <w:r>
        <w:rPr>
          <w:sz w:val="22"/>
          <w:szCs w:val="22"/>
        </w:rPr>
        <w:t xml:space="preserve"> </w:t>
      </w:r>
    </w:p>
    <w:p w14:paraId="2972864D" w14:textId="4C651A98" w:rsidR="006F7109" w:rsidRDefault="006F7109" w:rsidP="006F7109">
      <w:pPr>
        <w:ind w:left="1298"/>
        <w:rPr>
          <w:sz w:val="22"/>
          <w:szCs w:val="22"/>
        </w:rPr>
      </w:pPr>
    </w:p>
    <w:p w14:paraId="2F7A2B93" w14:textId="24AB5E34" w:rsidR="00D27F83" w:rsidRPr="006F7109" w:rsidRDefault="006F7109" w:rsidP="006F7109">
      <w:pPr>
        <w:ind w:left="1298"/>
        <w:rPr>
          <w:sz w:val="22"/>
          <w:szCs w:val="22"/>
        </w:rPr>
      </w:pPr>
      <w:r>
        <w:rPr>
          <w:sz w:val="22"/>
          <w:szCs w:val="22"/>
        </w:rPr>
        <w:t>Lisäksi valtiovarainministeriö on tammikuussa 2018 asettanut</w:t>
      </w:r>
      <w:r w:rsidRPr="006F7109">
        <w:rPr>
          <w:sz w:val="22"/>
          <w:szCs w:val="22"/>
        </w:rPr>
        <w:t xml:space="preserve"> tiimi</w:t>
      </w:r>
      <w:r>
        <w:rPr>
          <w:sz w:val="22"/>
          <w:szCs w:val="22"/>
        </w:rPr>
        <w:t>n</w:t>
      </w:r>
      <w:r w:rsidRPr="006F7109">
        <w:rPr>
          <w:sz w:val="22"/>
          <w:szCs w:val="22"/>
        </w:rPr>
        <w:t xml:space="preserve"> valmistelemaan julkisen hallinnon tiedonhallintalakia</w:t>
      </w:r>
      <w:r>
        <w:rPr>
          <w:sz w:val="22"/>
          <w:szCs w:val="22"/>
        </w:rPr>
        <w:t xml:space="preserve"> (</w:t>
      </w:r>
      <w:r w:rsidR="00D27F83">
        <w:rPr>
          <w:sz w:val="22"/>
          <w:szCs w:val="22"/>
        </w:rPr>
        <w:t>VM/2500/00.01.00.01/2017)</w:t>
      </w:r>
      <w:r w:rsidRPr="006F7109">
        <w:rPr>
          <w:sz w:val="22"/>
          <w:szCs w:val="22"/>
        </w:rPr>
        <w:t>. Toteutuessaan</w:t>
      </w:r>
      <w:r>
        <w:rPr>
          <w:sz w:val="22"/>
          <w:szCs w:val="22"/>
        </w:rPr>
        <w:t xml:space="preserve"> uudistuksella </w:t>
      </w:r>
      <w:r w:rsidR="00D27F83">
        <w:rPr>
          <w:sz w:val="22"/>
          <w:szCs w:val="22"/>
        </w:rPr>
        <w:t xml:space="preserve">on </w:t>
      </w:r>
      <w:r>
        <w:rPr>
          <w:sz w:val="22"/>
          <w:szCs w:val="22"/>
        </w:rPr>
        <w:t>huomattavia vaikutuksia nykyiseen lainsäädäntöön</w:t>
      </w:r>
      <w:r w:rsidRPr="006F7109">
        <w:rPr>
          <w:sz w:val="22"/>
          <w:szCs w:val="22"/>
        </w:rPr>
        <w:t>.</w:t>
      </w:r>
    </w:p>
    <w:p w14:paraId="0C91E8B7" w14:textId="77777777" w:rsidR="006240AF" w:rsidRDefault="006240AF" w:rsidP="006240AF">
      <w:pPr>
        <w:pStyle w:val="Otsikko2"/>
      </w:pPr>
      <w:r>
        <w:t>Oikeusministeriön sisäinen ohjeistus</w:t>
      </w:r>
    </w:p>
    <w:p w14:paraId="54997AFD" w14:textId="77777777" w:rsidR="00061B5D" w:rsidRPr="00061B5D" w:rsidRDefault="003E4C66" w:rsidP="00061B5D">
      <w:pPr>
        <w:ind w:left="1298"/>
        <w:rPr>
          <w:sz w:val="22"/>
          <w:szCs w:val="22"/>
        </w:rPr>
      </w:pPr>
      <w:r>
        <w:rPr>
          <w:sz w:val="22"/>
          <w:szCs w:val="22"/>
        </w:rPr>
        <w:t xml:space="preserve">Oikeusministeriö on antanut ohjeistusta turvallisuusselvitysten laatimisesta. Oikeusministeriön ohjeen mukaan </w:t>
      </w:r>
      <w:r w:rsidR="001C54B8">
        <w:rPr>
          <w:sz w:val="22"/>
          <w:szCs w:val="22"/>
        </w:rPr>
        <w:t xml:space="preserve">lähtökohtana </w:t>
      </w:r>
      <w:r w:rsidRPr="003E4C66">
        <w:rPr>
          <w:sz w:val="22"/>
          <w:szCs w:val="22"/>
        </w:rPr>
        <w:t xml:space="preserve">on, että </w:t>
      </w:r>
      <w:r w:rsidRPr="006240AF">
        <w:rPr>
          <w:b/>
          <w:sz w:val="22"/>
          <w:szCs w:val="22"/>
        </w:rPr>
        <w:t>suppea selvitys</w:t>
      </w:r>
      <w:r w:rsidRPr="003E4C66">
        <w:rPr>
          <w:sz w:val="22"/>
          <w:szCs w:val="22"/>
        </w:rPr>
        <w:t xml:space="preserve"> </w:t>
      </w:r>
      <w:r w:rsidR="00061B5D">
        <w:rPr>
          <w:sz w:val="22"/>
          <w:szCs w:val="22"/>
        </w:rPr>
        <w:t xml:space="preserve">tehdään </w:t>
      </w:r>
      <w:r w:rsidR="00061B5D" w:rsidRPr="00061B5D">
        <w:rPr>
          <w:sz w:val="22"/>
          <w:szCs w:val="22"/>
        </w:rPr>
        <w:t>kaikista virkamiehistä ja perusmuotoinen tiettyihin tehtäviin nimitettävistä.</w:t>
      </w:r>
      <w:r w:rsidR="00061B5D">
        <w:rPr>
          <w:sz w:val="22"/>
          <w:szCs w:val="22"/>
        </w:rPr>
        <w:t xml:space="preserve"> Ohjeistuksen mukaan suppea turvallisuusselvitys </w:t>
      </w:r>
      <w:r w:rsidR="00061B5D">
        <w:rPr>
          <w:sz w:val="22"/>
          <w:szCs w:val="22"/>
        </w:rPr>
        <w:lastRenderedPageBreak/>
        <w:t>tulee tehdä k</w:t>
      </w:r>
      <w:r w:rsidR="00061B5D" w:rsidRPr="00061B5D">
        <w:rPr>
          <w:sz w:val="22"/>
          <w:szCs w:val="22"/>
        </w:rPr>
        <w:t xml:space="preserve">aikille rekrytoitaville sekä tehtäviä talon </w:t>
      </w:r>
      <w:r w:rsidR="00061B5D">
        <w:rPr>
          <w:sz w:val="22"/>
          <w:szCs w:val="22"/>
        </w:rPr>
        <w:t xml:space="preserve">sisällä vaihtaville henkilöille. Tämä perustuu siihen, että </w:t>
      </w:r>
      <w:r w:rsidR="00061B5D" w:rsidRPr="00061B5D">
        <w:rPr>
          <w:sz w:val="22"/>
          <w:szCs w:val="22"/>
        </w:rPr>
        <w:t>kaikilla oikeusministeriön vi</w:t>
      </w:r>
      <w:r w:rsidR="000B56F2">
        <w:rPr>
          <w:sz w:val="22"/>
          <w:szCs w:val="22"/>
        </w:rPr>
        <w:t xml:space="preserve">rkamiehillä on oikeus käsitellä </w:t>
      </w:r>
      <w:r w:rsidR="00061B5D" w:rsidRPr="00061B5D">
        <w:rPr>
          <w:sz w:val="22"/>
          <w:szCs w:val="22"/>
        </w:rPr>
        <w:t>salassa pidettäviä asiakirjo</w:t>
      </w:r>
      <w:r w:rsidR="00061B5D">
        <w:rPr>
          <w:sz w:val="22"/>
          <w:szCs w:val="22"/>
        </w:rPr>
        <w:t xml:space="preserve">ja turvallisuusselvityslain 21 §:n 1 momentin 1 kohdan mukaisesti </w:t>
      </w:r>
      <w:r w:rsidR="000B56F2">
        <w:rPr>
          <w:sz w:val="22"/>
          <w:szCs w:val="22"/>
        </w:rPr>
        <w:t>(</w:t>
      </w:r>
      <w:r w:rsidR="00061B5D" w:rsidRPr="00061B5D">
        <w:rPr>
          <w:sz w:val="22"/>
          <w:szCs w:val="22"/>
        </w:rPr>
        <w:t>suojaustasoihin III—IV luoki</w:t>
      </w:r>
      <w:r w:rsidR="000B56F2">
        <w:rPr>
          <w:sz w:val="22"/>
          <w:szCs w:val="22"/>
        </w:rPr>
        <w:t xml:space="preserve">tellut </w:t>
      </w:r>
      <w:r w:rsidR="00061B5D" w:rsidRPr="00061B5D">
        <w:rPr>
          <w:sz w:val="22"/>
          <w:szCs w:val="22"/>
        </w:rPr>
        <w:t>asiakirj</w:t>
      </w:r>
      <w:r w:rsidR="000B56F2">
        <w:rPr>
          <w:sz w:val="22"/>
          <w:szCs w:val="22"/>
        </w:rPr>
        <w:t>at). Poikkeuksena pääsäännöstä ovat k</w:t>
      </w:r>
      <w:r w:rsidR="00061B5D" w:rsidRPr="00061B5D">
        <w:rPr>
          <w:sz w:val="22"/>
          <w:szCs w:val="22"/>
        </w:rPr>
        <w:t>orkeakouluharjoittelijat</w:t>
      </w:r>
      <w:r w:rsidR="000B56F2">
        <w:rPr>
          <w:sz w:val="22"/>
          <w:szCs w:val="22"/>
        </w:rPr>
        <w:t xml:space="preserve">, jos heille ei anneta pääsyä salassa pidettäviin asiakirjoihin. Myös muut alle </w:t>
      </w:r>
      <w:r w:rsidR="00061B5D" w:rsidRPr="00061B5D">
        <w:rPr>
          <w:sz w:val="22"/>
          <w:szCs w:val="22"/>
        </w:rPr>
        <w:t xml:space="preserve">vuoden mittaisiin viransijaisuuksiin </w:t>
      </w:r>
      <w:r w:rsidR="000B56F2">
        <w:rPr>
          <w:sz w:val="22"/>
          <w:szCs w:val="22"/>
        </w:rPr>
        <w:t xml:space="preserve">valittavat selvitetään vain tapauskohtaisen </w:t>
      </w:r>
      <w:r w:rsidR="00061B5D" w:rsidRPr="00061B5D">
        <w:rPr>
          <w:sz w:val="22"/>
          <w:szCs w:val="22"/>
        </w:rPr>
        <w:t xml:space="preserve">riskiarvion perusteella. </w:t>
      </w:r>
    </w:p>
    <w:p w14:paraId="1F1012D4" w14:textId="77777777" w:rsidR="00061B5D" w:rsidRPr="00061B5D" w:rsidRDefault="00061B5D" w:rsidP="00061B5D">
      <w:pPr>
        <w:ind w:left="1298"/>
        <w:rPr>
          <w:sz w:val="22"/>
          <w:szCs w:val="22"/>
        </w:rPr>
      </w:pPr>
    </w:p>
    <w:p w14:paraId="46AF1D77" w14:textId="77777777" w:rsidR="000B56F2" w:rsidRDefault="000B56F2" w:rsidP="00061B5D">
      <w:pPr>
        <w:ind w:left="1298"/>
        <w:rPr>
          <w:sz w:val="22"/>
          <w:szCs w:val="22"/>
        </w:rPr>
      </w:pPr>
      <w:r>
        <w:rPr>
          <w:sz w:val="22"/>
          <w:szCs w:val="22"/>
        </w:rPr>
        <w:t xml:space="preserve">Oikeusministeriön linjauksen mukaan </w:t>
      </w:r>
      <w:r w:rsidRPr="006240AF">
        <w:rPr>
          <w:b/>
          <w:sz w:val="22"/>
          <w:szCs w:val="22"/>
        </w:rPr>
        <w:t>p</w:t>
      </w:r>
      <w:r w:rsidR="00061B5D" w:rsidRPr="006240AF">
        <w:rPr>
          <w:b/>
          <w:sz w:val="22"/>
          <w:szCs w:val="22"/>
        </w:rPr>
        <w:t>erusmu</w:t>
      </w:r>
      <w:r w:rsidRPr="006240AF">
        <w:rPr>
          <w:b/>
          <w:sz w:val="22"/>
          <w:szCs w:val="22"/>
        </w:rPr>
        <w:t>otoisia turvallisuusselvityksiä</w:t>
      </w:r>
      <w:r>
        <w:rPr>
          <w:sz w:val="22"/>
          <w:szCs w:val="22"/>
        </w:rPr>
        <w:t xml:space="preserve"> tehdään vain tiettyihin tehtäviin </w:t>
      </w:r>
      <w:r w:rsidR="00061B5D" w:rsidRPr="00061B5D">
        <w:rPr>
          <w:sz w:val="22"/>
          <w:szCs w:val="22"/>
        </w:rPr>
        <w:t>rekrytoitaville sekä talon sisällä tehtävään siirtyville tai näihin rinnastetta</w:t>
      </w:r>
      <w:r>
        <w:rPr>
          <w:sz w:val="22"/>
          <w:szCs w:val="22"/>
        </w:rPr>
        <w:t>ville. T</w:t>
      </w:r>
      <w:r w:rsidRPr="000B56F2">
        <w:rPr>
          <w:sz w:val="22"/>
          <w:szCs w:val="22"/>
        </w:rPr>
        <w:t>urvallisuuss</w:t>
      </w:r>
      <w:r>
        <w:rPr>
          <w:sz w:val="22"/>
          <w:szCs w:val="22"/>
        </w:rPr>
        <w:t xml:space="preserve">elvityslain 19 §:n 1 (pääsy II-III suojaustason asiakirjoihin) ja </w:t>
      </w:r>
      <w:r w:rsidRPr="000B56F2">
        <w:rPr>
          <w:sz w:val="22"/>
          <w:szCs w:val="22"/>
        </w:rPr>
        <w:t xml:space="preserve">5 kohdan </w:t>
      </w:r>
      <w:r>
        <w:rPr>
          <w:sz w:val="22"/>
          <w:szCs w:val="22"/>
        </w:rPr>
        <w:t xml:space="preserve">(pääsy tietojärjestelmiin pääkäyttäjänä) on katsottu edellyttävän, että ministeriön ylin virkamiesjohto, tiettyihin kansainvälisiin ja EU-tehtäviin valittavat sekä esimerkiksi valmiusasioista, tietojärjestelmistä, sisäisestä tarkastuksesta ja vaaleista huolehtivat henkilöiden taustat on selvitettävä. Niin ikään ministerin sihteeri ja hänen sijaisensa, jotka toimivat valtionjohtoa välittömästi palvelevissa tehtävissä, kuuluvat perusmuotoisen turvallisuusselvityksen piiriin (19 § 1 mom. 3 kohta). </w:t>
      </w:r>
    </w:p>
    <w:p w14:paraId="470A3EE3" w14:textId="7DC6503D" w:rsidR="003E4C66" w:rsidRPr="00D27F83" w:rsidRDefault="001C54B8" w:rsidP="00D27F83">
      <w:pPr>
        <w:ind w:left="1298"/>
        <w:rPr>
          <w:sz w:val="22"/>
          <w:szCs w:val="22"/>
        </w:rPr>
      </w:pPr>
      <w:r>
        <w:rPr>
          <w:sz w:val="22"/>
          <w:szCs w:val="22"/>
        </w:rPr>
        <w:t>L</w:t>
      </w:r>
      <w:r w:rsidR="003E4C66" w:rsidRPr="003E4C66">
        <w:rPr>
          <w:sz w:val="22"/>
          <w:szCs w:val="22"/>
        </w:rPr>
        <w:t xml:space="preserve">injaus </w:t>
      </w:r>
      <w:r w:rsidR="000B56F2">
        <w:rPr>
          <w:sz w:val="22"/>
          <w:szCs w:val="22"/>
        </w:rPr>
        <w:t xml:space="preserve">koskee </w:t>
      </w:r>
      <w:r w:rsidR="003E4C66" w:rsidRPr="003E4C66">
        <w:rPr>
          <w:sz w:val="22"/>
          <w:szCs w:val="22"/>
        </w:rPr>
        <w:t>kuiten</w:t>
      </w:r>
      <w:r w:rsidR="003E4C66">
        <w:rPr>
          <w:sz w:val="22"/>
          <w:szCs w:val="22"/>
        </w:rPr>
        <w:t xml:space="preserve">kin vain oikeusministeriön </w:t>
      </w:r>
      <w:r w:rsidR="003E4C66" w:rsidRPr="003E4C66">
        <w:rPr>
          <w:sz w:val="22"/>
          <w:szCs w:val="22"/>
        </w:rPr>
        <w:t>o</w:t>
      </w:r>
      <w:r w:rsidR="00AC74CF">
        <w:rPr>
          <w:sz w:val="22"/>
          <w:szCs w:val="22"/>
        </w:rPr>
        <w:t xml:space="preserve">maa </w:t>
      </w:r>
      <w:r w:rsidR="00312518">
        <w:rPr>
          <w:sz w:val="22"/>
          <w:szCs w:val="22"/>
        </w:rPr>
        <w:t xml:space="preserve">sekä </w:t>
      </w:r>
      <w:r w:rsidR="00AC74CF" w:rsidRPr="00AC74CF">
        <w:rPr>
          <w:sz w:val="22"/>
          <w:szCs w:val="22"/>
        </w:rPr>
        <w:t>oikeusministeriön tilois</w:t>
      </w:r>
      <w:r w:rsidR="00AC74CF">
        <w:rPr>
          <w:sz w:val="22"/>
          <w:szCs w:val="22"/>
        </w:rPr>
        <w:t>sa työskentelevää muuta henkilöstöä, kuten siivoojia, huoltomiehiä ja vahtimestareita. Hallin</w:t>
      </w:r>
      <w:r w:rsidR="003E4C66" w:rsidRPr="003E4C66">
        <w:rPr>
          <w:sz w:val="22"/>
          <w:szCs w:val="22"/>
        </w:rPr>
        <w:t>nonalan virastot päättä</w:t>
      </w:r>
      <w:r w:rsidR="003E4C66">
        <w:rPr>
          <w:sz w:val="22"/>
          <w:szCs w:val="22"/>
        </w:rPr>
        <w:t xml:space="preserve">vät </w:t>
      </w:r>
      <w:r w:rsidR="003E4C66" w:rsidRPr="003E4C66">
        <w:rPr>
          <w:sz w:val="22"/>
          <w:szCs w:val="22"/>
        </w:rPr>
        <w:t xml:space="preserve">itse, teetetäänkö selvitys. </w:t>
      </w:r>
    </w:p>
    <w:p w14:paraId="6F1B7071" w14:textId="5CE5BBDE" w:rsidR="00F441D9" w:rsidRDefault="0039450C" w:rsidP="0039450C">
      <w:pPr>
        <w:pStyle w:val="Otsikko1"/>
      </w:pPr>
      <w:r>
        <w:t>Nykytila</w:t>
      </w:r>
    </w:p>
    <w:p w14:paraId="74652CCE" w14:textId="3D24D5CD" w:rsidR="00E87D3E" w:rsidRPr="00E87D3E" w:rsidRDefault="00987C7A" w:rsidP="00E87D3E">
      <w:pPr>
        <w:pStyle w:val="Otsikko2"/>
      </w:pPr>
      <w:r>
        <w:t>Yleistä</w:t>
      </w:r>
    </w:p>
    <w:p w14:paraId="0AB58110" w14:textId="77777777" w:rsidR="00E576C9" w:rsidRDefault="005B774E" w:rsidP="00C151B6">
      <w:pPr>
        <w:ind w:left="1298"/>
        <w:rPr>
          <w:sz w:val="22"/>
          <w:szCs w:val="22"/>
        </w:rPr>
      </w:pPr>
      <w:r>
        <w:rPr>
          <w:sz w:val="22"/>
          <w:szCs w:val="22"/>
        </w:rPr>
        <w:t>Vaikka turvallisuusselvityslain tarkoituksena on suojella valtion ja yleistä turvallisuutta, se perustuu avoimuudelle ja selvityksen kohteen yksityisyyden suojan kunnioittamiselle. Näin ollen laissa korostetaan selvityksen kohteen oikeuksia. Lain mukaan turvallisuusselvitys voidaan tehdä vain selvityksen kohteen</w:t>
      </w:r>
      <w:r w:rsidR="003C57AC">
        <w:rPr>
          <w:sz w:val="22"/>
          <w:szCs w:val="22"/>
        </w:rPr>
        <w:t xml:space="preserve"> etukäteen antamalla kirjallisella</w:t>
      </w:r>
      <w:r>
        <w:rPr>
          <w:sz w:val="22"/>
          <w:szCs w:val="22"/>
        </w:rPr>
        <w:t xml:space="preserve"> suostumuksella</w:t>
      </w:r>
      <w:r w:rsidR="003C57AC">
        <w:rPr>
          <w:sz w:val="22"/>
          <w:szCs w:val="22"/>
        </w:rPr>
        <w:t xml:space="preserve"> (turvallisuusselvityslaki 5 §)</w:t>
      </w:r>
      <w:r>
        <w:rPr>
          <w:sz w:val="22"/>
          <w:szCs w:val="22"/>
        </w:rPr>
        <w:t>. Selvityksen tekeminen edellyttää</w:t>
      </w:r>
      <w:r w:rsidR="003C57AC">
        <w:rPr>
          <w:sz w:val="22"/>
          <w:szCs w:val="22"/>
        </w:rPr>
        <w:t xml:space="preserve"> myös</w:t>
      </w:r>
      <w:r>
        <w:rPr>
          <w:sz w:val="22"/>
          <w:szCs w:val="22"/>
        </w:rPr>
        <w:t xml:space="preserve">, että </w:t>
      </w:r>
      <w:r w:rsidR="00E2520C">
        <w:rPr>
          <w:sz w:val="22"/>
          <w:szCs w:val="22"/>
        </w:rPr>
        <w:t xml:space="preserve">selvityksen hakijan on ennakolta ilmoitettava, että täytettävänä olevaan virkaan tai </w:t>
      </w:r>
      <w:r w:rsidR="00312518">
        <w:rPr>
          <w:sz w:val="22"/>
          <w:szCs w:val="22"/>
        </w:rPr>
        <w:t>tehtävään valittavasta voidaan</w:t>
      </w:r>
      <w:r w:rsidR="00E2520C">
        <w:rPr>
          <w:sz w:val="22"/>
          <w:szCs w:val="22"/>
        </w:rPr>
        <w:t xml:space="preserve"> laatia turvallisuusselvitys</w:t>
      </w:r>
      <w:r w:rsidR="003C57AC">
        <w:rPr>
          <w:sz w:val="22"/>
          <w:szCs w:val="22"/>
        </w:rPr>
        <w:t xml:space="preserve"> (4 §)</w:t>
      </w:r>
      <w:r w:rsidR="00E2520C">
        <w:rPr>
          <w:sz w:val="22"/>
          <w:szCs w:val="22"/>
        </w:rPr>
        <w:t>. Näin potentiaaliset hakijat voivat jo ennalta arvioida</w:t>
      </w:r>
      <w:r w:rsidR="003C57AC">
        <w:rPr>
          <w:sz w:val="22"/>
          <w:szCs w:val="22"/>
        </w:rPr>
        <w:t xml:space="preserve"> </w:t>
      </w:r>
      <w:r w:rsidR="00312518">
        <w:rPr>
          <w:sz w:val="22"/>
          <w:szCs w:val="22"/>
        </w:rPr>
        <w:t xml:space="preserve">mahdollisen selvityksen vaikutusta heidän </w:t>
      </w:r>
      <w:r w:rsidR="003C57AC">
        <w:rPr>
          <w:sz w:val="22"/>
          <w:szCs w:val="22"/>
        </w:rPr>
        <w:t>halukkuut</w:t>
      </w:r>
      <w:r w:rsidR="00312518">
        <w:rPr>
          <w:sz w:val="22"/>
          <w:szCs w:val="22"/>
        </w:rPr>
        <w:t>eensa</w:t>
      </w:r>
      <w:r w:rsidR="003C57AC">
        <w:rPr>
          <w:sz w:val="22"/>
          <w:szCs w:val="22"/>
        </w:rPr>
        <w:t xml:space="preserve"> hakea tehtävää. Laissa on myös kattavat säännökset hakijan tiedonsaa</w:t>
      </w:r>
      <w:r w:rsidR="00E576C9">
        <w:rPr>
          <w:sz w:val="22"/>
          <w:szCs w:val="22"/>
        </w:rPr>
        <w:t xml:space="preserve">nti- ja huomautusoikeuksista </w:t>
      </w:r>
      <w:r w:rsidR="003C57AC">
        <w:rPr>
          <w:sz w:val="22"/>
          <w:szCs w:val="22"/>
        </w:rPr>
        <w:t>(</w:t>
      </w:r>
      <w:r w:rsidR="00E576C9">
        <w:rPr>
          <w:sz w:val="22"/>
          <w:szCs w:val="22"/>
        </w:rPr>
        <w:t>6 ja 7 §)</w:t>
      </w:r>
      <w:r w:rsidR="006240AF">
        <w:rPr>
          <w:sz w:val="22"/>
          <w:szCs w:val="22"/>
        </w:rPr>
        <w:t>.</w:t>
      </w:r>
      <w:r w:rsidR="00E576C9">
        <w:rPr>
          <w:sz w:val="22"/>
          <w:szCs w:val="22"/>
        </w:rPr>
        <w:t xml:space="preserve"> Myös selvityksen laatimisessa sallitut tietolähteet ja tietojen käsittelylle asetettavat vaatimukset on määritelty tarkasti. </w:t>
      </w:r>
    </w:p>
    <w:p w14:paraId="7024E667" w14:textId="77777777" w:rsidR="00A008E1" w:rsidRDefault="00A008E1" w:rsidP="00C151B6">
      <w:pPr>
        <w:ind w:left="1298"/>
        <w:rPr>
          <w:sz w:val="22"/>
          <w:szCs w:val="22"/>
        </w:rPr>
      </w:pPr>
    </w:p>
    <w:p w14:paraId="52A7E1F9" w14:textId="77777777" w:rsidR="00A008E1" w:rsidRPr="00A008E1" w:rsidRDefault="00A008E1" w:rsidP="00A008E1">
      <w:pPr>
        <w:ind w:left="1298"/>
        <w:rPr>
          <w:sz w:val="22"/>
          <w:szCs w:val="22"/>
        </w:rPr>
      </w:pPr>
      <w:r w:rsidRPr="00A008E1">
        <w:rPr>
          <w:sz w:val="22"/>
          <w:szCs w:val="22"/>
        </w:rPr>
        <w:t>Uuden lain myötä perustettiin oikeusministeriön yhteyteen valtioneuvoston asettama arviointikriteerilautakunta (12 §). Sen tehtävänä on toimivaltaisten viranomaisten päätöksenteon tueksi sekä yhtenäisen ja johdonmukaisen tulkintakäytännön edistämiseksi käsitellä ja esittää yleisiä tulkintasuosituksia muun muassa tehtävistä, joista laissa säädetyt edellytykset huomioon ottaen voidaan laatia turvallisuusselvitys. Oikeusministeriön tiedon mukaan lautakunta ei ole antanut suosituksia siitä, mihin tuomioistuinlaitoksen tehtäviin valittavista henkilöistä tulisi laatia turvallisuusselvitys.</w:t>
      </w:r>
    </w:p>
    <w:p w14:paraId="0D94DE4F" w14:textId="77777777" w:rsidR="00A008E1" w:rsidRDefault="00A008E1" w:rsidP="00A008E1">
      <w:pPr>
        <w:pStyle w:val="Otsikko2"/>
      </w:pPr>
      <w:r>
        <w:t>Turvallisuusselvityksen hakeminen</w:t>
      </w:r>
    </w:p>
    <w:p w14:paraId="23212FCD" w14:textId="77777777" w:rsidR="00A008E1" w:rsidRDefault="00A008E1" w:rsidP="00A008E1">
      <w:pPr>
        <w:ind w:left="1298"/>
        <w:rPr>
          <w:sz w:val="22"/>
          <w:szCs w:val="22"/>
        </w:rPr>
      </w:pPr>
      <w:r w:rsidRPr="00A008E1">
        <w:rPr>
          <w:sz w:val="22"/>
          <w:szCs w:val="22"/>
        </w:rPr>
        <w:t xml:space="preserve">Yleisenä edellytyksenä turvallisuusselvitykselle on se, että selvityksen hakija on rajoittanut teknisin ja muin toimenpitein pääsyä suojattaviin tietoihin sekä huolehtinut toimitilojen ja tietojärjestelmien suojaamisesta ja ryhtynyt muihin asianmukaisiin toimenpiteisiin tietoturvallisuuden sekä muiden turvallisuusjärjestelyjen toteuttamiseksi. Edellytyksen tarkoituksena on paitsi edistää yleistä tietoturvallisuutta, myös varmistaa, että turvallisuusselvityksiä käytetään osana laajempia turvallisuustoimenpiteitä eikä niiden sijasta (18 §). </w:t>
      </w:r>
    </w:p>
    <w:p w14:paraId="4B33A0AA" w14:textId="77777777" w:rsidR="00A008E1" w:rsidRDefault="00A008E1" w:rsidP="00A008E1">
      <w:pPr>
        <w:ind w:left="1298"/>
        <w:rPr>
          <w:sz w:val="22"/>
          <w:szCs w:val="22"/>
        </w:rPr>
      </w:pPr>
    </w:p>
    <w:p w14:paraId="16A787C1" w14:textId="1D442097" w:rsidR="00A008E1" w:rsidRDefault="00A008E1" w:rsidP="00A008E1">
      <w:pPr>
        <w:ind w:left="1298"/>
        <w:rPr>
          <w:sz w:val="22"/>
          <w:szCs w:val="22"/>
        </w:rPr>
      </w:pPr>
      <w:r>
        <w:rPr>
          <w:sz w:val="22"/>
          <w:szCs w:val="22"/>
        </w:rPr>
        <w:lastRenderedPageBreak/>
        <w:t>Edellytys tarkoittaa käytännössä sitä, että s</w:t>
      </w:r>
      <w:r w:rsidR="00B731DD" w:rsidRPr="00B731DD">
        <w:rPr>
          <w:sz w:val="22"/>
          <w:szCs w:val="22"/>
        </w:rPr>
        <w:t>uojelupoliisi voi laatia turvallisuusselvityksiä ainoastaan sellaisille tahoille, jotka ovat antaneet riittävän selvityksen turvallisuusselvitysten laatimisen edellytyksistä.</w:t>
      </w:r>
      <w:r w:rsidR="00B731DD">
        <w:rPr>
          <w:sz w:val="22"/>
          <w:szCs w:val="22"/>
        </w:rPr>
        <w:t xml:space="preserve"> Tämä edellyttää, että ennen turvallisuusselvitysten hakemista viranomaiset hakeutuvat turvallisuusselvityksen piiriin. Selvityksessä on annettava tietoa kyseisestä organisaatiosta ja </w:t>
      </w:r>
      <w:r>
        <w:rPr>
          <w:sz w:val="22"/>
          <w:szCs w:val="22"/>
        </w:rPr>
        <w:t xml:space="preserve">niistä </w:t>
      </w:r>
      <w:r w:rsidR="00B731DD">
        <w:rPr>
          <w:sz w:val="22"/>
          <w:szCs w:val="22"/>
        </w:rPr>
        <w:t xml:space="preserve">työtehtävistä, joihin turvallisuusselvitysmenettely esitetään ulotettavaksi. </w:t>
      </w:r>
      <w:r>
        <w:rPr>
          <w:sz w:val="22"/>
          <w:szCs w:val="22"/>
        </w:rPr>
        <w:t xml:space="preserve">Lisäksi selvityksessä tulee kuvata, millaisin turvallisuusjärjestelyin </w:t>
      </w:r>
      <w:r w:rsidRPr="00A008E1">
        <w:rPr>
          <w:sz w:val="22"/>
          <w:szCs w:val="22"/>
        </w:rPr>
        <w:t>hakija on rajoittanut pääsyä suojattaviin tietoihin</w:t>
      </w:r>
      <w:r>
        <w:rPr>
          <w:sz w:val="22"/>
          <w:szCs w:val="22"/>
        </w:rPr>
        <w:t xml:space="preserve"> turvallisuus</w:t>
      </w:r>
      <w:r w:rsidR="00DE2F72">
        <w:rPr>
          <w:sz w:val="22"/>
          <w:szCs w:val="22"/>
        </w:rPr>
        <w:t>selvitys</w:t>
      </w:r>
      <w:r>
        <w:rPr>
          <w:sz w:val="22"/>
          <w:szCs w:val="22"/>
        </w:rPr>
        <w:t>lain 18 §:ssä edellytetyllä tavalla</w:t>
      </w:r>
      <w:r w:rsidRPr="00A008E1">
        <w:rPr>
          <w:sz w:val="22"/>
          <w:szCs w:val="22"/>
        </w:rPr>
        <w:t>.</w:t>
      </w:r>
      <w:r>
        <w:rPr>
          <w:sz w:val="22"/>
          <w:szCs w:val="22"/>
        </w:rPr>
        <w:t xml:space="preserve"> </w:t>
      </w:r>
    </w:p>
    <w:p w14:paraId="340FC377" w14:textId="77777777" w:rsidR="00A008E1" w:rsidRDefault="00A008E1" w:rsidP="00A008E1">
      <w:pPr>
        <w:ind w:left="1298"/>
        <w:rPr>
          <w:sz w:val="22"/>
          <w:szCs w:val="22"/>
        </w:rPr>
      </w:pPr>
    </w:p>
    <w:p w14:paraId="5BCA8997" w14:textId="77777777" w:rsidR="00A008E1" w:rsidRDefault="00A008E1" w:rsidP="00A008E1">
      <w:pPr>
        <w:ind w:left="1298"/>
        <w:rPr>
          <w:sz w:val="22"/>
          <w:szCs w:val="22"/>
        </w:rPr>
      </w:pPr>
      <w:r>
        <w:rPr>
          <w:sz w:val="22"/>
          <w:szCs w:val="22"/>
        </w:rPr>
        <w:t xml:space="preserve">Se, että viranomainen on ryhtynyt riittäviin turvallisuusjärjestelyihin, </w:t>
      </w:r>
      <w:r w:rsidRPr="00A008E1">
        <w:rPr>
          <w:sz w:val="22"/>
          <w:szCs w:val="22"/>
        </w:rPr>
        <w:t xml:space="preserve">voidaan </w:t>
      </w:r>
      <w:r>
        <w:rPr>
          <w:sz w:val="22"/>
          <w:szCs w:val="22"/>
        </w:rPr>
        <w:t xml:space="preserve">lain mukaan </w:t>
      </w:r>
      <w:r w:rsidRPr="00A008E1">
        <w:rPr>
          <w:sz w:val="22"/>
          <w:szCs w:val="22"/>
        </w:rPr>
        <w:t>osoittaa tietoturvallisuuden arviointilaitoksista annetussa laissa (1405/2011) tarkoitetun hyväksytyn arviointilaitoksen antamalla todistuksella, viranomaisten tietojärjestelmien ja tietoliikennejärjestelyjen tietoturvallisuuden arvioinnista annetun lain (1406/2011) mukaisesti annetulla todistuksella, turvallisuussuunnitelmalla tai muulla turvallisuusselvityksen tekemisestä päättävän toimivaltaisen viranomaisen hyväksymällä tavalla.</w:t>
      </w:r>
      <w:r>
        <w:rPr>
          <w:sz w:val="22"/>
          <w:szCs w:val="22"/>
        </w:rPr>
        <w:t xml:space="preserve"> Edellä mainittuja todistuksia ei tuomioistuimia koskien ole oikeusministeriön tiedon mukaan annettu. Sen sijaan osa tuomioistuimista on jo hakeutunut turvallisuusselvityksen piiriin edellä kuvatun menettelyn kautta. </w:t>
      </w:r>
    </w:p>
    <w:p w14:paraId="040D4C23" w14:textId="77777777" w:rsidR="00A008E1" w:rsidRDefault="00A008E1" w:rsidP="00A008E1">
      <w:pPr>
        <w:ind w:left="1298"/>
        <w:rPr>
          <w:sz w:val="22"/>
          <w:szCs w:val="22"/>
        </w:rPr>
      </w:pPr>
    </w:p>
    <w:p w14:paraId="0D2E8BDF" w14:textId="4DFEDC30" w:rsidR="003C57AC" w:rsidRDefault="00E576C9" w:rsidP="00A008E1">
      <w:pPr>
        <w:ind w:left="1298"/>
        <w:rPr>
          <w:sz w:val="22"/>
          <w:szCs w:val="22"/>
        </w:rPr>
      </w:pPr>
      <w:r>
        <w:rPr>
          <w:sz w:val="22"/>
          <w:szCs w:val="22"/>
        </w:rPr>
        <w:t>Valtioneuvoston asetuksella voidaan lisäksi erikseen säätää valtionhallinnon viranomaisen velvollisuudesta hakea henkilöturvallisuusselvitystä (16 §)</w:t>
      </w:r>
      <w:r w:rsidR="00CD5B52">
        <w:rPr>
          <w:sz w:val="22"/>
          <w:szCs w:val="22"/>
        </w:rPr>
        <w:t xml:space="preserve"> ja yritysturvallisuusselvitystä (34 §)</w:t>
      </w:r>
      <w:r>
        <w:rPr>
          <w:sz w:val="22"/>
          <w:szCs w:val="22"/>
        </w:rPr>
        <w:t xml:space="preserve">. </w:t>
      </w:r>
      <w:r w:rsidR="00312518">
        <w:rPr>
          <w:sz w:val="22"/>
          <w:szCs w:val="22"/>
        </w:rPr>
        <w:t xml:space="preserve">Tällaisia velvollisuuksia ei oikeusministeriön tiedon mukaan ole </w:t>
      </w:r>
      <w:r w:rsidR="00D27F83">
        <w:rPr>
          <w:sz w:val="22"/>
          <w:szCs w:val="22"/>
        </w:rPr>
        <w:t xml:space="preserve">toistaiseksi </w:t>
      </w:r>
      <w:r w:rsidR="00312518">
        <w:rPr>
          <w:sz w:val="22"/>
          <w:szCs w:val="22"/>
        </w:rPr>
        <w:t>säädetty</w:t>
      </w:r>
      <w:r w:rsidR="00D27F83">
        <w:rPr>
          <w:sz w:val="22"/>
          <w:szCs w:val="22"/>
        </w:rPr>
        <w:t>, mutta v</w:t>
      </w:r>
      <w:r w:rsidR="00D27F83" w:rsidRPr="00D27F83">
        <w:rPr>
          <w:sz w:val="22"/>
          <w:szCs w:val="22"/>
        </w:rPr>
        <w:t>altiovarainministeriössä valmistellaan kyseisen valtioneuvoston asetuksen antamista</w:t>
      </w:r>
      <w:r w:rsidR="00CA6C09">
        <w:rPr>
          <w:sz w:val="22"/>
          <w:szCs w:val="22"/>
        </w:rPr>
        <w:t xml:space="preserve"> liittyen edellä mainittuun kaksoiskansalaisuuteen liittyvän lainsäädännön valmisteluun, jolla virkamieslakia ja turvallisuusselvityslakia muutettiin (</w:t>
      </w:r>
      <w:r w:rsidR="00CA6C09" w:rsidRPr="00CA6C09">
        <w:rPr>
          <w:sz w:val="22"/>
          <w:szCs w:val="22"/>
        </w:rPr>
        <w:t>VM058:00/2016)</w:t>
      </w:r>
      <w:r w:rsidR="00D27F83" w:rsidRPr="00D27F83">
        <w:rPr>
          <w:sz w:val="22"/>
          <w:szCs w:val="22"/>
        </w:rPr>
        <w:t xml:space="preserve">. </w:t>
      </w:r>
      <w:r w:rsidR="00133BF3">
        <w:rPr>
          <w:sz w:val="22"/>
          <w:szCs w:val="22"/>
        </w:rPr>
        <w:t>Laissa säädetyt edellytykset huomioon ottaen velvollisuus voisi vain poikkeuksellisesti koskea tuomioistuinlaitosta.</w:t>
      </w:r>
      <w:r w:rsidR="00CA6C09">
        <w:rPr>
          <w:sz w:val="22"/>
          <w:szCs w:val="22"/>
        </w:rPr>
        <w:t xml:space="preserve"> Tällaisia tehtäviä voisi tosin liittyä tiedustelulainsäännön uudistamiseen ja Helsingin käräjäoikeudelle siinä säädettyihin velvollisuuksiin.</w:t>
      </w:r>
      <w:r w:rsidR="00182F8B">
        <w:rPr>
          <w:sz w:val="22"/>
          <w:szCs w:val="22"/>
        </w:rPr>
        <w:t xml:space="preserve"> T</w:t>
      </w:r>
      <w:r w:rsidR="00354370">
        <w:rPr>
          <w:sz w:val="22"/>
          <w:szCs w:val="22"/>
        </w:rPr>
        <w:t xml:space="preserve">uomioistuinten </w:t>
      </w:r>
      <w:r w:rsidR="00354370" w:rsidRPr="00354370">
        <w:rPr>
          <w:sz w:val="22"/>
          <w:szCs w:val="22"/>
        </w:rPr>
        <w:t xml:space="preserve">riippumattomuus huomioon ottaen </w:t>
      </w:r>
      <w:r w:rsidR="00354370">
        <w:rPr>
          <w:sz w:val="22"/>
          <w:szCs w:val="22"/>
        </w:rPr>
        <w:t>tällaisista ve</w:t>
      </w:r>
      <w:r w:rsidR="00182F8B">
        <w:rPr>
          <w:sz w:val="22"/>
          <w:szCs w:val="22"/>
        </w:rPr>
        <w:t xml:space="preserve">lvollisuuksista </w:t>
      </w:r>
      <w:r w:rsidR="00BD1D4D">
        <w:rPr>
          <w:sz w:val="22"/>
          <w:szCs w:val="22"/>
        </w:rPr>
        <w:t xml:space="preserve">tulisi lähtökohtaisesti </w:t>
      </w:r>
      <w:r w:rsidR="00354370">
        <w:rPr>
          <w:sz w:val="22"/>
          <w:szCs w:val="22"/>
        </w:rPr>
        <w:t xml:space="preserve">säätää </w:t>
      </w:r>
      <w:r w:rsidR="00354370" w:rsidRPr="00354370">
        <w:rPr>
          <w:sz w:val="22"/>
          <w:szCs w:val="22"/>
        </w:rPr>
        <w:t>lain tasolla.</w:t>
      </w:r>
    </w:p>
    <w:p w14:paraId="4DB8A37B" w14:textId="77777777" w:rsidR="00EE3D3A" w:rsidRDefault="00EE3D3A" w:rsidP="00C151B6">
      <w:pPr>
        <w:ind w:left="1298"/>
        <w:rPr>
          <w:sz w:val="22"/>
          <w:szCs w:val="22"/>
        </w:rPr>
      </w:pPr>
    </w:p>
    <w:p w14:paraId="3F648BBC" w14:textId="5CD746BB" w:rsidR="00A008E1" w:rsidRPr="009A0BC1" w:rsidRDefault="00A008E1" w:rsidP="009A0BC1">
      <w:pPr>
        <w:ind w:left="1298"/>
        <w:rPr>
          <w:sz w:val="22"/>
          <w:szCs w:val="22"/>
        </w:rPr>
      </w:pPr>
      <w:r w:rsidRPr="00A008E1">
        <w:rPr>
          <w:sz w:val="22"/>
          <w:szCs w:val="22"/>
        </w:rPr>
        <w:t xml:space="preserve">Henkilöturvallisuusselvityksen hakemisesta säädetään turvallisuusselvityslain 17 §:ssä. Selvitystä on haettava kirjallisesti. Hakemuksessa tulee yksilöidä selvityksen kohteena oleva henkilö sekä virka tai tehtävä, johon häntä ollaan nimittämässä. Hakemukseen tulee liittää nimitettäväksi esitettävän suostumusasiakirja. </w:t>
      </w:r>
      <w:r w:rsidR="009A0BC1">
        <w:rPr>
          <w:sz w:val="22"/>
          <w:szCs w:val="22"/>
        </w:rPr>
        <w:t>Vuonna 2018 k</w:t>
      </w:r>
      <w:r w:rsidR="009A0BC1" w:rsidRPr="009A0BC1">
        <w:rPr>
          <w:sz w:val="22"/>
          <w:szCs w:val="22"/>
        </w:rPr>
        <w:t>äyttöön</w:t>
      </w:r>
      <w:r w:rsidR="009A0BC1">
        <w:rPr>
          <w:sz w:val="22"/>
          <w:szCs w:val="22"/>
        </w:rPr>
        <w:t xml:space="preserve"> on tulossa uusi sähköinen asiointijärjestelmä, jo</w:t>
      </w:r>
      <w:r w:rsidR="009A0BC1" w:rsidRPr="009A0BC1">
        <w:rPr>
          <w:sz w:val="22"/>
          <w:szCs w:val="22"/>
        </w:rPr>
        <w:t>ka helpottaa selvitysten tekemistä.</w:t>
      </w:r>
      <w:r w:rsidR="009A0BC1">
        <w:rPr>
          <w:sz w:val="22"/>
          <w:szCs w:val="22"/>
        </w:rPr>
        <w:t xml:space="preserve"> </w:t>
      </w:r>
      <w:r w:rsidR="009A0BC1" w:rsidRPr="009A0BC1">
        <w:rPr>
          <w:sz w:val="22"/>
          <w:szCs w:val="22"/>
        </w:rPr>
        <w:t>Turvallisuusselvitysten odotettavissa olevat käs</w:t>
      </w:r>
      <w:r w:rsidR="009A0BC1">
        <w:rPr>
          <w:sz w:val="22"/>
          <w:szCs w:val="22"/>
        </w:rPr>
        <w:t xml:space="preserve">ittelyajat ovat </w:t>
      </w:r>
      <w:r w:rsidR="00DE2F72">
        <w:rPr>
          <w:sz w:val="22"/>
          <w:szCs w:val="22"/>
        </w:rPr>
        <w:t xml:space="preserve">seuraavat: </w:t>
      </w:r>
      <w:r w:rsidR="009A0BC1" w:rsidRPr="009A0BC1">
        <w:rPr>
          <w:sz w:val="22"/>
          <w:szCs w:val="22"/>
        </w:rPr>
        <w:t>suppea</w:t>
      </w:r>
      <w:r w:rsidR="009A0BC1">
        <w:rPr>
          <w:sz w:val="22"/>
          <w:szCs w:val="22"/>
        </w:rPr>
        <w:t xml:space="preserve"> </w:t>
      </w:r>
      <w:r w:rsidR="009A0BC1" w:rsidRPr="009A0BC1">
        <w:rPr>
          <w:sz w:val="22"/>
          <w:szCs w:val="22"/>
        </w:rPr>
        <w:t xml:space="preserve">10 </w:t>
      </w:r>
      <w:r w:rsidR="009A0BC1">
        <w:rPr>
          <w:sz w:val="22"/>
          <w:szCs w:val="22"/>
        </w:rPr>
        <w:t>ja perusmuotoi</w:t>
      </w:r>
      <w:r w:rsidR="00DE2F72">
        <w:rPr>
          <w:sz w:val="22"/>
          <w:szCs w:val="22"/>
        </w:rPr>
        <w:t>n</w:t>
      </w:r>
      <w:r w:rsidR="009A0BC1">
        <w:rPr>
          <w:sz w:val="22"/>
          <w:szCs w:val="22"/>
        </w:rPr>
        <w:t xml:space="preserve">en </w:t>
      </w:r>
      <w:r w:rsidR="009A0BC1" w:rsidRPr="009A0BC1">
        <w:rPr>
          <w:sz w:val="22"/>
          <w:szCs w:val="22"/>
        </w:rPr>
        <w:t>15 arkipäivää</w:t>
      </w:r>
      <w:r w:rsidR="009A0BC1">
        <w:rPr>
          <w:sz w:val="22"/>
          <w:szCs w:val="22"/>
        </w:rPr>
        <w:t>.</w:t>
      </w:r>
    </w:p>
    <w:p w14:paraId="0F519446" w14:textId="77777777" w:rsidR="006240AF" w:rsidRPr="006240AF" w:rsidRDefault="006240AF" w:rsidP="006240AF">
      <w:pPr>
        <w:pStyle w:val="Otsikko2"/>
      </w:pPr>
      <w:r>
        <w:t>Henkilöturvallisuusselvitys</w:t>
      </w:r>
    </w:p>
    <w:p w14:paraId="0E5E6483" w14:textId="7E7A4513" w:rsidR="000E63E3" w:rsidRDefault="000E63E3" w:rsidP="006240AF">
      <w:pPr>
        <w:rPr>
          <w:sz w:val="22"/>
          <w:szCs w:val="22"/>
        </w:rPr>
      </w:pPr>
      <w:r>
        <w:rPr>
          <w:sz w:val="22"/>
          <w:szCs w:val="22"/>
        </w:rPr>
        <w:t>Laaja turvallisuusselvitys</w:t>
      </w:r>
    </w:p>
    <w:p w14:paraId="33B8EC5B" w14:textId="58B9E6BA" w:rsidR="000E63E3" w:rsidRDefault="000E63E3" w:rsidP="006240AF">
      <w:pPr>
        <w:rPr>
          <w:sz w:val="22"/>
          <w:szCs w:val="22"/>
        </w:rPr>
      </w:pPr>
    </w:p>
    <w:p w14:paraId="7A6C4803" w14:textId="77777777" w:rsidR="000E63E3" w:rsidRDefault="000E63E3" w:rsidP="000E63E3">
      <w:pPr>
        <w:ind w:left="1298"/>
        <w:rPr>
          <w:sz w:val="22"/>
          <w:szCs w:val="22"/>
        </w:rPr>
      </w:pPr>
      <w:r w:rsidRPr="000E63E3">
        <w:rPr>
          <w:sz w:val="22"/>
          <w:szCs w:val="22"/>
        </w:rPr>
        <w:t xml:space="preserve">Yleisin turvallisuusselvitys on henkilöturvallisuusselvitys (4 luku, 14–32 §), joka voidaan laatia suppeana, perusmuotoisena tai laajana. </w:t>
      </w:r>
      <w:r>
        <w:rPr>
          <w:sz w:val="22"/>
          <w:szCs w:val="22"/>
        </w:rPr>
        <w:t xml:space="preserve">Laaja turvallisuusselvitys voi tulla kyseeseen varsin poikkeuksellisesti. Turvallisuusselvityslain 20 §:n mukaan laaja selvitys </w:t>
      </w:r>
      <w:r w:rsidRPr="000E63E3">
        <w:rPr>
          <w:sz w:val="22"/>
          <w:szCs w:val="22"/>
        </w:rPr>
        <w:t>voida</w:t>
      </w:r>
      <w:r>
        <w:rPr>
          <w:sz w:val="22"/>
          <w:szCs w:val="22"/>
        </w:rPr>
        <w:t xml:space="preserve">an esimerkiksi laatia henkilöstä, joka </w:t>
      </w:r>
      <w:r w:rsidRPr="000E63E3">
        <w:rPr>
          <w:sz w:val="22"/>
          <w:szCs w:val="22"/>
        </w:rPr>
        <w:t>työtehtävissään saa oikeuden muutoin kuin satunnaisesti käsitellä suojaustasoihin I tai II kuulu</w:t>
      </w:r>
      <w:r>
        <w:rPr>
          <w:sz w:val="22"/>
          <w:szCs w:val="22"/>
        </w:rPr>
        <w:t xml:space="preserve">viksi luokiteltuja asiakirjoja (1 momentin 1 kohta). Lisäksi selvitys voidaan laatia henkilöstä </w:t>
      </w:r>
      <w:r w:rsidRPr="000E63E3">
        <w:rPr>
          <w:sz w:val="22"/>
          <w:szCs w:val="22"/>
        </w:rPr>
        <w:t>hoitaa sellaista tehtävää, jossa hän salassa pidettäviä tietoja paljastamalla tai muulla lainvastaisella teolla voi vahingoittaa valtion turvallisuutta, maanpuolustusta tai</w:t>
      </w:r>
      <w:r>
        <w:rPr>
          <w:sz w:val="22"/>
          <w:szCs w:val="22"/>
        </w:rPr>
        <w:t xml:space="preserve"> Suomen kansainvälisiä suhteita (2 kohta). Lisäksi laaja selvitys voidaan laatia kansainvälisiin tehtäviin hakeutuvilla tai kansainvälisen velvoitteen muutoin niin edellyttäessä. </w:t>
      </w:r>
    </w:p>
    <w:p w14:paraId="4E44DB6B" w14:textId="77777777" w:rsidR="000E63E3" w:rsidRDefault="000E63E3" w:rsidP="000E63E3">
      <w:pPr>
        <w:ind w:left="1298"/>
        <w:rPr>
          <w:sz w:val="22"/>
          <w:szCs w:val="22"/>
        </w:rPr>
      </w:pPr>
    </w:p>
    <w:p w14:paraId="5261D68E" w14:textId="59F8589F" w:rsidR="000E63E3" w:rsidRDefault="000E63E3" w:rsidP="000E63E3">
      <w:pPr>
        <w:ind w:left="1298"/>
        <w:rPr>
          <w:sz w:val="22"/>
          <w:szCs w:val="22"/>
        </w:rPr>
      </w:pPr>
      <w:r>
        <w:rPr>
          <w:sz w:val="22"/>
          <w:szCs w:val="22"/>
        </w:rPr>
        <w:t>Turvallisuusselvityslain esitöiden mukaan p</w:t>
      </w:r>
      <w:r w:rsidRPr="000E63E3">
        <w:rPr>
          <w:sz w:val="22"/>
          <w:szCs w:val="22"/>
        </w:rPr>
        <w:t>ykälän soveltamisala on suhteellisen rajoitettu</w:t>
      </w:r>
      <w:r>
        <w:rPr>
          <w:sz w:val="22"/>
          <w:szCs w:val="22"/>
        </w:rPr>
        <w:t xml:space="preserve"> </w:t>
      </w:r>
      <w:r w:rsidRPr="000E63E3">
        <w:rPr>
          <w:sz w:val="22"/>
          <w:szCs w:val="22"/>
        </w:rPr>
        <w:t>ja niiden tehtävien määrä, joissa laaja</w:t>
      </w:r>
      <w:r>
        <w:rPr>
          <w:sz w:val="22"/>
          <w:szCs w:val="22"/>
        </w:rPr>
        <w:t xml:space="preserve"> </w:t>
      </w:r>
      <w:r w:rsidRPr="000E63E3">
        <w:rPr>
          <w:sz w:val="22"/>
          <w:szCs w:val="22"/>
        </w:rPr>
        <w:t>henkilöturvallisuusselvitys voitaisiin laatia,</w:t>
      </w:r>
      <w:r>
        <w:rPr>
          <w:sz w:val="22"/>
          <w:szCs w:val="22"/>
        </w:rPr>
        <w:t xml:space="preserve"> </w:t>
      </w:r>
      <w:r w:rsidRPr="000E63E3">
        <w:rPr>
          <w:sz w:val="22"/>
          <w:szCs w:val="22"/>
        </w:rPr>
        <w:t>on verrattain pieni.</w:t>
      </w:r>
      <w:r>
        <w:rPr>
          <w:sz w:val="22"/>
          <w:szCs w:val="22"/>
        </w:rPr>
        <w:t xml:space="preserve"> Esityksen mukaan pykälän 1 momentin 1 kohdassa tarkoitettuja tehtäviä on </w:t>
      </w:r>
      <w:r w:rsidRPr="000E63E3">
        <w:rPr>
          <w:sz w:val="22"/>
          <w:szCs w:val="22"/>
        </w:rPr>
        <w:t>etenkin puo</w:t>
      </w:r>
      <w:r w:rsidRPr="000E63E3">
        <w:rPr>
          <w:sz w:val="22"/>
          <w:szCs w:val="22"/>
        </w:rPr>
        <w:lastRenderedPageBreak/>
        <w:t>lustus- ja ulkoasiainhallinnossa</w:t>
      </w:r>
      <w:r>
        <w:rPr>
          <w:sz w:val="22"/>
          <w:szCs w:val="22"/>
        </w:rPr>
        <w:t xml:space="preserve"> </w:t>
      </w:r>
      <w:r w:rsidRPr="000E63E3">
        <w:rPr>
          <w:sz w:val="22"/>
          <w:szCs w:val="22"/>
        </w:rPr>
        <w:t>sekä suojelupoliisissa.</w:t>
      </w:r>
      <w:r>
        <w:rPr>
          <w:sz w:val="22"/>
          <w:szCs w:val="22"/>
        </w:rPr>
        <w:t xml:space="preserve"> Huomattava kuitenkin on, että </w:t>
      </w:r>
      <w:r w:rsidR="00581283">
        <w:rPr>
          <w:sz w:val="22"/>
          <w:szCs w:val="22"/>
        </w:rPr>
        <w:t xml:space="preserve">tiedustelulainsäädäntöön liittyviä tehtäviä on tarkoitus keskittää Helsingin käräjäoikeuteen. Näin ollen </w:t>
      </w:r>
      <w:r w:rsidR="00581283" w:rsidRPr="00581283">
        <w:rPr>
          <w:sz w:val="22"/>
          <w:szCs w:val="22"/>
        </w:rPr>
        <w:t>tiedustelutoimivaltuuksia koskevia lupa-</w:t>
      </w:r>
      <w:r w:rsidR="00581283">
        <w:rPr>
          <w:sz w:val="22"/>
          <w:szCs w:val="22"/>
        </w:rPr>
        <w:t xml:space="preserve">asioita käsittelevistä tuomareista voi olla tulevaisuudessa välttämätöntä laatia laaja turvallisuusselvitys. </w:t>
      </w:r>
    </w:p>
    <w:p w14:paraId="53FDA209" w14:textId="77777777" w:rsidR="00581283" w:rsidRDefault="00581283" w:rsidP="000E63E3">
      <w:pPr>
        <w:ind w:left="1298"/>
        <w:rPr>
          <w:sz w:val="22"/>
          <w:szCs w:val="22"/>
        </w:rPr>
      </w:pPr>
    </w:p>
    <w:p w14:paraId="47B20743" w14:textId="0D584511" w:rsidR="006240AF" w:rsidRDefault="006240AF" w:rsidP="006240AF">
      <w:pPr>
        <w:rPr>
          <w:sz w:val="22"/>
          <w:szCs w:val="22"/>
        </w:rPr>
      </w:pPr>
      <w:r w:rsidRPr="006240AF">
        <w:rPr>
          <w:sz w:val="22"/>
          <w:szCs w:val="22"/>
        </w:rPr>
        <w:t>Perusmuotoinen turvallisuusselvitys</w:t>
      </w:r>
    </w:p>
    <w:p w14:paraId="13CD7A45" w14:textId="77777777" w:rsidR="006240AF" w:rsidRPr="006240AF" w:rsidRDefault="006240AF" w:rsidP="006240AF">
      <w:pPr>
        <w:rPr>
          <w:sz w:val="22"/>
          <w:szCs w:val="22"/>
        </w:rPr>
      </w:pPr>
    </w:p>
    <w:p w14:paraId="4CD8763E" w14:textId="6F766F26" w:rsidR="00C261A9" w:rsidRPr="00406994" w:rsidRDefault="0089048E" w:rsidP="00C261A9">
      <w:pPr>
        <w:ind w:left="1298"/>
        <w:rPr>
          <w:sz w:val="22"/>
          <w:szCs w:val="22"/>
        </w:rPr>
      </w:pPr>
      <w:r w:rsidRPr="00406994">
        <w:rPr>
          <w:sz w:val="22"/>
          <w:szCs w:val="22"/>
        </w:rPr>
        <w:t>Lain 19 §:ssä on esimerkkiluettelo palvelussuhte</w:t>
      </w:r>
      <w:r w:rsidR="005972AA" w:rsidRPr="00406994">
        <w:rPr>
          <w:sz w:val="22"/>
          <w:szCs w:val="22"/>
        </w:rPr>
        <w:t>ista tai t</w:t>
      </w:r>
      <w:r w:rsidRPr="00406994">
        <w:rPr>
          <w:sz w:val="22"/>
          <w:szCs w:val="22"/>
        </w:rPr>
        <w:t>oimeksiantotehtäv</w:t>
      </w:r>
      <w:r w:rsidR="005972AA" w:rsidRPr="00406994">
        <w:rPr>
          <w:sz w:val="22"/>
          <w:szCs w:val="22"/>
        </w:rPr>
        <w:t xml:space="preserve">istä, joihin </w:t>
      </w:r>
      <w:r w:rsidRPr="00406994">
        <w:rPr>
          <w:sz w:val="22"/>
          <w:szCs w:val="22"/>
        </w:rPr>
        <w:t>valittavasta voidaan laatia perusmuotoinen henkilöturvallisuusselvitys. Tuomio</w:t>
      </w:r>
      <w:r w:rsidR="005972AA" w:rsidRPr="00406994">
        <w:rPr>
          <w:sz w:val="22"/>
          <w:szCs w:val="22"/>
        </w:rPr>
        <w:t>istuimissa sovelle</w:t>
      </w:r>
      <w:r w:rsidRPr="00406994">
        <w:rPr>
          <w:sz w:val="22"/>
          <w:szCs w:val="22"/>
        </w:rPr>
        <w:t>ttavaksi voi lähinnä tulla pykälän 1 momenti</w:t>
      </w:r>
      <w:r w:rsidR="003D2695" w:rsidRPr="00406994">
        <w:rPr>
          <w:sz w:val="22"/>
          <w:szCs w:val="22"/>
        </w:rPr>
        <w:t>n 1 ja 5</w:t>
      </w:r>
      <w:r w:rsidR="006240AF">
        <w:rPr>
          <w:sz w:val="22"/>
          <w:szCs w:val="22"/>
        </w:rPr>
        <w:t xml:space="preserve"> kohdat</w:t>
      </w:r>
      <w:r w:rsidRPr="00406994">
        <w:rPr>
          <w:sz w:val="22"/>
          <w:szCs w:val="22"/>
        </w:rPr>
        <w:t xml:space="preserve">. </w:t>
      </w:r>
      <w:r w:rsidR="004B4866" w:rsidRPr="00406994">
        <w:rPr>
          <w:sz w:val="22"/>
          <w:szCs w:val="22"/>
        </w:rPr>
        <w:t xml:space="preserve">Momentin 1 kohta koskee tehtäviä, joissa toimiva </w:t>
      </w:r>
      <w:r w:rsidRPr="00406994">
        <w:rPr>
          <w:sz w:val="22"/>
          <w:szCs w:val="22"/>
        </w:rPr>
        <w:t>saa oikeuden muutoin kuin satunnaisesti käsitellä sellaisia viranomaisen asiakirjoja, jotka voidaan tai tulee turvallisuusluokitella suojaustasoihin II–III kuulu</w:t>
      </w:r>
      <w:r w:rsidR="006A1C6A" w:rsidRPr="00406994">
        <w:rPr>
          <w:sz w:val="22"/>
          <w:szCs w:val="22"/>
        </w:rPr>
        <w:t xml:space="preserve">viksi. Saman kohdan mukaan selvitys voidaan laatia myös henkilöstä, joka </w:t>
      </w:r>
      <w:r w:rsidRPr="00406994">
        <w:rPr>
          <w:sz w:val="22"/>
          <w:szCs w:val="22"/>
        </w:rPr>
        <w:t xml:space="preserve">muutoin hoitaa sellaisia tehtäviä, joissa hän salassa pidettäviä tietoja paljastamalla tai muulla lainvastaisella teolla voi merkittävällä tavalla vaarantaa valtion turvallisuutta, maanpuolustusta, kansainvälisiä suhteita, poikkeusoloihin varautumista, väestönsuojelua tai yhteiskunnan elintärkeitä toimintoja taikka mainittujen etujen suojaamiseksi toteutettuja turvallisuusjärjestelyjä. </w:t>
      </w:r>
      <w:r w:rsidR="00C261A9" w:rsidRPr="00406994">
        <w:rPr>
          <w:sz w:val="22"/>
          <w:szCs w:val="22"/>
        </w:rPr>
        <w:t xml:space="preserve">Lain esitöiden mukaan tällaisia tehtäviä on erityisesti ulkoasiainhallinnossa sekä puolustushallinnon ja muissa turvallisuusalan hallintotehtävissä. Poissuljettua ei kuitenkaan ole, etteikö tällaisia tehtäviä voisi olla tuomioistuinlaitoksessa. </w:t>
      </w:r>
    </w:p>
    <w:p w14:paraId="273D05D0" w14:textId="77777777" w:rsidR="00C261A9" w:rsidRPr="00406994" w:rsidRDefault="00C261A9" w:rsidP="00C261A9">
      <w:pPr>
        <w:ind w:left="1298"/>
        <w:rPr>
          <w:sz w:val="22"/>
          <w:szCs w:val="22"/>
        </w:rPr>
      </w:pPr>
    </w:p>
    <w:p w14:paraId="6B14B581" w14:textId="77777777" w:rsidR="00CD5B52" w:rsidRDefault="003D2695" w:rsidP="003D2695">
      <w:pPr>
        <w:ind w:left="1298"/>
        <w:rPr>
          <w:sz w:val="22"/>
          <w:szCs w:val="22"/>
        </w:rPr>
      </w:pPr>
      <w:r w:rsidRPr="00406994">
        <w:rPr>
          <w:sz w:val="22"/>
          <w:szCs w:val="22"/>
        </w:rPr>
        <w:t xml:space="preserve">Momentin 5 kohta taas koskee tehtäviä, joissa toimiva voi tietojärjestelmän pääkäyttäjänä tai muut toimivaltuutensa huomioon ottaen vahingoittaa viranomaisten toiminnan tai yhteiskunnan perustoimintojen kannalta keskeisten tietojärjestelmien toimivuutta tai niiden tietoturvallisuutta. Tällaiset tehtävät ovat tuomioistuimissa harvinaisia, mutta ottaen huomioon oikeushallinnon tietojärjestelmän yhteydet merkittäviin rekistereihin, kuten esimerkiksi väestötietojärjestelmä, </w:t>
      </w:r>
      <w:r w:rsidR="006A1C6A" w:rsidRPr="00406994">
        <w:rPr>
          <w:sz w:val="22"/>
          <w:szCs w:val="22"/>
        </w:rPr>
        <w:t xml:space="preserve">ei kohdan soveltuvuutta voine jättää huomioimatta. </w:t>
      </w:r>
    </w:p>
    <w:p w14:paraId="148417DE" w14:textId="77777777" w:rsidR="006240AF" w:rsidRDefault="006240AF" w:rsidP="003D2695">
      <w:pPr>
        <w:ind w:left="1298"/>
        <w:rPr>
          <w:sz w:val="22"/>
          <w:szCs w:val="22"/>
        </w:rPr>
      </w:pPr>
    </w:p>
    <w:p w14:paraId="2A9458D2" w14:textId="77777777" w:rsidR="006240AF" w:rsidRPr="00406994" w:rsidRDefault="006240AF" w:rsidP="006240AF">
      <w:pPr>
        <w:rPr>
          <w:sz w:val="22"/>
          <w:szCs w:val="22"/>
        </w:rPr>
      </w:pPr>
      <w:r>
        <w:rPr>
          <w:sz w:val="22"/>
          <w:szCs w:val="22"/>
        </w:rPr>
        <w:t>Suppea turvallisuusselvitys</w:t>
      </w:r>
    </w:p>
    <w:p w14:paraId="18203A79" w14:textId="77777777" w:rsidR="00CD5B52" w:rsidRPr="00406994" w:rsidRDefault="00CD5B52" w:rsidP="00C151B6">
      <w:pPr>
        <w:ind w:left="1298"/>
        <w:rPr>
          <w:sz w:val="22"/>
          <w:szCs w:val="22"/>
        </w:rPr>
      </w:pPr>
    </w:p>
    <w:p w14:paraId="276FE0B1" w14:textId="77777777" w:rsidR="00F17CE5" w:rsidRPr="00406994" w:rsidRDefault="00001AA9" w:rsidP="00001AA9">
      <w:pPr>
        <w:ind w:left="1298"/>
        <w:rPr>
          <w:sz w:val="22"/>
          <w:szCs w:val="22"/>
        </w:rPr>
      </w:pPr>
      <w:r w:rsidRPr="00406994">
        <w:rPr>
          <w:sz w:val="22"/>
          <w:szCs w:val="22"/>
        </w:rPr>
        <w:t xml:space="preserve">Suppean turvallisuusselvityksen piiriin kuuluvien tehtävien piiri on perusmuotoista laajempi. Lain 21 §:n 1 momentin mukaan suppea henkilöturvallisuusselvitys voidaan laatia sellaiseen palvelussuhteeseen tai toimeksiantotehtävää suorittamaan valittavasta, joka saa oikeuden käsitellä viranomaisen suojaustasoihin III–IV luokiteltuja asiakirjoja (kohta 1). </w:t>
      </w:r>
      <w:r w:rsidR="0056032E" w:rsidRPr="00406994">
        <w:rPr>
          <w:sz w:val="22"/>
          <w:szCs w:val="22"/>
        </w:rPr>
        <w:t xml:space="preserve">Edellä todetulla tavalla suojaustasolle III kuuluvat asiakirjat, joihin sisältyvien salassa pidettävien tietojen oikeudeton paljastuminen tai käyttö voi aiheuttaa </w:t>
      </w:r>
      <w:r w:rsidR="0056032E" w:rsidRPr="00406994">
        <w:rPr>
          <w:b/>
          <w:sz w:val="22"/>
          <w:szCs w:val="22"/>
        </w:rPr>
        <w:t>vahinkoa yleiselle tai yksityiselle edulle</w:t>
      </w:r>
      <w:r w:rsidR="0056032E" w:rsidRPr="00406994">
        <w:rPr>
          <w:sz w:val="22"/>
          <w:szCs w:val="22"/>
        </w:rPr>
        <w:t xml:space="preserve">. Suojaustasolle IV taas kuuluu tiedot, joiden vääriin käsiin joutuminen voi aiheuttaa </w:t>
      </w:r>
      <w:r w:rsidR="0056032E" w:rsidRPr="00406994">
        <w:rPr>
          <w:b/>
          <w:sz w:val="22"/>
          <w:szCs w:val="22"/>
        </w:rPr>
        <w:t xml:space="preserve">haittaa </w:t>
      </w:r>
      <w:r w:rsidR="0056032E" w:rsidRPr="00406994">
        <w:rPr>
          <w:sz w:val="22"/>
          <w:szCs w:val="22"/>
        </w:rPr>
        <w:t>edellä mainituille eduille.</w:t>
      </w:r>
    </w:p>
    <w:p w14:paraId="0A0BAAA4" w14:textId="77777777" w:rsidR="00F17CE5" w:rsidRPr="00406994" w:rsidRDefault="00F17CE5" w:rsidP="00001AA9">
      <w:pPr>
        <w:ind w:left="1298"/>
        <w:rPr>
          <w:sz w:val="22"/>
          <w:szCs w:val="22"/>
        </w:rPr>
      </w:pPr>
    </w:p>
    <w:p w14:paraId="7C9DFBDD" w14:textId="77777777" w:rsidR="00F17CE5" w:rsidRDefault="00F17CE5" w:rsidP="00001AA9">
      <w:pPr>
        <w:ind w:left="1298"/>
        <w:rPr>
          <w:sz w:val="22"/>
          <w:szCs w:val="22"/>
        </w:rPr>
      </w:pPr>
      <w:r w:rsidRPr="00406994">
        <w:rPr>
          <w:sz w:val="22"/>
          <w:szCs w:val="22"/>
        </w:rPr>
        <w:t>Tuomioistuinlaitosta voi koskea myös momentin 3 kohta.</w:t>
      </w:r>
      <w:r w:rsidRPr="00F17CE5">
        <w:rPr>
          <w:sz w:val="22"/>
          <w:szCs w:val="22"/>
        </w:rPr>
        <w:t xml:space="preserve"> Se koskee tehtäviä, joissa henkilö saa pysyväisluonteisen oikeuden päästä sellaiseen viranomaisen yleisöltä suljettuun toimitilaan tai alueelle ja hoitaa siellä itsenäisesti rakennus-, asennus-, huolto- tai vartiointitehtäviä tai muita niihin rinnastettavia tehtäviä, jos toimitilasta tai alueesta saatavien tietojen oikeudettomalla käytöllä tai niissä tapahtuvalla lainvastaisella teolla voi vaarantaa yleistä turvallisuutta, valtion turvallisuutta tai muuta merkittävää yleistä etua.</w:t>
      </w:r>
    </w:p>
    <w:p w14:paraId="53D44685" w14:textId="77777777" w:rsidR="00F17CE5" w:rsidRDefault="00F17CE5" w:rsidP="00001AA9">
      <w:pPr>
        <w:ind w:left="1298"/>
        <w:rPr>
          <w:sz w:val="22"/>
          <w:szCs w:val="22"/>
        </w:rPr>
      </w:pPr>
    </w:p>
    <w:p w14:paraId="11A23243" w14:textId="3DA64DC7" w:rsidR="006240AF" w:rsidRDefault="00F846B4" w:rsidP="00001AA9">
      <w:pPr>
        <w:ind w:left="1298"/>
        <w:rPr>
          <w:sz w:val="22"/>
          <w:szCs w:val="22"/>
        </w:rPr>
      </w:pPr>
      <w:r>
        <w:rPr>
          <w:sz w:val="22"/>
          <w:szCs w:val="22"/>
        </w:rPr>
        <w:t>K</w:t>
      </w:r>
      <w:r w:rsidR="00F17CE5">
        <w:rPr>
          <w:sz w:val="22"/>
          <w:szCs w:val="22"/>
        </w:rPr>
        <w:t>uten edellä selostetuista säännöksi</w:t>
      </w:r>
      <w:r>
        <w:rPr>
          <w:sz w:val="22"/>
          <w:szCs w:val="22"/>
        </w:rPr>
        <w:t>stä käy ilmi, suppean ja perusmuotoisen henkilöturvallisuusselvityksen piiriin kuuluvat tehtävät</w:t>
      </w:r>
      <w:r w:rsidR="00F17CE5">
        <w:rPr>
          <w:sz w:val="22"/>
          <w:szCs w:val="22"/>
        </w:rPr>
        <w:t xml:space="preserve">, ainakin asiakirjojen luokitteluun perustuvin osin, </w:t>
      </w:r>
      <w:r>
        <w:rPr>
          <w:sz w:val="22"/>
          <w:szCs w:val="22"/>
        </w:rPr>
        <w:t xml:space="preserve">ovat osittain päällekkäiset. </w:t>
      </w:r>
      <w:r w:rsidR="00F17CE5">
        <w:rPr>
          <w:sz w:val="22"/>
          <w:szCs w:val="22"/>
        </w:rPr>
        <w:t xml:space="preserve">Esitöiden mukaan useamman eri kohdan täyttymistä voidaan perustellusti pitää olettamana selvityksen tekemisen sallittavuudesta. Viime kädessä selvityksen laatimiseen toimivaltainen viranomainen päättää tehtävän selvityksen tasosta. </w:t>
      </w:r>
      <w:r w:rsidR="00F17CE5" w:rsidRPr="00F17CE5">
        <w:rPr>
          <w:sz w:val="22"/>
          <w:szCs w:val="22"/>
        </w:rPr>
        <w:t xml:space="preserve">Turvallisuusselvityksen </w:t>
      </w:r>
      <w:r w:rsidR="00F17CE5" w:rsidRPr="00F17CE5">
        <w:rPr>
          <w:sz w:val="22"/>
          <w:szCs w:val="22"/>
        </w:rPr>
        <w:lastRenderedPageBreak/>
        <w:t>laatii vuoden 2016 lopussa tulleen lain muutoksen (931/2016) myötä sen tasosta riippumatta suojelupoliisi (9 §).</w:t>
      </w:r>
      <w:r w:rsidR="00F17CE5">
        <w:rPr>
          <w:sz w:val="22"/>
          <w:szCs w:val="22"/>
        </w:rPr>
        <w:t xml:space="preserve"> </w:t>
      </w:r>
    </w:p>
    <w:p w14:paraId="166EF4EE" w14:textId="77777777" w:rsidR="006240AF" w:rsidRDefault="006240AF" w:rsidP="00001AA9">
      <w:pPr>
        <w:ind w:left="1298"/>
        <w:rPr>
          <w:sz w:val="22"/>
          <w:szCs w:val="22"/>
        </w:rPr>
      </w:pPr>
    </w:p>
    <w:p w14:paraId="39B717F7" w14:textId="5C0D77A1" w:rsidR="006240AF" w:rsidRDefault="006240AF" w:rsidP="00001AA9">
      <w:pPr>
        <w:ind w:left="1298"/>
        <w:rPr>
          <w:sz w:val="22"/>
          <w:szCs w:val="22"/>
        </w:rPr>
      </w:pPr>
      <w:r w:rsidRPr="006240AF">
        <w:rPr>
          <w:sz w:val="22"/>
          <w:szCs w:val="22"/>
        </w:rPr>
        <w:t xml:space="preserve">Henkilöturvallisuusselvityksen tasosta riippuu, mitä tietolähteitä siinä käytetään (25–27, 30 §). Esimerkiksi suppean selvityksen laatimisessa käytetään väestörekisterin lisäksi muun muassa rikos- ja sakkorekisteriä sekä oikeushallinnon tietojärjestelmää. </w:t>
      </w:r>
      <w:r w:rsidR="004E1D31" w:rsidRPr="004E1D31">
        <w:rPr>
          <w:sz w:val="22"/>
          <w:szCs w:val="22"/>
        </w:rPr>
        <w:t xml:space="preserve">Erona suppean ja perusmuotoisen selvityksen välillä on, </w:t>
      </w:r>
      <w:r w:rsidR="004E1D31">
        <w:rPr>
          <w:sz w:val="22"/>
          <w:szCs w:val="22"/>
        </w:rPr>
        <w:t xml:space="preserve">muun muassa se, että perusmuotoista selvitystä laadittaessa tarkistetaan myös henkilön ulkomaansidonnaisuudet. </w:t>
      </w:r>
      <w:r w:rsidRPr="006240AF">
        <w:rPr>
          <w:sz w:val="22"/>
          <w:szCs w:val="22"/>
        </w:rPr>
        <w:t>Lain 32 §:ssä on erikseen säädetty rajoituksia esimerkiksi yli kymmen vuotta vanhoja sekä keskeneräisiä rikosasioita koskevien tietojen käytöstä.</w:t>
      </w:r>
      <w:r w:rsidR="004E1D31">
        <w:rPr>
          <w:sz w:val="22"/>
          <w:szCs w:val="22"/>
        </w:rPr>
        <w:t xml:space="preserve"> </w:t>
      </w:r>
    </w:p>
    <w:p w14:paraId="401F3FD6" w14:textId="77777777" w:rsidR="006240AF" w:rsidRDefault="006240AF" w:rsidP="006240AF">
      <w:pPr>
        <w:pStyle w:val="Otsikko2"/>
      </w:pPr>
      <w:r>
        <w:t>Yritysturvallisuusselvitys</w:t>
      </w:r>
    </w:p>
    <w:p w14:paraId="09E0DE2B" w14:textId="77777777" w:rsidR="00EE3D3A" w:rsidRDefault="00CD5B52" w:rsidP="00767B7B">
      <w:pPr>
        <w:ind w:left="1298"/>
        <w:rPr>
          <w:sz w:val="22"/>
          <w:szCs w:val="22"/>
        </w:rPr>
      </w:pPr>
      <w:r>
        <w:rPr>
          <w:sz w:val="22"/>
          <w:szCs w:val="22"/>
        </w:rPr>
        <w:t>Uusi t</w:t>
      </w:r>
      <w:r w:rsidR="00EE3D3A">
        <w:rPr>
          <w:sz w:val="22"/>
          <w:szCs w:val="22"/>
        </w:rPr>
        <w:t>urvallisuusselvityslaki mahdollistaa henkilöturvallisuusselvityksen lisäksi myös yrity</w:t>
      </w:r>
      <w:r>
        <w:rPr>
          <w:sz w:val="22"/>
          <w:szCs w:val="22"/>
        </w:rPr>
        <w:t>sturval</w:t>
      </w:r>
      <w:r w:rsidR="00406994">
        <w:rPr>
          <w:sz w:val="22"/>
          <w:szCs w:val="22"/>
        </w:rPr>
        <w:t>lisuusselvityksen (5 luku, 33–</w:t>
      </w:r>
      <w:r>
        <w:rPr>
          <w:sz w:val="22"/>
          <w:szCs w:val="22"/>
        </w:rPr>
        <w:t xml:space="preserve">40 §). </w:t>
      </w:r>
      <w:r w:rsidR="005F7017">
        <w:rPr>
          <w:sz w:val="22"/>
          <w:szCs w:val="22"/>
        </w:rPr>
        <w:t>Lain tavoitteena on ollut kehitt</w:t>
      </w:r>
      <w:r w:rsidR="00133BF3">
        <w:rPr>
          <w:sz w:val="22"/>
          <w:szCs w:val="22"/>
        </w:rPr>
        <w:t>ä</w:t>
      </w:r>
      <w:r w:rsidR="005F7017">
        <w:rPr>
          <w:sz w:val="22"/>
          <w:szCs w:val="22"/>
        </w:rPr>
        <w:t xml:space="preserve">ä tietoturvallisuutta valtionhallinnossa mahdollistamalla yritysten taustojen selvittämisen erityisesti tilanteissa, joissa yrityksille luovutetaan luokiteltuja salassa pidettäviä tietoja. </w:t>
      </w:r>
      <w:r w:rsidR="00767B7B">
        <w:rPr>
          <w:sz w:val="22"/>
          <w:szCs w:val="22"/>
        </w:rPr>
        <w:t>Sääntelyn perusteella y</w:t>
      </w:r>
      <w:r w:rsidR="00767B7B" w:rsidRPr="00767B7B">
        <w:rPr>
          <w:sz w:val="22"/>
          <w:szCs w:val="22"/>
        </w:rPr>
        <w:t>ritysturvallisuusselvitystä voi hakea</w:t>
      </w:r>
      <w:r w:rsidR="00767B7B">
        <w:rPr>
          <w:sz w:val="22"/>
          <w:szCs w:val="22"/>
        </w:rPr>
        <w:t xml:space="preserve"> </w:t>
      </w:r>
      <w:r w:rsidR="00767B7B" w:rsidRPr="00767B7B">
        <w:rPr>
          <w:sz w:val="22"/>
          <w:szCs w:val="22"/>
        </w:rPr>
        <w:t>viranomainen, jonka on tarkoitus tehdä sopimus selvityksen kohteen kanssa, jos sopimuksen yhteydessä yritykselle annetaan tai sopimuksen johdosta syntyy suojaustasoon I–III kuulu</w:t>
      </w:r>
      <w:r w:rsidR="00767B7B">
        <w:rPr>
          <w:sz w:val="22"/>
          <w:szCs w:val="22"/>
        </w:rPr>
        <w:t xml:space="preserve">vaksi luokiteltuja asiakirjoja. Sama oikeus on </w:t>
      </w:r>
      <w:r w:rsidR="00767B7B" w:rsidRPr="00767B7B">
        <w:rPr>
          <w:sz w:val="22"/>
          <w:szCs w:val="22"/>
        </w:rPr>
        <w:t>viranomaisen toimeksiannosta valtionhallinnon hankinnoista vastaava</w:t>
      </w:r>
      <w:r w:rsidR="00767B7B">
        <w:rPr>
          <w:sz w:val="22"/>
          <w:szCs w:val="22"/>
        </w:rPr>
        <w:t>lla</w:t>
      </w:r>
      <w:r w:rsidR="00767B7B" w:rsidRPr="00767B7B">
        <w:rPr>
          <w:sz w:val="22"/>
          <w:szCs w:val="22"/>
        </w:rPr>
        <w:t xml:space="preserve"> yksik</w:t>
      </w:r>
      <w:r w:rsidR="00767B7B">
        <w:rPr>
          <w:sz w:val="22"/>
          <w:szCs w:val="22"/>
        </w:rPr>
        <w:t xml:space="preserve">öllä tai </w:t>
      </w:r>
      <w:r w:rsidR="00767B7B" w:rsidRPr="00767B7B">
        <w:rPr>
          <w:sz w:val="22"/>
          <w:szCs w:val="22"/>
        </w:rPr>
        <w:t>valtionhallinnolle yhteisiä tai laajaan käyttöön tarkoitettuja tieto- ja vies</w:t>
      </w:r>
      <w:r w:rsidR="00767B7B">
        <w:rPr>
          <w:sz w:val="22"/>
          <w:szCs w:val="22"/>
        </w:rPr>
        <w:t xml:space="preserve">tintekniikkapalveluja tuottavalla yksiköllä. </w:t>
      </w:r>
    </w:p>
    <w:p w14:paraId="12B7E0E7" w14:textId="77777777" w:rsidR="006240AF" w:rsidRDefault="006240AF" w:rsidP="006240AF">
      <w:pPr>
        <w:pStyle w:val="Otsikko2"/>
      </w:pPr>
      <w:r>
        <w:t>Muut selvityksen laatimista koskevat säännökset</w:t>
      </w:r>
    </w:p>
    <w:p w14:paraId="333BCA1F" w14:textId="77777777" w:rsidR="00765289" w:rsidRDefault="006240AF" w:rsidP="006240AF">
      <w:pPr>
        <w:rPr>
          <w:sz w:val="22"/>
          <w:szCs w:val="22"/>
        </w:rPr>
      </w:pPr>
      <w:r>
        <w:rPr>
          <w:sz w:val="22"/>
          <w:szCs w:val="22"/>
        </w:rPr>
        <w:t xml:space="preserve">Selvityksen voimassaolo </w:t>
      </w:r>
    </w:p>
    <w:p w14:paraId="17C5D6B0" w14:textId="77777777" w:rsidR="006240AF" w:rsidRDefault="006240AF" w:rsidP="006240AF">
      <w:pPr>
        <w:rPr>
          <w:sz w:val="22"/>
          <w:szCs w:val="22"/>
        </w:rPr>
      </w:pPr>
    </w:p>
    <w:p w14:paraId="1BC9E619" w14:textId="77777777" w:rsidR="00C90CAE" w:rsidRDefault="00765289" w:rsidP="00767B7B">
      <w:pPr>
        <w:ind w:left="1298"/>
        <w:rPr>
          <w:sz w:val="22"/>
          <w:szCs w:val="22"/>
        </w:rPr>
      </w:pPr>
      <w:r>
        <w:rPr>
          <w:sz w:val="22"/>
          <w:szCs w:val="22"/>
        </w:rPr>
        <w:t xml:space="preserve">Uuden lain tavoitteena on ollut </w:t>
      </w:r>
      <w:r w:rsidR="005F7017">
        <w:rPr>
          <w:sz w:val="22"/>
          <w:szCs w:val="22"/>
        </w:rPr>
        <w:t>yhdenmukaistaa ja tehostaa viranomaisten menettelyjä turvallisuusselvityksiä laadittaessa. Käyttöön on otettu turval</w:t>
      </w:r>
      <w:r w:rsidR="001F5823">
        <w:rPr>
          <w:sz w:val="22"/>
          <w:szCs w:val="22"/>
        </w:rPr>
        <w:t xml:space="preserve">lisuusselvitystodistus, jonka useiden eri viranomaisten tiloissa työskentelevä henkilö voisi esittää. Todistuksen </w:t>
      </w:r>
      <w:r w:rsidR="005F7017">
        <w:rPr>
          <w:sz w:val="22"/>
          <w:szCs w:val="22"/>
        </w:rPr>
        <w:t xml:space="preserve">tarkoituksena on </w:t>
      </w:r>
      <w:r>
        <w:rPr>
          <w:sz w:val="22"/>
          <w:szCs w:val="22"/>
        </w:rPr>
        <w:t xml:space="preserve">estää </w:t>
      </w:r>
      <w:r w:rsidR="005F7017">
        <w:rPr>
          <w:sz w:val="22"/>
          <w:szCs w:val="22"/>
        </w:rPr>
        <w:t xml:space="preserve">samaa henkilöä koskevien selvitysten laatiminen tarpeettomasti. </w:t>
      </w:r>
    </w:p>
    <w:p w14:paraId="2B8CFD7D" w14:textId="77777777" w:rsidR="00C90CAE" w:rsidRDefault="00C90CAE" w:rsidP="00767B7B">
      <w:pPr>
        <w:ind w:left="1298"/>
        <w:rPr>
          <w:sz w:val="22"/>
          <w:szCs w:val="22"/>
        </w:rPr>
      </w:pPr>
    </w:p>
    <w:p w14:paraId="5AE564EC" w14:textId="77777777" w:rsidR="00C90CAE" w:rsidRDefault="005F7017" w:rsidP="00767B7B">
      <w:pPr>
        <w:ind w:left="1298"/>
        <w:rPr>
          <w:sz w:val="22"/>
          <w:szCs w:val="22"/>
        </w:rPr>
      </w:pPr>
      <w:r>
        <w:rPr>
          <w:sz w:val="22"/>
          <w:szCs w:val="22"/>
        </w:rPr>
        <w:t xml:space="preserve">Käyttöön on otettu myös turvallisuusselvitysrekisteri, johon eräille viranomaisille on myönnetty tekninen käyttöyhteys. </w:t>
      </w:r>
    </w:p>
    <w:p w14:paraId="2D5D9AA3" w14:textId="77777777" w:rsidR="00C90CAE" w:rsidRDefault="00C90CAE" w:rsidP="00767B7B">
      <w:pPr>
        <w:ind w:left="1298"/>
        <w:rPr>
          <w:sz w:val="22"/>
          <w:szCs w:val="22"/>
        </w:rPr>
      </w:pPr>
    </w:p>
    <w:p w14:paraId="7B021E14" w14:textId="4D4EE7D9" w:rsidR="006240AF" w:rsidRDefault="001F5823" w:rsidP="00767B7B">
      <w:pPr>
        <w:ind w:left="1298"/>
        <w:rPr>
          <w:sz w:val="22"/>
          <w:szCs w:val="22"/>
        </w:rPr>
      </w:pPr>
      <w:r>
        <w:rPr>
          <w:sz w:val="22"/>
          <w:szCs w:val="22"/>
        </w:rPr>
        <w:t>L</w:t>
      </w:r>
      <w:r w:rsidR="005F7017">
        <w:rPr>
          <w:sz w:val="22"/>
          <w:szCs w:val="22"/>
        </w:rPr>
        <w:t xml:space="preserve">aissa on säädetty turvallisuusselvityksen </w:t>
      </w:r>
      <w:r w:rsidR="00C90CAE">
        <w:rPr>
          <w:sz w:val="22"/>
          <w:szCs w:val="22"/>
        </w:rPr>
        <w:t xml:space="preserve">ja turvallisuusselvitystodistuksen </w:t>
      </w:r>
      <w:r w:rsidR="005F7017">
        <w:rPr>
          <w:sz w:val="22"/>
          <w:szCs w:val="22"/>
        </w:rPr>
        <w:t xml:space="preserve">voimassaoloajaksi </w:t>
      </w:r>
      <w:r w:rsidR="0034723D">
        <w:rPr>
          <w:sz w:val="22"/>
          <w:szCs w:val="22"/>
        </w:rPr>
        <w:t xml:space="preserve">enintään </w:t>
      </w:r>
      <w:r w:rsidR="00C90CAE">
        <w:rPr>
          <w:sz w:val="22"/>
          <w:szCs w:val="22"/>
        </w:rPr>
        <w:t xml:space="preserve">viisi vuotta </w:t>
      </w:r>
      <w:r w:rsidR="00C90CAE" w:rsidRPr="00C90CAE">
        <w:rPr>
          <w:sz w:val="22"/>
          <w:szCs w:val="22"/>
        </w:rPr>
        <w:t>(53 §). Selvitys voidaan</w:t>
      </w:r>
      <w:r w:rsidR="00C90CAE">
        <w:rPr>
          <w:sz w:val="22"/>
          <w:szCs w:val="22"/>
        </w:rPr>
        <w:t xml:space="preserve"> uusia esimerkiksi, jos </w:t>
      </w:r>
      <w:r w:rsidR="00C90CAE" w:rsidRPr="00C90CAE">
        <w:rPr>
          <w:sz w:val="22"/>
          <w:szCs w:val="22"/>
        </w:rPr>
        <w:t xml:space="preserve">selvityksen kohteen tehtävissä tai hänen olosuhteissaan </w:t>
      </w:r>
      <w:r w:rsidR="00C90CAE">
        <w:rPr>
          <w:sz w:val="22"/>
          <w:szCs w:val="22"/>
        </w:rPr>
        <w:t xml:space="preserve">on tapahtunut muutos, joka tulee ottaa huomioon selvitystä laadittaessa (54 §). </w:t>
      </w:r>
    </w:p>
    <w:p w14:paraId="67215176" w14:textId="77777777" w:rsidR="00792150" w:rsidRDefault="00792150" w:rsidP="00767B7B">
      <w:pPr>
        <w:ind w:left="1298"/>
        <w:rPr>
          <w:sz w:val="22"/>
          <w:szCs w:val="22"/>
        </w:rPr>
      </w:pPr>
    </w:p>
    <w:p w14:paraId="531FC660" w14:textId="77777777" w:rsidR="006240AF" w:rsidRDefault="006240AF" w:rsidP="006240AF">
      <w:pPr>
        <w:rPr>
          <w:sz w:val="22"/>
          <w:szCs w:val="22"/>
        </w:rPr>
      </w:pPr>
      <w:r>
        <w:rPr>
          <w:sz w:val="22"/>
          <w:szCs w:val="22"/>
        </w:rPr>
        <w:t>Selvityksen sisältö ja merkitys</w:t>
      </w:r>
    </w:p>
    <w:p w14:paraId="050A3F9F" w14:textId="77777777" w:rsidR="005F7017" w:rsidRDefault="005F7017" w:rsidP="00767B7B">
      <w:pPr>
        <w:ind w:left="1298"/>
        <w:rPr>
          <w:sz w:val="22"/>
          <w:szCs w:val="22"/>
        </w:rPr>
      </w:pPr>
    </w:p>
    <w:p w14:paraId="75377C11" w14:textId="77777777" w:rsidR="005F7017" w:rsidRDefault="001F5823" w:rsidP="00767B7B">
      <w:pPr>
        <w:ind w:left="1298"/>
        <w:rPr>
          <w:sz w:val="22"/>
          <w:szCs w:val="22"/>
        </w:rPr>
      </w:pPr>
      <w:r>
        <w:rPr>
          <w:sz w:val="22"/>
          <w:szCs w:val="22"/>
        </w:rPr>
        <w:t>T</w:t>
      </w:r>
      <w:r w:rsidR="005F7017">
        <w:rPr>
          <w:sz w:val="22"/>
          <w:szCs w:val="22"/>
        </w:rPr>
        <w:t>urvallisu</w:t>
      </w:r>
      <w:r>
        <w:rPr>
          <w:sz w:val="22"/>
          <w:szCs w:val="22"/>
        </w:rPr>
        <w:t xml:space="preserve">usselvitys ei sido sen hakijaa (42 §). </w:t>
      </w:r>
      <w:r w:rsidR="0034723D">
        <w:rPr>
          <w:sz w:val="22"/>
          <w:szCs w:val="22"/>
        </w:rPr>
        <w:t xml:space="preserve">Selvitys ei myöskään saa sisältää suojelupoliisin arviota kohteena olevan henkilön nuhteettomuudesta, luotettavuudesta tai sopivuudesta kyseessä olevaan virkaan tai tehtävään. </w:t>
      </w:r>
      <w:r w:rsidR="00425FE7">
        <w:rPr>
          <w:sz w:val="22"/>
          <w:szCs w:val="22"/>
        </w:rPr>
        <w:t>Näin ollen selvityksessä tuodaan esiin, mitä edellä todetuista rekistereistä tai niiden tietoja yhdistämällä on saatu selville. K</w:t>
      </w:r>
      <w:r>
        <w:rPr>
          <w:sz w:val="22"/>
          <w:szCs w:val="22"/>
        </w:rPr>
        <w:t>unkin viranomaisen a</w:t>
      </w:r>
      <w:r w:rsidR="0034723D">
        <w:rPr>
          <w:sz w:val="22"/>
          <w:szCs w:val="22"/>
        </w:rPr>
        <w:t>rvioitavaksi jäi, mikä vaikutus</w:t>
      </w:r>
      <w:r>
        <w:rPr>
          <w:sz w:val="22"/>
          <w:szCs w:val="22"/>
        </w:rPr>
        <w:t xml:space="preserve"> selvityksessä mahdollisesti ilmenneillä tiedoilla on henkilön palkkaamiseen.</w:t>
      </w:r>
      <w:r w:rsidR="00425FE7" w:rsidRPr="00425FE7">
        <w:t xml:space="preserve"> </w:t>
      </w:r>
      <w:r w:rsidR="00425FE7">
        <w:rPr>
          <w:sz w:val="22"/>
          <w:szCs w:val="22"/>
        </w:rPr>
        <w:t>Selvityksen kohteen yksityisyyden suoja edellyttää, että selvityksen hakija huolehtii tietoturvallisuudesta eli siitä</w:t>
      </w:r>
      <w:r w:rsidR="00425FE7" w:rsidRPr="00425FE7">
        <w:rPr>
          <w:sz w:val="22"/>
          <w:szCs w:val="22"/>
        </w:rPr>
        <w:t>, että turvallisuusselvityksen sisältämiä henkilötietoja voivat käsitellä vain ne henkilöt, jotka niitä tehtävissään välttämättä tarvitsevat, ja että selvityksen ja henkilöturvallisuusselvitystodistuksen sisältämiä tietoja ei käytetä muuhun kuin hakemuksessa ilmoitettuun tarkoitukseen</w:t>
      </w:r>
      <w:r w:rsidR="00425FE7">
        <w:rPr>
          <w:sz w:val="22"/>
          <w:szCs w:val="22"/>
        </w:rPr>
        <w:t xml:space="preserve"> (45 §)</w:t>
      </w:r>
      <w:r w:rsidR="00425FE7" w:rsidRPr="00425FE7">
        <w:rPr>
          <w:sz w:val="22"/>
          <w:szCs w:val="22"/>
        </w:rPr>
        <w:t xml:space="preserve">. </w:t>
      </w:r>
      <w:r w:rsidR="00425FE7">
        <w:rPr>
          <w:sz w:val="22"/>
          <w:szCs w:val="22"/>
        </w:rPr>
        <w:t xml:space="preserve">Viranomaisella on luonnollisesti salassapitovelvollisuus siltä osin </w:t>
      </w:r>
      <w:r w:rsidR="00425FE7">
        <w:rPr>
          <w:sz w:val="22"/>
          <w:szCs w:val="22"/>
        </w:rPr>
        <w:lastRenderedPageBreak/>
        <w:t xml:space="preserve">kuin selvitykseen sisältyy julkisuuslain mukaan salassa pidettävää tietoa. </w:t>
      </w:r>
      <w:r w:rsidR="00425FE7" w:rsidRPr="00425FE7">
        <w:rPr>
          <w:sz w:val="22"/>
          <w:szCs w:val="22"/>
        </w:rPr>
        <w:t>Työnantaja</w:t>
      </w:r>
      <w:r w:rsidR="00425FE7">
        <w:rPr>
          <w:sz w:val="22"/>
          <w:szCs w:val="22"/>
        </w:rPr>
        <w:t xml:space="preserve">lla on myös velvollisuus ilmoittaa </w:t>
      </w:r>
      <w:r w:rsidR="00425FE7" w:rsidRPr="00425FE7">
        <w:rPr>
          <w:sz w:val="22"/>
          <w:szCs w:val="22"/>
        </w:rPr>
        <w:t>palvelussuhteen päättymisestä henkilöturvallisuusselvityksen laatineelle tai henkilöturvallisuustodistuk</w:t>
      </w:r>
      <w:r w:rsidR="00425FE7">
        <w:rPr>
          <w:sz w:val="22"/>
          <w:szCs w:val="22"/>
        </w:rPr>
        <w:t xml:space="preserve">sen antaneelle viranomaiselle (58 §). </w:t>
      </w:r>
    </w:p>
    <w:p w14:paraId="6C9F990D" w14:textId="77777777" w:rsidR="006240AF" w:rsidRDefault="006240AF" w:rsidP="00767B7B">
      <w:pPr>
        <w:ind w:left="1298"/>
        <w:rPr>
          <w:sz w:val="22"/>
          <w:szCs w:val="22"/>
        </w:rPr>
      </w:pPr>
    </w:p>
    <w:p w14:paraId="41BF71BF" w14:textId="77777777" w:rsidR="006240AF" w:rsidRDefault="006240AF" w:rsidP="006240AF">
      <w:pPr>
        <w:rPr>
          <w:sz w:val="22"/>
          <w:szCs w:val="22"/>
        </w:rPr>
      </w:pPr>
      <w:r>
        <w:rPr>
          <w:sz w:val="22"/>
          <w:szCs w:val="22"/>
        </w:rPr>
        <w:t>Selvityksestä aiheutuvat kustannukset</w:t>
      </w:r>
    </w:p>
    <w:p w14:paraId="687B871F" w14:textId="77777777" w:rsidR="00425FE7" w:rsidRDefault="00425FE7" w:rsidP="00767B7B">
      <w:pPr>
        <w:ind w:left="1298"/>
        <w:rPr>
          <w:sz w:val="22"/>
          <w:szCs w:val="22"/>
        </w:rPr>
      </w:pPr>
    </w:p>
    <w:p w14:paraId="65FBAF30" w14:textId="747B31BD" w:rsidR="00425FE7" w:rsidRDefault="00425FE7" w:rsidP="00767B7B">
      <w:pPr>
        <w:ind w:left="1298"/>
        <w:rPr>
          <w:sz w:val="22"/>
          <w:szCs w:val="22"/>
        </w:rPr>
      </w:pPr>
      <w:r>
        <w:rPr>
          <w:sz w:val="22"/>
          <w:szCs w:val="22"/>
        </w:rPr>
        <w:t xml:space="preserve">Turvallisuusselvityksen laatimisesta </w:t>
      </w:r>
      <w:r w:rsidRPr="00425FE7">
        <w:rPr>
          <w:sz w:val="22"/>
          <w:szCs w:val="22"/>
        </w:rPr>
        <w:t>peritään hakijalta maksu valtion maksuperustelai</w:t>
      </w:r>
      <w:r>
        <w:rPr>
          <w:sz w:val="22"/>
          <w:szCs w:val="22"/>
        </w:rPr>
        <w:t xml:space="preserve">n </w:t>
      </w:r>
      <w:r w:rsidRPr="00425FE7">
        <w:rPr>
          <w:sz w:val="22"/>
          <w:szCs w:val="22"/>
        </w:rPr>
        <w:t xml:space="preserve">(150/1992) </w:t>
      </w:r>
      <w:r>
        <w:rPr>
          <w:sz w:val="22"/>
          <w:szCs w:val="22"/>
        </w:rPr>
        <w:t xml:space="preserve">mukaisesti. Tällä hetkellä </w:t>
      </w:r>
      <w:r w:rsidR="00A55F2E">
        <w:rPr>
          <w:sz w:val="22"/>
          <w:szCs w:val="22"/>
        </w:rPr>
        <w:t>s</w:t>
      </w:r>
      <w:r w:rsidR="00A55F2E" w:rsidRPr="00A55F2E">
        <w:rPr>
          <w:sz w:val="22"/>
          <w:szCs w:val="22"/>
        </w:rPr>
        <w:t>uppea turval</w:t>
      </w:r>
      <w:r w:rsidR="00A55F2E">
        <w:rPr>
          <w:sz w:val="22"/>
          <w:szCs w:val="22"/>
        </w:rPr>
        <w:t>lisuusselvitys maksaa 55 euroa ja per</w:t>
      </w:r>
      <w:r w:rsidR="00A55F2E" w:rsidRPr="00A55F2E">
        <w:rPr>
          <w:sz w:val="22"/>
          <w:szCs w:val="22"/>
        </w:rPr>
        <w:t>usmuotoinen 102 euroa. Suojelupoliisi laskuttaa kaikki tehdyt selvityksen tie</w:t>
      </w:r>
      <w:r w:rsidR="00A55F2E">
        <w:rPr>
          <w:sz w:val="22"/>
          <w:szCs w:val="22"/>
        </w:rPr>
        <w:t xml:space="preserve">tyin väliajoin, jolloin </w:t>
      </w:r>
      <w:r w:rsidR="00A55F2E" w:rsidRPr="00A55F2E">
        <w:rPr>
          <w:sz w:val="22"/>
          <w:szCs w:val="22"/>
        </w:rPr>
        <w:t>ne kohdennetaan selvityksiä</w:t>
      </w:r>
      <w:r w:rsidR="00F37E14">
        <w:rPr>
          <w:sz w:val="22"/>
          <w:szCs w:val="22"/>
        </w:rPr>
        <w:t xml:space="preserve"> pyytäneille</w:t>
      </w:r>
      <w:r w:rsidR="00A55F2E" w:rsidRPr="00A55F2E">
        <w:rPr>
          <w:sz w:val="22"/>
          <w:szCs w:val="22"/>
        </w:rPr>
        <w:t xml:space="preserve"> tahoille.</w:t>
      </w:r>
    </w:p>
    <w:p w14:paraId="037CB91B" w14:textId="0F7E08DB" w:rsidR="002817D1" w:rsidRDefault="006240AF" w:rsidP="002817D1">
      <w:pPr>
        <w:pStyle w:val="Otsikko1"/>
      </w:pPr>
      <w:r>
        <w:t>Nykytilan arviointi</w:t>
      </w:r>
    </w:p>
    <w:p w14:paraId="71267F8A" w14:textId="39DDA1FA" w:rsidR="00324E0D" w:rsidRPr="00324E0D" w:rsidRDefault="00324E0D" w:rsidP="00324E0D">
      <w:pPr>
        <w:pStyle w:val="Otsikko2"/>
      </w:pPr>
      <w:r>
        <w:t>Turvallisuusselvitysten tarve</w:t>
      </w:r>
    </w:p>
    <w:p w14:paraId="7F894FC9" w14:textId="77777777" w:rsidR="00324E0D" w:rsidRDefault="00017E83" w:rsidP="00930D2A">
      <w:pPr>
        <w:ind w:left="1298"/>
        <w:rPr>
          <w:sz w:val="22"/>
          <w:szCs w:val="22"/>
        </w:rPr>
      </w:pPr>
      <w:r>
        <w:rPr>
          <w:sz w:val="22"/>
          <w:szCs w:val="22"/>
        </w:rPr>
        <w:t xml:space="preserve">Tuomioistuinten henkilöstön turvallisuusselvitysten arvioinnissa lähtökohdaksi </w:t>
      </w:r>
      <w:r w:rsidR="00944DFF">
        <w:rPr>
          <w:sz w:val="22"/>
          <w:szCs w:val="22"/>
        </w:rPr>
        <w:t xml:space="preserve">voidaan </w:t>
      </w:r>
      <w:r>
        <w:rPr>
          <w:sz w:val="22"/>
          <w:szCs w:val="22"/>
        </w:rPr>
        <w:t>ottaa oikeusministeriössä tehty turvallisu</w:t>
      </w:r>
      <w:r w:rsidR="006212FF">
        <w:rPr>
          <w:sz w:val="22"/>
          <w:szCs w:val="22"/>
        </w:rPr>
        <w:t>usselvitysten tarpeen arviointi</w:t>
      </w:r>
      <w:r>
        <w:rPr>
          <w:sz w:val="22"/>
          <w:szCs w:val="22"/>
        </w:rPr>
        <w:t xml:space="preserve">. </w:t>
      </w:r>
      <w:r w:rsidR="00944DFF">
        <w:rPr>
          <w:sz w:val="22"/>
          <w:szCs w:val="22"/>
        </w:rPr>
        <w:t xml:space="preserve">Tuomioistuinlaitoksen tehtävät ovat kuitenkin hyvin erilaiset kuin valtioneuvostolla, eikä näitä eri tehtäviä voida täysin rinnastaa toisiinsa arvioitaessa valtion turvallisuutta. Selvää kuitenkin on, että tuomioistuinlaitoksen toimivuus ja sen suojeleminen turvallisuusuhilta on itseisarvo sinänsä. Turvallisuuteen liittyvien näkökohtien huomioon ottaminen on entistä tärkeämpää nyky-yhteiskunnassa. Myös tuomioistuinlaitoksen palveluksessa olevan ja sen tiloissa toimivan henkilöstön </w:t>
      </w:r>
      <w:r w:rsidR="006212FF">
        <w:rPr>
          <w:sz w:val="22"/>
          <w:szCs w:val="22"/>
        </w:rPr>
        <w:t xml:space="preserve">taustat ja </w:t>
      </w:r>
      <w:r w:rsidR="00944DFF">
        <w:rPr>
          <w:sz w:val="22"/>
          <w:szCs w:val="22"/>
        </w:rPr>
        <w:t xml:space="preserve">nuhteettomuus tulee voida </w:t>
      </w:r>
      <w:r w:rsidR="006212FF">
        <w:rPr>
          <w:sz w:val="22"/>
          <w:szCs w:val="22"/>
        </w:rPr>
        <w:t>arvioida</w:t>
      </w:r>
      <w:r w:rsidR="00944DFF">
        <w:rPr>
          <w:sz w:val="22"/>
          <w:szCs w:val="22"/>
        </w:rPr>
        <w:t xml:space="preserve">. Toisaalta </w:t>
      </w:r>
      <w:r>
        <w:rPr>
          <w:sz w:val="22"/>
          <w:szCs w:val="22"/>
        </w:rPr>
        <w:t>arvioinnis</w:t>
      </w:r>
      <w:r w:rsidR="00944DFF">
        <w:rPr>
          <w:sz w:val="22"/>
          <w:szCs w:val="22"/>
        </w:rPr>
        <w:t xml:space="preserve">sa on erityisesti tuomareita ja muita lainkäyttötehtävissä toimivia koskien otettava huomioon </w:t>
      </w:r>
      <w:r w:rsidR="009D226D">
        <w:rPr>
          <w:sz w:val="22"/>
          <w:szCs w:val="22"/>
        </w:rPr>
        <w:t>perustuslaissa säädetyt</w:t>
      </w:r>
      <w:r w:rsidR="00944DFF">
        <w:rPr>
          <w:sz w:val="22"/>
          <w:szCs w:val="22"/>
        </w:rPr>
        <w:t xml:space="preserve"> tuomioistuinlaitoksen </w:t>
      </w:r>
      <w:r>
        <w:rPr>
          <w:sz w:val="22"/>
          <w:szCs w:val="22"/>
        </w:rPr>
        <w:t>riippumatto</w:t>
      </w:r>
      <w:r w:rsidR="00944DFF">
        <w:rPr>
          <w:sz w:val="22"/>
          <w:szCs w:val="22"/>
        </w:rPr>
        <w:t>muus</w:t>
      </w:r>
      <w:r w:rsidR="009D226D">
        <w:rPr>
          <w:sz w:val="22"/>
          <w:szCs w:val="22"/>
        </w:rPr>
        <w:t xml:space="preserve"> ja tuomareiden virassapysymisoikeus</w:t>
      </w:r>
      <w:r w:rsidR="006212FF">
        <w:rPr>
          <w:sz w:val="22"/>
          <w:szCs w:val="22"/>
        </w:rPr>
        <w:t xml:space="preserve">, kuten myös </w:t>
      </w:r>
      <w:r>
        <w:rPr>
          <w:sz w:val="22"/>
          <w:szCs w:val="22"/>
        </w:rPr>
        <w:t>tuomarin tehtäväs</w:t>
      </w:r>
      <w:r w:rsidR="009D226D">
        <w:rPr>
          <w:sz w:val="22"/>
          <w:szCs w:val="22"/>
        </w:rPr>
        <w:t xml:space="preserve">sä toimivalta jo </w:t>
      </w:r>
      <w:r>
        <w:rPr>
          <w:sz w:val="22"/>
          <w:szCs w:val="22"/>
        </w:rPr>
        <w:t xml:space="preserve">muutoinkin edellytetty erityinen luotettavuus. </w:t>
      </w:r>
    </w:p>
    <w:p w14:paraId="0D2CCA8E" w14:textId="2FDAF9CF" w:rsidR="00324E0D" w:rsidRDefault="00324E0D" w:rsidP="00324E0D">
      <w:pPr>
        <w:rPr>
          <w:sz w:val="22"/>
          <w:szCs w:val="22"/>
        </w:rPr>
      </w:pPr>
    </w:p>
    <w:p w14:paraId="7EAE45B9" w14:textId="2B8BDA9A" w:rsidR="00324E0D" w:rsidRDefault="00324E0D" w:rsidP="00324E0D">
      <w:pPr>
        <w:rPr>
          <w:sz w:val="22"/>
          <w:szCs w:val="22"/>
        </w:rPr>
      </w:pPr>
      <w:r>
        <w:rPr>
          <w:sz w:val="22"/>
          <w:szCs w:val="22"/>
        </w:rPr>
        <w:t>Tuomareiden kelpoisuus ja nimittäminen</w:t>
      </w:r>
    </w:p>
    <w:p w14:paraId="2F4E064F" w14:textId="77777777" w:rsidR="00324E0D" w:rsidRDefault="00324E0D" w:rsidP="00324E0D">
      <w:pPr>
        <w:rPr>
          <w:sz w:val="22"/>
          <w:szCs w:val="22"/>
        </w:rPr>
      </w:pPr>
    </w:p>
    <w:p w14:paraId="2880F394" w14:textId="1B57AA4B" w:rsidR="0012090B" w:rsidRDefault="00930D2A" w:rsidP="00930D2A">
      <w:pPr>
        <w:ind w:left="1298"/>
        <w:rPr>
          <w:sz w:val="22"/>
          <w:szCs w:val="22"/>
        </w:rPr>
      </w:pPr>
      <w:r>
        <w:rPr>
          <w:sz w:val="22"/>
          <w:szCs w:val="22"/>
        </w:rPr>
        <w:t>Tuomareihin sovelletaan perustuslain 125 §:ssä säädettyjä virkamiesten y</w:t>
      </w:r>
      <w:r w:rsidRPr="00930D2A">
        <w:rPr>
          <w:sz w:val="22"/>
          <w:szCs w:val="22"/>
        </w:rPr>
        <w:t>leis</w:t>
      </w:r>
      <w:r>
        <w:rPr>
          <w:sz w:val="22"/>
          <w:szCs w:val="22"/>
        </w:rPr>
        <w:t>iä ni</w:t>
      </w:r>
      <w:r w:rsidRPr="00930D2A">
        <w:rPr>
          <w:sz w:val="22"/>
          <w:szCs w:val="22"/>
        </w:rPr>
        <w:t>mitysperuste</w:t>
      </w:r>
      <w:r>
        <w:rPr>
          <w:sz w:val="22"/>
          <w:szCs w:val="22"/>
        </w:rPr>
        <w:t xml:space="preserve">ita: </w:t>
      </w:r>
      <w:r w:rsidRPr="00930D2A">
        <w:rPr>
          <w:sz w:val="22"/>
          <w:szCs w:val="22"/>
        </w:rPr>
        <w:t>taito, kyky ja</w:t>
      </w:r>
      <w:r>
        <w:rPr>
          <w:sz w:val="22"/>
          <w:szCs w:val="22"/>
        </w:rPr>
        <w:t xml:space="preserve"> </w:t>
      </w:r>
      <w:r w:rsidRPr="00930D2A">
        <w:rPr>
          <w:sz w:val="22"/>
          <w:szCs w:val="22"/>
        </w:rPr>
        <w:t xml:space="preserve">koeteltu kansalaiskunto. </w:t>
      </w:r>
      <w:r w:rsidR="0012090B">
        <w:rPr>
          <w:sz w:val="22"/>
          <w:szCs w:val="22"/>
        </w:rPr>
        <w:t xml:space="preserve">Perustuslain esitöiden (HE 1/1998 vp) </w:t>
      </w:r>
      <w:r w:rsidR="002B3B77">
        <w:rPr>
          <w:sz w:val="22"/>
          <w:szCs w:val="22"/>
        </w:rPr>
        <w:t xml:space="preserve">mukaan </w:t>
      </w:r>
      <w:r w:rsidR="0012090B">
        <w:rPr>
          <w:sz w:val="22"/>
          <w:szCs w:val="22"/>
        </w:rPr>
        <w:t>t</w:t>
      </w:r>
      <w:r w:rsidR="0012090B" w:rsidRPr="0012090B">
        <w:rPr>
          <w:sz w:val="22"/>
          <w:szCs w:val="22"/>
        </w:rPr>
        <w:t>aidolla</w:t>
      </w:r>
      <w:r w:rsidR="0012090B">
        <w:rPr>
          <w:sz w:val="22"/>
          <w:szCs w:val="22"/>
        </w:rPr>
        <w:t xml:space="preserve"> </w:t>
      </w:r>
      <w:r w:rsidR="0012090B" w:rsidRPr="0012090B">
        <w:rPr>
          <w:sz w:val="22"/>
          <w:szCs w:val="22"/>
        </w:rPr>
        <w:t>tarkoitetaan lähinnä koulutuksen tai työkokemuksen</w:t>
      </w:r>
      <w:r w:rsidR="0012090B">
        <w:rPr>
          <w:sz w:val="22"/>
          <w:szCs w:val="22"/>
        </w:rPr>
        <w:t xml:space="preserve"> </w:t>
      </w:r>
      <w:r w:rsidR="0012090B" w:rsidRPr="0012090B">
        <w:rPr>
          <w:sz w:val="22"/>
          <w:szCs w:val="22"/>
        </w:rPr>
        <w:t>avulla hankittuja tietoja ja taitoja.</w:t>
      </w:r>
      <w:r w:rsidR="0012090B">
        <w:rPr>
          <w:sz w:val="22"/>
          <w:szCs w:val="22"/>
        </w:rPr>
        <w:t xml:space="preserve"> </w:t>
      </w:r>
      <w:r w:rsidR="0012090B" w:rsidRPr="0012090B">
        <w:rPr>
          <w:sz w:val="22"/>
          <w:szCs w:val="22"/>
        </w:rPr>
        <w:t>Kyvyllä viitataan yleisesti tuloksellisen työskentelyn</w:t>
      </w:r>
      <w:r w:rsidR="0012090B">
        <w:rPr>
          <w:sz w:val="22"/>
          <w:szCs w:val="22"/>
        </w:rPr>
        <w:t xml:space="preserve"> </w:t>
      </w:r>
      <w:r w:rsidR="0012090B" w:rsidRPr="0012090B">
        <w:rPr>
          <w:sz w:val="22"/>
          <w:szCs w:val="22"/>
        </w:rPr>
        <w:t>edellyttämiin henkilön ominaisuuksiin,</w:t>
      </w:r>
      <w:r w:rsidR="0012090B">
        <w:rPr>
          <w:sz w:val="22"/>
          <w:szCs w:val="22"/>
        </w:rPr>
        <w:t xml:space="preserve"> </w:t>
      </w:r>
      <w:r w:rsidR="0012090B" w:rsidRPr="0012090B">
        <w:rPr>
          <w:sz w:val="22"/>
          <w:szCs w:val="22"/>
        </w:rPr>
        <w:t>kuten luontaiseen lahjakkuuteen, järjestelykykyyn,</w:t>
      </w:r>
      <w:r w:rsidR="0012090B">
        <w:rPr>
          <w:sz w:val="22"/>
          <w:szCs w:val="22"/>
        </w:rPr>
        <w:t xml:space="preserve"> </w:t>
      </w:r>
      <w:r w:rsidR="0012090B" w:rsidRPr="0012090B">
        <w:rPr>
          <w:sz w:val="22"/>
          <w:szCs w:val="22"/>
        </w:rPr>
        <w:t>aloitteellisuuteen ja muihin vastaaviin</w:t>
      </w:r>
      <w:r w:rsidR="0012090B">
        <w:rPr>
          <w:sz w:val="22"/>
          <w:szCs w:val="22"/>
        </w:rPr>
        <w:t xml:space="preserve"> </w:t>
      </w:r>
      <w:r w:rsidR="0012090B" w:rsidRPr="0012090B">
        <w:rPr>
          <w:sz w:val="22"/>
          <w:szCs w:val="22"/>
        </w:rPr>
        <w:t>tehtävien hoitamisen kannalta tarpeellisiin</w:t>
      </w:r>
      <w:r w:rsidR="0012090B">
        <w:rPr>
          <w:sz w:val="22"/>
          <w:szCs w:val="22"/>
        </w:rPr>
        <w:t xml:space="preserve"> </w:t>
      </w:r>
      <w:r w:rsidR="0012090B" w:rsidRPr="0012090B">
        <w:rPr>
          <w:sz w:val="22"/>
          <w:szCs w:val="22"/>
        </w:rPr>
        <w:t>kykyihin. Koetellulla kansalaiskunnolla</w:t>
      </w:r>
      <w:r w:rsidR="0012090B">
        <w:rPr>
          <w:sz w:val="22"/>
          <w:szCs w:val="22"/>
        </w:rPr>
        <w:t xml:space="preserve"> </w:t>
      </w:r>
      <w:r w:rsidR="0012090B" w:rsidRPr="0012090B">
        <w:rPr>
          <w:sz w:val="22"/>
          <w:szCs w:val="22"/>
        </w:rPr>
        <w:t>tarkoitetaan yleisessä kansalaistoiminnassa</w:t>
      </w:r>
      <w:r w:rsidR="0012090B">
        <w:rPr>
          <w:sz w:val="22"/>
          <w:szCs w:val="22"/>
        </w:rPr>
        <w:t xml:space="preserve"> </w:t>
      </w:r>
      <w:r w:rsidR="0012090B" w:rsidRPr="0012090B">
        <w:rPr>
          <w:sz w:val="22"/>
          <w:szCs w:val="22"/>
        </w:rPr>
        <w:t>saatuja viran hoidon kannalta merkityksellisiä</w:t>
      </w:r>
      <w:r w:rsidR="0012090B">
        <w:rPr>
          <w:sz w:val="22"/>
          <w:szCs w:val="22"/>
        </w:rPr>
        <w:t xml:space="preserve"> </w:t>
      </w:r>
      <w:r w:rsidR="0012090B" w:rsidRPr="0012090B">
        <w:rPr>
          <w:sz w:val="22"/>
          <w:szCs w:val="22"/>
        </w:rPr>
        <w:t>ansioita sekä nuhteetonta käytöstä.</w:t>
      </w:r>
      <w:r w:rsidR="0012090B">
        <w:rPr>
          <w:sz w:val="22"/>
          <w:szCs w:val="22"/>
        </w:rPr>
        <w:t xml:space="preserve"> </w:t>
      </w:r>
    </w:p>
    <w:p w14:paraId="760D45C3" w14:textId="77777777" w:rsidR="0012090B" w:rsidRDefault="0012090B" w:rsidP="00930D2A">
      <w:pPr>
        <w:ind w:left="1298"/>
        <w:rPr>
          <w:sz w:val="22"/>
          <w:szCs w:val="22"/>
        </w:rPr>
      </w:pPr>
    </w:p>
    <w:p w14:paraId="763A313D" w14:textId="77777777" w:rsidR="00017E83" w:rsidRDefault="0012090B" w:rsidP="009D226D">
      <w:pPr>
        <w:ind w:left="1298"/>
        <w:rPr>
          <w:sz w:val="22"/>
          <w:szCs w:val="22"/>
        </w:rPr>
      </w:pPr>
      <w:r>
        <w:rPr>
          <w:sz w:val="22"/>
          <w:szCs w:val="22"/>
        </w:rPr>
        <w:t>Tuomariksi voidaan nimittää vain Suomen kansalainen. T</w:t>
      </w:r>
      <w:r w:rsidR="00017E83">
        <w:rPr>
          <w:sz w:val="22"/>
          <w:szCs w:val="22"/>
        </w:rPr>
        <w:t>uomar</w:t>
      </w:r>
      <w:r>
        <w:rPr>
          <w:sz w:val="22"/>
          <w:szCs w:val="22"/>
        </w:rPr>
        <w:t xml:space="preserve">in </w:t>
      </w:r>
      <w:r w:rsidR="00017E83">
        <w:rPr>
          <w:sz w:val="22"/>
          <w:szCs w:val="22"/>
        </w:rPr>
        <w:t xml:space="preserve">kelpoisuusvaatimuksena on </w:t>
      </w:r>
      <w:r>
        <w:rPr>
          <w:sz w:val="22"/>
          <w:szCs w:val="22"/>
        </w:rPr>
        <w:t>laissa säädettyjen tutkintovaatimusten ja viran menestyksellisen hoitamisen edellyttäm</w:t>
      </w:r>
      <w:r w:rsidR="006212FF">
        <w:rPr>
          <w:sz w:val="22"/>
          <w:szCs w:val="22"/>
        </w:rPr>
        <w:t xml:space="preserve">än perehtyneisyyden ja </w:t>
      </w:r>
      <w:r>
        <w:rPr>
          <w:sz w:val="22"/>
          <w:szCs w:val="22"/>
        </w:rPr>
        <w:t xml:space="preserve">henkilökohtaisten ominaisuuksien lisäksi </w:t>
      </w:r>
      <w:r w:rsidR="00017E83">
        <w:rPr>
          <w:sz w:val="22"/>
          <w:szCs w:val="22"/>
        </w:rPr>
        <w:t>oikea</w:t>
      </w:r>
      <w:r>
        <w:rPr>
          <w:sz w:val="22"/>
          <w:szCs w:val="22"/>
        </w:rPr>
        <w:t>m</w:t>
      </w:r>
      <w:r w:rsidR="00017E83">
        <w:rPr>
          <w:sz w:val="22"/>
          <w:szCs w:val="22"/>
        </w:rPr>
        <w:t>ieli</w:t>
      </w:r>
      <w:r w:rsidR="00944DFF">
        <w:rPr>
          <w:sz w:val="22"/>
          <w:szCs w:val="22"/>
        </w:rPr>
        <w:t>syys. T</w:t>
      </w:r>
      <w:r w:rsidR="00DD5B19">
        <w:rPr>
          <w:sz w:val="22"/>
          <w:szCs w:val="22"/>
        </w:rPr>
        <w:t>uomareiden nimittämistä koskevan lainsäädännön esitöiden (HE 109/1999 vp) mukaan tällä on haluttu korostaa</w:t>
      </w:r>
      <w:r w:rsidR="00930D2A" w:rsidRPr="00930D2A">
        <w:rPr>
          <w:sz w:val="22"/>
          <w:szCs w:val="22"/>
        </w:rPr>
        <w:t>,</w:t>
      </w:r>
      <w:r w:rsidR="00930D2A">
        <w:rPr>
          <w:sz w:val="22"/>
          <w:szCs w:val="22"/>
        </w:rPr>
        <w:t xml:space="preserve"> </w:t>
      </w:r>
      <w:r w:rsidR="00930D2A" w:rsidRPr="00930D2A">
        <w:rPr>
          <w:sz w:val="22"/>
          <w:szCs w:val="22"/>
        </w:rPr>
        <w:t>että tuomariksi nimitettävä tulee virassaan</w:t>
      </w:r>
      <w:r w:rsidR="00930D2A">
        <w:rPr>
          <w:sz w:val="22"/>
          <w:szCs w:val="22"/>
        </w:rPr>
        <w:t xml:space="preserve"> </w:t>
      </w:r>
      <w:r w:rsidR="00930D2A" w:rsidRPr="00930D2A">
        <w:rPr>
          <w:sz w:val="22"/>
          <w:szCs w:val="22"/>
        </w:rPr>
        <w:t>soveltamaan koulutuksessaan saamiaan</w:t>
      </w:r>
      <w:r w:rsidR="00930D2A">
        <w:rPr>
          <w:sz w:val="22"/>
          <w:szCs w:val="22"/>
        </w:rPr>
        <w:t xml:space="preserve"> </w:t>
      </w:r>
      <w:r w:rsidR="00930D2A" w:rsidRPr="00930D2A">
        <w:rPr>
          <w:sz w:val="22"/>
          <w:szCs w:val="22"/>
        </w:rPr>
        <w:t>valmiuksia tuomarinohjeissa edellytetyllä</w:t>
      </w:r>
      <w:r w:rsidR="00930D2A">
        <w:rPr>
          <w:sz w:val="22"/>
          <w:szCs w:val="22"/>
        </w:rPr>
        <w:t xml:space="preserve"> </w:t>
      </w:r>
      <w:r w:rsidR="00930D2A" w:rsidRPr="00930D2A">
        <w:rPr>
          <w:sz w:val="22"/>
          <w:szCs w:val="22"/>
        </w:rPr>
        <w:t>tavalla yhteisen kansan parhaaksi niin, että</w:t>
      </w:r>
      <w:r w:rsidR="00930D2A">
        <w:rPr>
          <w:sz w:val="22"/>
          <w:szCs w:val="22"/>
        </w:rPr>
        <w:t xml:space="preserve"> </w:t>
      </w:r>
      <w:r w:rsidR="00930D2A" w:rsidRPr="00930D2A">
        <w:rPr>
          <w:sz w:val="22"/>
          <w:szCs w:val="22"/>
        </w:rPr>
        <w:t>ihmiset voivat kokea olevansa tosiasiallisesti</w:t>
      </w:r>
      <w:r w:rsidR="00DD5B19">
        <w:rPr>
          <w:sz w:val="22"/>
          <w:szCs w:val="22"/>
        </w:rPr>
        <w:t xml:space="preserve"> </w:t>
      </w:r>
      <w:r w:rsidR="00930D2A" w:rsidRPr="00930D2A">
        <w:rPr>
          <w:sz w:val="22"/>
          <w:szCs w:val="22"/>
        </w:rPr>
        <w:t>yhdenvertaisia lain edessä. Oikeamielisyys</w:t>
      </w:r>
      <w:r w:rsidR="00DD5B19">
        <w:rPr>
          <w:sz w:val="22"/>
          <w:szCs w:val="22"/>
        </w:rPr>
        <w:t xml:space="preserve"> </w:t>
      </w:r>
      <w:r w:rsidR="00930D2A" w:rsidRPr="00930D2A">
        <w:rPr>
          <w:sz w:val="22"/>
          <w:szCs w:val="22"/>
        </w:rPr>
        <w:t>tarkoit</w:t>
      </w:r>
      <w:r w:rsidR="00DD5B19">
        <w:rPr>
          <w:sz w:val="22"/>
          <w:szCs w:val="22"/>
        </w:rPr>
        <w:t>taa</w:t>
      </w:r>
      <w:r w:rsidR="00930D2A" w:rsidRPr="00930D2A">
        <w:rPr>
          <w:sz w:val="22"/>
          <w:szCs w:val="22"/>
        </w:rPr>
        <w:t xml:space="preserve"> myös sitä, että tuomarin ratkaisun</w:t>
      </w:r>
      <w:r w:rsidR="00DD5B19">
        <w:rPr>
          <w:sz w:val="22"/>
          <w:szCs w:val="22"/>
        </w:rPr>
        <w:t xml:space="preserve"> </w:t>
      </w:r>
      <w:r w:rsidR="00930D2A" w:rsidRPr="00930D2A">
        <w:rPr>
          <w:sz w:val="22"/>
          <w:szCs w:val="22"/>
        </w:rPr>
        <w:t>tosiasialliset vaikuttimet ja tausta-arvot ovat</w:t>
      </w:r>
      <w:r w:rsidR="00DD5B19">
        <w:rPr>
          <w:sz w:val="22"/>
          <w:szCs w:val="22"/>
        </w:rPr>
        <w:t xml:space="preserve"> </w:t>
      </w:r>
      <w:r w:rsidR="00930D2A" w:rsidRPr="00930D2A">
        <w:rPr>
          <w:sz w:val="22"/>
          <w:szCs w:val="22"/>
        </w:rPr>
        <w:t>hyväksyttäviä ja vastaavat sitä, mitä tuomion</w:t>
      </w:r>
      <w:r w:rsidR="00DD5B19">
        <w:rPr>
          <w:sz w:val="22"/>
          <w:szCs w:val="22"/>
        </w:rPr>
        <w:t xml:space="preserve"> </w:t>
      </w:r>
      <w:r w:rsidR="00930D2A" w:rsidRPr="00930D2A">
        <w:rPr>
          <w:sz w:val="22"/>
          <w:szCs w:val="22"/>
        </w:rPr>
        <w:t>perusteluissa ilmoitetaan.</w:t>
      </w:r>
      <w:r w:rsidR="00DD5B19">
        <w:rPr>
          <w:sz w:val="22"/>
          <w:szCs w:val="22"/>
        </w:rPr>
        <w:t xml:space="preserve"> Tuomareilta edellytetään muita virkamiehiä laajemmin myös sidonnaisuuksiensa ilmoittamista, millä pyritään korostamaan tuomioistuinten puolueettomuutta ja toiminnan läpinäkyvyyttä. Tarkoituksena on edistää kansalaisten luottamusta tuomitsemistoiminnan riippumattomuuteen ja puolueettomuuteen. </w:t>
      </w:r>
    </w:p>
    <w:p w14:paraId="317FE47A" w14:textId="77777777" w:rsidR="009D226D" w:rsidRDefault="009D226D" w:rsidP="009D226D">
      <w:pPr>
        <w:ind w:left="1298"/>
        <w:rPr>
          <w:sz w:val="22"/>
          <w:szCs w:val="22"/>
        </w:rPr>
      </w:pPr>
    </w:p>
    <w:p w14:paraId="126CE4C7" w14:textId="78034676" w:rsidR="00A51614" w:rsidRDefault="00A51614" w:rsidP="00A51614">
      <w:pPr>
        <w:ind w:left="1298"/>
        <w:rPr>
          <w:sz w:val="22"/>
          <w:szCs w:val="22"/>
        </w:rPr>
      </w:pPr>
      <w:r>
        <w:rPr>
          <w:sz w:val="22"/>
          <w:szCs w:val="22"/>
        </w:rPr>
        <w:lastRenderedPageBreak/>
        <w:t>T</w:t>
      </w:r>
      <w:r w:rsidR="009D226D">
        <w:rPr>
          <w:sz w:val="22"/>
          <w:szCs w:val="22"/>
        </w:rPr>
        <w:t>uomareiden nimittämismenettely on muista valtion viroista poikkeava</w:t>
      </w:r>
      <w:r>
        <w:rPr>
          <w:sz w:val="22"/>
          <w:szCs w:val="22"/>
        </w:rPr>
        <w:t xml:space="preserve">. Tämä </w:t>
      </w:r>
      <w:r w:rsidR="006212FF">
        <w:rPr>
          <w:sz w:val="22"/>
          <w:szCs w:val="22"/>
        </w:rPr>
        <w:t>johtuu korostuneesti t</w:t>
      </w:r>
      <w:r>
        <w:rPr>
          <w:sz w:val="22"/>
          <w:szCs w:val="22"/>
        </w:rPr>
        <w:t>uomioistuinlaitoksen riippumattomuu</w:t>
      </w:r>
      <w:r w:rsidR="006212FF">
        <w:rPr>
          <w:sz w:val="22"/>
          <w:szCs w:val="22"/>
        </w:rPr>
        <w:t xml:space="preserve">den ja </w:t>
      </w:r>
      <w:r>
        <w:rPr>
          <w:sz w:val="22"/>
          <w:szCs w:val="22"/>
        </w:rPr>
        <w:t>itsenäisyy</w:t>
      </w:r>
      <w:r w:rsidR="006212FF">
        <w:rPr>
          <w:sz w:val="22"/>
          <w:szCs w:val="22"/>
        </w:rPr>
        <w:t>den vaatimuksista</w:t>
      </w:r>
      <w:r>
        <w:rPr>
          <w:sz w:val="22"/>
          <w:szCs w:val="22"/>
        </w:rPr>
        <w:t xml:space="preserve">. </w:t>
      </w:r>
      <w:r w:rsidR="009D226D">
        <w:rPr>
          <w:sz w:val="22"/>
          <w:szCs w:val="22"/>
        </w:rPr>
        <w:t>Päällikkötuomarit, jotka nimitetään seitsemän vuoden määräajaksi kerrallaan, ja vakinaiset tuomarit nimittää tasavallan presidentti riippumattoman</w:t>
      </w:r>
      <w:r>
        <w:rPr>
          <w:sz w:val="22"/>
          <w:szCs w:val="22"/>
        </w:rPr>
        <w:t xml:space="preserve"> tuomarienemmistöisen</w:t>
      </w:r>
      <w:r w:rsidR="009D226D">
        <w:rPr>
          <w:sz w:val="22"/>
          <w:szCs w:val="22"/>
        </w:rPr>
        <w:t xml:space="preserve"> tuomarinvalintalautakunnan esityksestä. </w:t>
      </w:r>
      <w:r w:rsidR="006212FF">
        <w:rPr>
          <w:sz w:val="22"/>
          <w:szCs w:val="22"/>
        </w:rPr>
        <w:t>L</w:t>
      </w:r>
      <w:r>
        <w:rPr>
          <w:sz w:val="22"/>
          <w:szCs w:val="22"/>
        </w:rPr>
        <w:t xml:space="preserve">autakunnan </w:t>
      </w:r>
      <w:r w:rsidRPr="00A51614">
        <w:rPr>
          <w:sz w:val="22"/>
          <w:szCs w:val="22"/>
        </w:rPr>
        <w:t>tehtä</w:t>
      </w:r>
      <w:r>
        <w:rPr>
          <w:sz w:val="22"/>
          <w:szCs w:val="22"/>
        </w:rPr>
        <w:t xml:space="preserve">vänä nimitysjärjestelmässä on </w:t>
      </w:r>
      <w:r w:rsidRPr="00A51614">
        <w:rPr>
          <w:sz w:val="22"/>
          <w:szCs w:val="22"/>
        </w:rPr>
        <w:t>varmistaa, että tuomioistui</w:t>
      </w:r>
      <w:r>
        <w:rPr>
          <w:sz w:val="22"/>
          <w:szCs w:val="22"/>
        </w:rPr>
        <w:t xml:space="preserve">nten </w:t>
      </w:r>
      <w:r w:rsidRPr="00A51614">
        <w:rPr>
          <w:sz w:val="22"/>
          <w:szCs w:val="22"/>
        </w:rPr>
        <w:t>riippumattomuuden</w:t>
      </w:r>
      <w:r>
        <w:rPr>
          <w:sz w:val="22"/>
          <w:szCs w:val="22"/>
        </w:rPr>
        <w:t xml:space="preserve"> </w:t>
      </w:r>
      <w:r w:rsidRPr="00A51614">
        <w:rPr>
          <w:sz w:val="22"/>
          <w:szCs w:val="22"/>
        </w:rPr>
        <w:t>takaava asiantuntemus o</w:t>
      </w:r>
      <w:r>
        <w:rPr>
          <w:sz w:val="22"/>
          <w:szCs w:val="22"/>
        </w:rPr>
        <w:t xml:space="preserve">n </w:t>
      </w:r>
      <w:r w:rsidRPr="00A51614">
        <w:rPr>
          <w:sz w:val="22"/>
          <w:szCs w:val="22"/>
        </w:rPr>
        <w:t>keskeinen</w:t>
      </w:r>
      <w:r>
        <w:rPr>
          <w:sz w:val="22"/>
          <w:szCs w:val="22"/>
        </w:rPr>
        <w:t xml:space="preserve"> </w:t>
      </w:r>
      <w:r w:rsidRPr="00A51614">
        <w:rPr>
          <w:sz w:val="22"/>
          <w:szCs w:val="22"/>
        </w:rPr>
        <w:t xml:space="preserve">peruste tuomareita nimitettäessä. </w:t>
      </w:r>
      <w:r w:rsidR="0004067F" w:rsidRPr="0004067F">
        <w:rPr>
          <w:sz w:val="22"/>
          <w:szCs w:val="22"/>
        </w:rPr>
        <w:t>Tuomarin</w:t>
      </w:r>
      <w:r w:rsidR="006212FF">
        <w:rPr>
          <w:sz w:val="22"/>
          <w:szCs w:val="22"/>
        </w:rPr>
        <w:t xml:space="preserve"> nimittämistä edeltää monivaiheinen ja perusteellinen valmistelu. Tuomarin</w:t>
      </w:r>
      <w:r w:rsidR="0004067F" w:rsidRPr="0004067F">
        <w:rPr>
          <w:sz w:val="22"/>
          <w:szCs w:val="22"/>
        </w:rPr>
        <w:t>valintalautakunta hankkii ennen nimitysesityksen tekemistä lausunnon hakijoista</w:t>
      </w:r>
      <w:r w:rsidR="0004067F">
        <w:rPr>
          <w:sz w:val="22"/>
          <w:szCs w:val="22"/>
        </w:rPr>
        <w:t xml:space="preserve"> tuomioistuimelta, jossa virka on haettavana, </w:t>
      </w:r>
      <w:r w:rsidR="0004067F" w:rsidRPr="0004067F">
        <w:rPr>
          <w:sz w:val="22"/>
          <w:szCs w:val="22"/>
        </w:rPr>
        <w:t>ja käräjätuomarin viran hakijoista</w:t>
      </w:r>
      <w:r w:rsidR="0004067F">
        <w:rPr>
          <w:sz w:val="22"/>
          <w:szCs w:val="22"/>
        </w:rPr>
        <w:t xml:space="preserve"> asianomaiselta hovioikeudelta. </w:t>
      </w:r>
      <w:r w:rsidR="0004067F" w:rsidRPr="0004067F">
        <w:rPr>
          <w:sz w:val="22"/>
          <w:szCs w:val="22"/>
        </w:rPr>
        <w:t>Lautakunta voi hankkia muitakin lausuntoja ja selvityksiä sekä kuulla hakijoita ja asiantuntijoita.</w:t>
      </w:r>
      <w:r w:rsidR="0004067F">
        <w:rPr>
          <w:sz w:val="22"/>
          <w:szCs w:val="22"/>
        </w:rPr>
        <w:t xml:space="preserve"> </w:t>
      </w:r>
      <w:r w:rsidR="006212FF">
        <w:rPr>
          <w:sz w:val="22"/>
          <w:szCs w:val="22"/>
        </w:rPr>
        <w:t>L</w:t>
      </w:r>
      <w:r w:rsidR="0004067F">
        <w:rPr>
          <w:sz w:val="22"/>
          <w:szCs w:val="22"/>
        </w:rPr>
        <w:t>auta</w:t>
      </w:r>
      <w:r w:rsidR="006212FF">
        <w:rPr>
          <w:sz w:val="22"/>
          <w:szCs w:val="22"/>
        </w:rPr>
        <w:t xml:space="preserve">kunta voi halutessaan </w:t>
      </w:r>
      <w:r w:rsidR="0004067F">
        <w:rPr>
          <w:sz w:val="22"/>
          <w:szCs w:val="22"/>
        </w:rPr>
        <w:t xml:space="preserve">selvittää henkilön rikostaustan ja soveltuvuuden. Päällikkötuomarin viran hakijoille tehdään säännönmukaisesti soveltuvuustestit. </w:t>
      </w:r>
      <w:r w:rsidR="00437B86" w:rsidRPr="00437B86">
        <w:rPr>
          <w:sz w:val="22"/>
          <w:szCs w:val="22"/>
        </w:rPr>
        <w:t xml:space="preserve">Huomattava myös on, että tuomareiksi nimitetään </w:t>
      </w:r>
      <w:r w:rsidR="00437B86">
        <w:rPr>
          <w:sz w:val="22"/>
          <w:szCs w:val="22"/>
        </w:rPr>
        <w:t xml:space="preserve">pääosin tuomioistuinlaitoksen sisältä, joten valittavat henkilöt ja heidän taustansa on jo ennestään tiedossa. </w:t>
      </w:r>
    </w:p>
    <w:p w14:paraId="76917291" w14:textId="77777777" w:rsidR="00A51614" w:rsidRDefault="00A51614" w:rsidP="00A51614">
      <w:pPr>
        <w:ind w:left="1298"/>
        <w:rPr>
          <w:sz w:val="22"/>
          <w:szCs w:val="22"/>
        </w:rPr>
      </w:pPr>
    </w:p>
    <w:p w14:paraId="44E5216E" w14:textId="77777777" w:rsidR="00A51614" w:rsidRDefault="00A51614" w:rsidP="00A51614">
      <w:pPr>
        <w:ind w:left="1298"/>
        <w:rPr>
          <w:sz w:val="22"/>
          <w:szCs w:val="22"/>
        </w:rPr>
      </w:pPr>
      <w:r>
        <w:rPr>
          <w:sz w:val="22"/>
          <w:szCs w:val="22"/>
        </w:rPr>
        <w:t>Määräaikaiset tuomarit nimittää asianomainen tuomioistuin, tai jos nimitys on yli vuoden mittainen, korkein oikeus tai korkein hallinto-oikeus. Tuomioistuimissa on lisäksi kolmen vuoden määräajak</w:t>
      </w:r>
      <w:r w:rsidR="006212FF">
        <w:rPr>
          <w:sz w:val="22"/>
          <w:szCs w:val="22"/>
        </w:rPr>
        <w:t xml:space="preserve">si nimitettäviä asessoreja (ns. tuomarin </w:t>
      </w:r>
      <w:r>
        <w:rPr>
          <w:sz w:val="22"/>
          <w:szCs w:val="22"/>
        </w:rPr>
        <w:t>koulutusvirka) ja vuoden määräajaksi nimitettäviä tuomioistuinharjoittelua suorittavia asessoreja. Näiden nimittämiseen osallistuu tuomarinkoulutuslautakunta</w:t>
      </w:r>
      <w:r w:rsidR="006212FF">
        <w:rPr>
          <w:sz w:val="22"/>
          <w:szCs w:val="22"/>
        </w:rPr>
        <w:t>, joka on valintalautakunnan tavoin riippumaton ja tuomarienemmistöinen</w:t>
      </w:r>
      <w:r>
        <w:rPr>
          <w:sz w:val="22"/>
          <w:szCs w:val="22"/>
        </w:rPr>
        <w:t xml:space="preserve">. </w:t>
      </w:r>
    </w:p>
    <w:p w14:paraId="25406370" w14:textId="77777777" w:rsidR="00A51614" w:rsidRDefault="00A51614" w:rsidP="00A51614">
      <w:pPr>
        <w:ind w:left="1298"/>
        <w:rPr>
          <w:sz w:val="22"/>
          <w:szCs w:val="22"/>
        </w:rPr>
      </w:pPr>
    </w:p>
    <w:p w14:paraId="3233776F" w14:textId="77777777" w:rsidR="009D226D" w:rsidRDefault="00A51614" w:rsidP="00A51614">
      <w:pPr>
        <w:ind w:left="1298"/>
        <w:rPr>
          <w:sz w:val="22"/>
          <w:szCs w:val="22"/>
        </w:rPr>
      </w:pPr>
      <w:r>
        <w:rPr>
          <w:sz w:val="22"/>
          <w:szCs w:val="22"/>
        </w:rPr>
        <w:t xml:space="preserve">Tuomioistuinlaitoksen erityispiirteistä ja korostetusta riippumattomuusvaatimuksesta johtuu, että </w:t>
      </w:r>
      <w:r w:rsidR="0004067F">
        <w:rPr>
          <w:sz w:val="22"/>
          <w:szCs w:val="22"/>
        </w:rPr>
        <w:t xml:space="preserve">myöskään </w:t>
      </w:r>
      <w:r>
        <w:rPr>
          <w:sz w:val="22"/>
          <w:szCs w:val="22"/>
        </w:rPr>
        <w:t xml:space="preserve">virkanimityspäätöksiä koskevan valitusoikeuden ei ole katsottu soveltuvan tuomioistuinlaitokseen. Arvioinnissa on otettu huomioon tuomareiden nimittämismenettelyn erityispiirteet sekä se, että </w:t>
      </w:r>
      <w:r w:rsidRPr="00A51614">
        <w:rPr>
          <w:sz w:val="22"/>
          <w:szCs w:val="22"/>
        </w:rPr>
        <w:t>lainkäyttötehtävien hoitaminen muodosta</w:t>
      </w:r>
      <w:r w:rsidR="006212FF">
        <w:rPr>
          <w:sz w:val="22"/>
          <w:szCs w:val="22"/>
        </w:rPr>
        <w:t>vat</w:t>
      </w:r>
      <w:r w:rsidRPr="00A51614">
        <w:rPr>
          <w:sz w:val="22"/>
          <w:szCs w:val="22"/>
        </w:rPr>
        <w:t xml:space="preserve"> tuomioistuimissa kokonaisuuden.</w:t>
      </w:r>
      <w:r>
        <w:rPr>
          <w:sz w:val="22"/>
          <w:szCs w:val="22"/>
        </w:rPr>
        <w:t xml:space="preserve"> Näin ollen myös tuomioistuinlaitoksen esittelijät ja valmistelijat on </w:t>
      </w:r>
      <w:r w:rsidR="00AF6B2F">
        <w:rPr>
          <w:sz w:val="22"/>
          <w:szCs w:val="22"/>
        </w:rPr>
        <w:t>jäte</w:t>
      </w:r>
      <w:r w:rsidR="003E62C2">
        <w:rPr>
          <w:sz w:val="22"/>
          <w:szCs w:val="22"/>
        </w:rPr>
        <w:t>tty valituskiellon piiriin (HE 77/2017 vp</w:t>
      </w:r>
      <w:r w:rsidR="00AF6B2F">
        <w:rPr>
          <w:sz w:val="22"/>
          <w:szCs w:val="22"/>
        </w:rPr>
        <w:t xml:space="preserve">). </w:t>
      </w:r>
    </w:p>
    <w:p w14:paraId="7B79BC8E" w14:textId="77777777" w:rsidR="00017E83" w:rsidRDefault="00017E83" w:rsidP="00C151B6">
      <w:pPr>
        <w:ind w:left="1298"/>
        <w:rPr>
          <w:sz w:val="22"/>
          <w:szCs w:val="22"/>
        </w:rPr>
      </w:pPr>
    </w:p>
    <w:p w14:paraId="08438E9F" w14:textId="1DA41FC1" w:rsidR="00F61010" w:rsidRDefault="00792150" w:rsidP="00C151B6">
      <w:pPr>
        <w:ind w:left="1298"/>
        <w:rPr>
          <w:sz w:val="22"/>
          <w:szCs w:val="22"/>
        </w:rPr>
      </w:pPr>
      <w:r>
        <w:rPr>
          <w:sz w:val="22"/>
          <w:szCs w:val="22"/>
        </w:rPr>
        <w:t>T</w:t>
      </w:r>
      <w:r w:rsidR="0004067F">
        <w:rPr>
          <w:sz w:val="22"/>
          <w:szCs w:val="22"/>
        </w:rPr>
        <w:t>uomareiden nimittämismenettely on muista virkamiehistä poikkeava ja perustuu korostetusti tuomioistuinlaitoksen riippumattomaan asemaan. Tähän nähden t</w:t>
      </w:r>
      <w:r>
        <w:rPr>
          <w:sz w:val="22"/>
          <w:szCs w:val="22"/>
        </w:rPr>
        <w:t>uomareiden taustojen selvittämis</w:t>
      </w:r>
      <w:r w:rsidR="0004067F">
        <w:rPr>
          <w:sz w:val="22"/>
          <w:szCs w:val="22"/>
        </w:rPr>
        <w:t xml:space="preserve">en tuomioistuinlaitoksen ulkopuolisen tahon eli suojelupoliisin toimesta </w:t>
      </w:r>
      <w:r>
        <w:rPr>
          <w:sz w:val="22"/>
          <w:szCs w:val="22"/>
        </w:rPr>
        <w:t>voidaan nähdä soveltuvan hu</w:t>
      </w:r>
      <w:r w:rsidR="0004067F">
        <w:rPr>
          <w:sz w:val="22"/>
          <w:szCs w:val="22"/>
        </w:rPr>
        <w:t>onosti</w:t>
      </w:r>
      <w:r w:rsidR="006212FF">
        <w:rPr>
          <w:sz w:val="22"/>
          <w:szCs w:val="22"/>
        </w:rPr>
        <w:t xml:space="preserve"> yhteen riippumattomuusvaatimuksen kanssa</w:t>
      </w:r>
      <w:r w:rsidR="0004067F">
        <w:rPr>
          <w:sz w:val="22"/>
          <w:szCs w:val="22"/>
        </w:rPr>
        <w:t xml:space="preserve">. </w:t>
      </w:r>
      <w:r w:rsidR="00BD0C39">
        <w:rPr>
          <w:sz w:val="22"/>
          <w:szCs w:val="22"/>
        </w:rPr>
        <w:t xml:space="preserve">Huomattava kuitenkin on, että </w:t>
      </w:r>
      <w:r w:rsidR="00324E0D">
        <w:rPr>
          <w:sz w:val="22"/>
          <w:szCs w:val="22"/>
        </w:rPr>
        <w:t>selvitys ei sido hakijaa. P</w:t>
      </w:r>
      <w:r w:rsidR="00BD0C39">
        <w:rPr>
          <w:sz w:val="22"/>
          <w:szCs w:val="22"/>
        </w:rPr>
        <w:t xml:space="preserve">äätösvalta siitä, mikä merkitys selvitykselle annetaan, on selvitystä hakeneella taholla eli käytännössä tuomioistuimella itsellään. </w:t>
      </w:r>
      <w:r w:rsidR="00324E0D">
        <w:rPr>
          <w:sz w:val="22"/>
          <w:szCs w:val="22"/>
        </w:rPr>
        <w:t>Näin ollen turvallisuusselvityksen teettämi</w:t>
      </w:r>
      <w:r>
        <w:rPr>
          <w:sz w:val="22"/>
          <w:szCs w:val="22"/>
        </w:rPr>
        <w:t>s</w:t>
      </w:r>
      <w:r w:rsidR="00324E0D">
        <w:rPr>
          <w:sz w:val="22"/>
          <w:szCs w:val="22"/>
        </w:rPr>
        <w:t xml:space="preserve">en tuomarista ei voida katsoa olevan suoranaisesti </w:t>
      </w:r>
      <w:r w:rsidR="00324E0D" w:rsidRPr="00324E0D">
        <w:rPr>
          <w:sz w:val="22"/>
          <w:szCs w:val="22"/>
        </w:rPr>
        <w:t>ristiriidassa perustuslaissa säädetyn riippumattomuuden kanssa</w:t>
      </w:r>
      <w:r w:rsidR="00324E0D">
        <w:rPr>
          <w:sz w:val="22"/>
          <w:szCs w:val="22"/>
        </w:rPr>
        <w:t xml:space="preserve">. </w:t>
      </w:r>
    </w:p>
    <w:p w14:paraId="22C32721" w14:textId="77777777" w:rsidR="00F61010" w:rsidRDefault="00F61010" w:rsidP="00C151B6">
      <w:pPr>
        <w:ind w:left="1298"/>
        <w:rPr>
          <w:sz w:val="22"/>
          <w:szCs w:val="22"/>
        </w:rPr>
      </w:pPr>
    </w:p>
    <w:p w14:paraId="33C0EDC3" w14:textId="5E304F09" w:rsidR="00437B86" w:rsidRDefault="00324E0D" w:rsidP="00C151B6">
      <w:pPr>
        <w:ind w:left="1298"/>
        <w:rPr>
          <w:sz w:val="22"/>
          <w:szCs w:val="22"/>
        </w:rPr>
      </w:pPr>
      <w:r>
        <w:rPr>
          <w:sz w:val="22"/>
          <w:szCs w:val="22"/>
        </w:rPr>
        <w:t xml:space="preserve">Yhteiskunnalliset olot edellyttävät, että </w:t>
      </w:r>
      <w:r w:rsidR="00437B86">
        <w:rPr>
          <w:sz w:val="22"/>
          <w:szCs w:val="22"/>
        </w:rPr>
        <w:t xml:space="preserve">myös </w:t>
      </w:r>
      <w:r w:rsidR="0004067F">
        <w:rPr>
          <w:sz w:val="22"/>
          <w:szCs w:val="22"/>
        </w:rPr>
        <w:t>tuomioistuinten turvallisuudesta huolehdit</w:t>
      </w:r>
      <w:r>
        <w:rPr>
          <w:sz w:val="22"/>
          <w:szCs w:val="22"/>
        </w:rPr>
        <w:t>aan aiempaa järjestelmällisemmin ja laajemmin</w:t>
      </w:r>
      <w:r w:rsidR="0004067F">
        <w:rPr>
          <w:sz w:val="22"/>
          <w:szCs w:val="22"/>
        </w:rPr>
        <w:t xml:space="preserve">. </w:t>
      </w:r>
      <w:r w:rsidR="00437B86">
        <w:rPr>
          <w:sz w:val="22"/>
          <w:szCs w:val="22"/>
        </w:rPr>
        <w:t xml:space="preserve">Tämä huomioon ottaen turvallisuusselvitysten laatiminen </w:t>
      </w:r>
      <w:r>
        <w:rPr>
          <w:sz w:val="22"/>
          <w:szCs w:val="22"/>
        </w:rPr>
        <w:t>entistä suuremmasta</w:t>
      </w:r>
      <w:r w:rsidR="006212FF">
        <w:rPr>
          <w:sz w:val="22"/>
          <w:szCs w:val="22"/>
        </w:rPr>
        <w:t xml:space="preserve"> </w:t>
      </w:r>
      <w:r w:rsidR="00437B86">
        <w:rPr>
          <w:sz w:val="22"/>
          <w:szCs w:val="22"/>
        </w:rPr>
        <w:t>osasta tuomioistuinlaitoksen henkilöstöstä on perusteltua. Erityisesti tämä koskee tuomioistuinten tiloissa työskentelevää muun työnantajan palveluksessa olevaa henkilöstöä. Tuomiois</w:t>
      </w:r>
      <w:r w:rsidR="006212FF">
        <w:rPr>
          <w:sz w:val="22"/>
          <w:szCs w:val="22"/>
        </w:rPr>
        <w:t xml:space="preserve">tuimet eivät </w:t>
      </w:r>
      <w:r w:rsidR="00437B86">
        <w:rPr>
          <w:sz w:val="22"/>
          <w:szCs w:val="22"/>
        </w:rPr>
        <w:t xml:space="preserve">itse osallistu tällaisen henkilöstön valintaan, mistä syystä sitä ei tunneta samalla tavoin kuin tuomioistuinten omaa henkilöstöä. </w:t>
      </w:r>
      <w:r w:rsidR="00406994">
        <w:rPr>
          <w:sz w:val="22"/>
          <w:szCs w:val="22"/>
        </w:rPr>
        <w:t xml:space="preserve">Oikeusministeriön käsityksen mukaan tällaista käytäntöä noudatetaan useissa tuomioistuimissa. </w:t>
      </w:r>
    </w:p>
    <w:p w14:paraId="0B6E2457" w14:textId="77777777" w:rsidR="00437B86" w:rsidRDefault="00437B86" w:rsidP="00C151B6">
      <w:pPr>
        <w:ind w:left="1298"/>
        <w:rPr>
          <w:sz w:val="22"/>
          <w:szCs w:val="22"/>
        </w:rPr>
      </w:pPr>
    </w:p>
    <w:p w14:paraId="1B74D08F" w14:textId="77777777" w:rsidR="00F61010" w:rsidRPr="00406994" w:rsidRDefault="00437B86" w:rsidP="00F61010">
      <w:pPr>
        <w:ind w:left="1298"/>
        <w:rPr>
          <w:sz w:val="22"/>
          <w:szCs w:val="22"/>
        </w:rPr>
      </w:pPr>
      <w:r w:rsidRPr="00406994">
        <w:rPr>
          <w:sz w:val="22"/>
          <w:szCs w:val="22"/>
        </w:rPr>
        <w:t>Edellä jo selostetulla tavalla t</w:t>
      </w:r>
      <w:r w:rsidR="00E436A0" w:rsidRPr="00406994">
        <w:rPr>
          <w:sz w:val="22"/>
          <w:szCs w:val="22"/>
        </w:rPr>
        <w:t>uomiois</w:t>
      </w:r>
      <w:r w:rsidR="00F02A4A" w:rsidRPr="00406994">
        <w:rPr>
          <w:sz w:val="22"/>
          <w:szCs w:val="22"/>
        </w:rPr>
        <w:t>tuinlaitoksen tuoma</w:t>
      </w:r>
      <w:r w:rsidR="00406994">
        <w:rPr>
          <w:sz w:val="22"/>
          <w:szCs w:val="22"/>
        </w:rPr>
        <w:t>reita ja muuta henkilöstöä voi</w:t>
      </w:r>
      <w:r w:rsidR="00F02A4A" w:rsidRPr="00406994">
        <w:rPr>
          <w:sz w:val="22"/>
          <w:szCs w:val="22"/>
        </w:rPr>
        <w:t xml:space="preserve"> </w:t>
      </w:r>
      <w:r w:rsidR="00E436A0" w:rsidRPr="00406994">
        <w:rPr>
          <w:sz w:val="22"/>
          <w:szCs w:val="22"/>
        </w:rPr>
        <w:t>lähtökohtaisesti koskea suppean turvallisuusselvityksen laatiminen</w:t>
      </w:r>
      <w:r w:rsidR="00F02A4A" w:rsidRPr="00406994">
        <w:rPr>
          <w:sz w:val="22"/>
          <w:szCs w:val="22"/>
        </w:rPr>
        <w:t xml:space="preserve"> turvallisuusselvityslain 21 §:n 1 momentin 1 kohdan mukaan</w:t>
      </w:r>
      <w:r w:rsidR="00017E83" w:rsidRPr="00406994">
        <w:rPr>
          <w:sz w:val="22"/>
          <w:szCs w:val="22"/>
        </w:rPr>
        <w:t xml:space="preserve"> (pääsy III-IV suojaustason asiakirjoihin). </w:t>
      </w:r>
      <w:r w:rsidR="00E436A0" w:rsidRPr="00406994">
        <w:rPr>
          <w:sz w:val="22"/>
          <w:szCs w:val="22"/>
        </w:rPr>
        <w:t>Toisaalta asiakirjojen suojausluokitukseen peru</w:t>
      </w:r>
      <w:r w:rsidR="00406994">
        <w:rPr>
          <w:sz w:val="22"/>
          <w:szCs w:val="22"/>
        </w:rPr>
        <w:t xml:space="preserve">stuen myös perusmuotoinen voi </w:t>
      </w:r>
      <w:r w:rsidR="00E436A0" w:rsidRPr="00406994">
        <w:rPr>
          <w:sz w:val="22"/>
          <w:szCs w:val="22"/>
        </w:rPr>
        <w:t>ol</w:t>
      </w:r>
      <w:r w:rsidR="00017E83" w:rsidRPr="00406994">
        <w:rPr>
          <w:sz w:val="22"/>
          <w:szCs w:val="22"/>
        </w:rPr>
        <w:t>la mahdollinen, mikäli henkilöllä olisi oikeus käsitellä suojaustason II-III asiakirjoja tai hän toimisi tietojärjestelmän pääkäyttäjänä. Oi</w:t>
      </w:r>
      <w:r w:rsidR="00017E83" w:rsidRPr="00406994">
        <w:rPr>
          <w:sz w:val="22"/>
          <w:szCs w:val="22"/>
        </w:rPr>
        <w:lastRenderedPageBreak/>
        <w:t xml:space="preserve">keusministeriön arvion mukaan tämä olisi kuitenkin varsin poikkeuksellista, ja voisi koskea lähinnä tuomioistuimen johtoa sekä esimerkiksi valmiusasioista ja tietojärjestelmistä vastaavaa henkilöstöä. </w:t>
      </w:r>
    </w:p>
    <w:p w14:paraId="6B71C534" w14:textId="77777777" w:rsidR="00F61010" w:rsidRPr="00406994" w:rsidRDefault="00F61010" w:rsidP="00F61010">
      <w:pPr>
        <w:ind w:left="1298"/>
        <w:rPr>
          <w:sz w:val="22"/>
          <w:szCs w:val="22"/>
        </w:rPr>
      </w:pPr>
    </w:p>
    <w:p w14:paraId="7351A171" w14:textId="4C875C01" w:rsidR="00324E0D" w:rsidRDefault="00324E0D" w:rsidP="00F61010">
      <w:pPr>
        <w:ind w:left="1298"/>
        <w:rPr>
          <w:sz w:val="22"/>
          <w:szCs w:val="22"/>
        </w:rPr>
      </w:pPr>
      <w:r>
        <w:rPr>
          <w:sz w:val="22"/>
          <w:szCs w:val="22"/>
        </w:rPr>
        <w:t>H</w:t>
      </w:r>
      <w:r w:rsidR="00F61010" w:rsidRPr="00406994">
        <w:rPr>
          <w:sz w:val="22"/>
          <w:szCs w:val="22"/>
        </w:rPr>
        <w:t>enkilöstön taustojen selvittäminen perustuu hyvin pitkälti asiakirjojen suojausluokitukseen.</w:t>
      </w:r>
      <w:r w:rsidR="00406994">
        <w:rPr>
          <w:sz w:val="22"/>
          <w:szCs w:val="22"/>
        </w:rPr>
        <w:t xml:space="preserve"> Tähän nähden perusteltua olisi</w:t>
      </w:r>
      <w:r w:rsidR="00F61010" w:rsidRPr="00406994">
        <w:rPr>
          <w:sz w:val="22"/>
          <w:szCs w:val="22"/>
        </w:rPr>
        <w:t xml:space="preserve">, että tuomioistuinten päällikkötuomareista ja mahdollisesti myös kanslia- ja tai hallintopäälliköstä, joilla on laajimmat käyttöoikeuden salassa pidettäviin tietoihin, tehtäisiin turvallisuusselvitykset. Samoin voitaisiin menetellä myös muun, lähinnä hallintohenkilöstön osalta, jolla on pääsy kaikkien salaisimpiin aineistoihin tai tietojärjestelmiin. </w:t>
      </w:r>
      <w:r>
        <w:rPr>
          <w:sz w:val="22"/>
          <w:szCs w:val="22"/>
        </w:rPr>
        <w:t xml:space="preserve">Lähtökohtaisesti myös tuomareilla ja muulla lainkäyttöhenkilöstöllä on pääsy salassa pidettäviin tietoihin. </w:t>
      </w:r>
      <w:r w:rsidR="00792150">
        <w:rPr>
          <w:sz w:val="22"/>
          <w:szCs w:val="22"/>
        </w:rPr>
        <w:t xml:space="preserve">Lisäksi </w:t>
      </w:r>
      <w:r>
        <w:rPr>
          <w:sz w:val="22"/>
          <w:szCs w:val="22"/>
        </w:rPr>
        <w:t xml:space="preserve">asioita käsitellessään </w:t>
      </w:r>
      <w:r w:rsidR="00792150">
        <w:rPr>
          <w:sz w:val="22"/>
          <w:szCs w:val="22"/>
        </w:rPr>
        <w:t xml:space="preserve">he saattavat </w:t>
      </w:r>
      <w:r>
        <w:rPr>
          <w:sz w:val="22"/>
          <w:szCs w:val="22"/>
        </w:rPr>
        <w:t xml:space="preserve">saada tietonsa hyvinkin arkaluontoista aineistoa. </w:t>
      </w:r>
      <w:r w:rsidR="00F61010" w:rsidRPr="00406994">
        <w:rPr>
          <w:sz w:val="22"/>
          <w:szCs w:val="22"/>
        </w:rPr>
        <w:t xml:space="preserve">Sama </w:t>
      </w:r>
      <w:r>
        <w:rPr>
          <w:sz w:val="22"/>
          <w:szCs w:val="22"/>
        </w:rPr>
        <w:t xml:space="preserve">voi koskea myös </w:t>
      </w:r>
      <w:r w:rsidR="00F61010" w:rsidRPr="00406994">
        <w:rPr>
          <w:sz w:val="22"/>
          <w:szCs w:val="22"/>
        </w:rPr>
        <w:t xml:space="preserve">tuomioistuinten haastemiehiä ja muuta henkilökuntaa. </w:t>
      </w:r>
    </w:p>
    <w:p w14:paraId="358FC909" w14:textId="6F207529" w:rsidR="00324E0D" w:rsidRPr="00406994" w:rsidRDefault="00324E0D" w:rsidP="00324E0D">
      <w:pPr>
        <w:pStyle w:val="Otsikko2"/>
      </w:pPr>
      <w:r>
        <w:t>Käytännön toimenpiteet</w:t>
      </w:r>
    </w:p>
    <w:p w14:paraId="1EF188E1" w14:textId="5365F807" w:rsidR="004205DC" w:rsidRDefault="00D17F78" w:rsidP="00D17F78">
      <w:pPr>
        <w:ind w:left="1298"/>
        <w:rPr>
          <w:sz w:val="22"/>
          <w:szCs w:val="22"/>
        </w:rPr>
      </w:pPr>
      <w:r w:rsidRPr="00D17F78">
        <w:rPr>
          <w:sz w:val="22"/>
          <w:szCs w:val="22"/>
        </w:rPr>
        <w:t xml:space="preserve">Suojelupoliisi on ollut oikeusministeriöön yhteydessä liittyen tuomioistuimille laadittaviin turvallisuusselvityksiin. </w:t>
      </w:r>
      <w:r w:rsidR="00792150" w:rsidRPr="00792150">
        <w:rPr>
          <w:sz w:val="22"/>
          <w:szCs w:val="22"/>
        </w:rPr>
        <w:t xml:space="preserve">Osa tuomioistuimista on teettänyt selvityksiä. </w:t>
      </w:r>
      <w:r w:rsidRPr="00D17F78">
        <w:rPr>
          <w:sz w:val="22"/>
          <w:szCs w:val="22"/>
        </w:rPr>
        <w:t xml:space="preserve">Kaikki tuomioistuimet eivät ole hakeutuneet turvallisuusselvitysmenettelyyn. Lainsäädäntö kuitenkin edellyttää, että Suojelupoliisi teettää turvallisuusselvityksiä vain niille virastoille, jotka ovat hakeutuneet turvallisuusselvityksen piiriin. Tuomioistuinten perustelut turvallisuusselvitysten hakemisen edellytysten täyttymisiksi eivät myöskään ole yhdenmukaisia tai riittäviä. Lähtökohtaisesti </w:t>
      </w:r>
      <w:r w:rsidR="00792150">
        <w:rPr>
          <w:sz w:val="22"/>
          <w:szCs w:val="22"/>
        </w:rPr>
        <w:t xml:space="preserve">on </w:t>
      </w:r>
      <w:r w:rsidRPr="00D17F78">
        <w:rPr>
          <w:sz w:val="22"/>
          <w:szCs w:val="22"/>
        </w:rPr>
        <w:t xml:space="preserve">tuomioistuinten tehtävä arvioida tarve turvallisuusselvitysten tekemiselle. Suojelupoliisin oma arvio on, että kaikissa tuomioistuimissa lain edellytykset täyttyvät. </w:t>
      </w:r>
      <w:r w:rsidR="004E1D31">
        <w:rPr>
          <w:sz w:val="22"/>
          <w:szCs w:val="22"/>
        </w:rPr>
        <w:t>Se on arvioinut</w:t>
      </w:r>
      <w:r w:rsidR="00024351">
        <w:rPr>
          <w:sz w:val="22"/>
          <w:szCs w:val="22"/>
        </w:rPr>
        <w:t xml:space="preserve"> myös</w:t>
      </w:r>
      <w:r w:rsidR="004E1D31">
        <w:rPr>
          <w:sz w:val="22"/>
          <w:szCs w:val="22"/>
        </w:rPr>
        <w:t xml:space="preserve">, että </w:t>
      </w:r>
      <w:r w:rsidR="00024351">
        <w:rPr>
          <w:sz w:val="22"/>
          <w:szCs w:val="22"/>
        </w:rPr>
        <w:t xml:space="preserve">syyttäjistä ja tuomareista </w:t>
      </w:r>
      <w:r w:rsidR="004E1D31">
        <w:rPr>
          <w:sz w:val="22"/>
          <w:szCs w:val="22"/>
        </w:rPr>
        <w:t xml:space="preserve">voisi olla perusteltua tehdä perusmuotoinen turvallisuusselvitys. </w:t>
      </w:r>
    </w:p>
    <w:p w14:paraId="3FFC34E3" w14:textId="6D0AB6D2" w:rsidR="004205DC" w:rsidRPr="00D17F78" w:rsidRDefault="004205DC" w:rsidP="004205DC">
      <w:pPr>
        <w:pStyle w:val="Otsikko1"/>
      </w:pPr>
      <w:r>
        <w:t>Johtopäätökset</w:t>
      </w:r>
    </w:p>
    <w:p w14:paraId="490CE29F" w14:textId="3D579D0D" w:rsidR="000B4D33" w:rsidRDefault="00D17F78" w:rsidP="00D17F78">
      <w:pPr>
        <w:ind w:left="1298"/>
        <w:rPr>
          <w:sz w:val="22"/>
          <w:szCs w:val="22"/>
        </w:rPr>
      </w:pPr>
      <w:r w:rsidRPr="00D17F78">
        <w:rPr>
          <w:sz w:val="22"/>
          <w:szCs w:val="22"/>
        </w:rPr>
        <w:t xml:space="preserve">Edellä todettu huomioon ottaen oikeusministeriön näkemyksen mukaan </w:t>
      </w:r>
      <w:r w:rsidR="00324E0D">
        <w:rPr>
          <w:sz w:val="22"/>
          <w:szCs w:val="22"/>
        </w:rPr>
        <w:t xml:space="preserve">kaikkien </w:t>
      </w:r>
      <w:r w:rsidRPr="00D17F78">
        <w:rPr>
          <w:sz w:val="22"/>
          <w:szCs w:val="22"/>
        </w:rPr>
        <w:t>tuomioistuinten tulisi hakeutua turvallisuusselvitysmenettelyyn eli laatia Suojelupoliisille selvitys turvallisuusselvitysten laatimisen edellytyksistä. Edellä todetulla tavalla tämä edellyttää analyysiä toimenpiteistä, joilla on rajoitettu pääsyä suojattaviin tietoihin ja muutoin huolehdittu viraston toimitilojen ja tietojärjestelmien yleisestä turvallisuudesta. Niin ikään tämä edellyttää niiden virkojen ja tehtävien tunnistamista, joihin nimitettävistä tulisi teettää turvallisuusselvitykset. Oikeusministeriö pitää perusteltuna myös, että tuomioistuimet nimeäisivät turvallisuusselvitysvastaavat.</w:t>
      </w:r>
      <w:r w:rsidR="004205DC">
        <w:rPr>
          <w:sz w:val="22"/>
          <w:szCs w:val="22"/>
        </w:rPr>
        <w:t xml:space="preserve"> Koska turvallisuusjärjestelyt ja tehtävät ovat eri tuomioistuimissa samankaltaisia, oikeusministeriö pitää perusteltuna, että tuomioistuimet </w:t>
      </w:r>
      <w:r w:rsidR="004D1709">
        <w:rPr>
          <w:sz w:val="22"/>
          <w:szCs w:val="22"/>
        </w:rPr>
        <w:t xml:space="preserve">yhdessä arvioisivat, mitä menettelyyn hakeutumisen edellyttämän selvityksen tulisi pitää sisällään. </w:t>
      </w:r>
      <w:r w:rsidR="004205DC">
        <w:rPr>
          <w:sz w:val="22"/>
          <w:szCs w:val="22"/>
        </w:rPr>
        <w:t xml:space="preserve">Oikeusministeriö voi tukea tässä työssä. </w:t>
      </w:r>
    </w:p>
    <w:p w14:paraId="0E5ECEDF" w14:textId="77777777" w:rsidR="00D17F78" w:rsidRDefault="00D17F78" w:rsidP="00D17F78">
      <w:pPr>
        <w:ind w:left="1298"/>
        <w:rPr>
          <w:sz w:val="22"/>
          <w:szCs w:val="22"/>
        </w:rPr>
      </w:pPr>
    </w:p>
    <w:p w14:paraId="138A3443" w14:textId="40FA686D" w:rsidR="00BD0C39" w:rsidRDefault="008039A5" w:rsidP="003F5E6B">
      <w:pPr>
        <w:ind w:left="1298"/>
        <w:rPr>
          <w:sz w:val="22"/>
          <w:szCs w:val="22"/>
        </w:rPr>
      </w:pPr>
      <w:r>
        <w:rPr>
          <w:sz w:val="22"/>
          <w:szCs w:val="22"/>
        </w:rPr>
        <w:t>Turvallisuus</w:t>
      </w:r>
      <w:r w:rsidR="00BD0C39">
        <w:rPr>
          <w:sz w:val="22"/>
          <w:szCs w:val="22"/>
        </w:rPr>
        <w:t>s</w:t>
      </w:r>
      <w:r>
        <w:rPr>
          <w:sz w:val="22"/>
          <w:szCs w:val="22"/>
        </w:rPr>
        <w:t>elvityslain perusteella menettely voi koskea tu</w:t>
      </w:r>
      <w:r w:rsidR="004205DC">
        <w:rPr>
          <w:sz w:val="22"/>
          <w:szCs w:val="22"/>
        </w:rPr>
        <w:t xml:space="preserve">omioistuinten koko henkilöstöä, koska </w:t>
      </w:r>
      <w:r>
        <w:rPr>
          <w:sz w:val="22"/>
          <w:szCs w:val="22"/>
        </w:rPr>
        <w:t xml:space="preserve">tuomioistuinten </w:t>
      </w:r>
      <w:r w:rsidR="004205DC">
        <w:rPr>
          <w:sz w:val="22"/>
          <w:szCs w:val="22"/>
        </w:rPr>
        <w:t xml:space="preserve">eri </w:t>
      </w:r>
      <w:r>
        <w:rPr>
          <w:sz w:val="22"/>
          <w:szCs w:val="22"/>
        </w:rPr>
        <w:t xml:space="preserve">henkilöstöryhmiin kuuluvilla voi olla pääsy suojattuihin asiakirjoihin. Se seikka, että </w:t>
      </w:r>
      <w:r w:rsidR="00D17F78">
        <w:rPr>
          <w:sz w:val="22"/>
          <w:szCs w:val="22"/>
        </w:rPr>
        <w:t>vakinaisten tuomareiden nimittämismenettely</w:t>
      </w:r>
      <w:r>
        <w:rPr>
          <w:sz w:val="22"/>
          <w:szCs w:val="22"/>
        </w:rPr>
        <w:t xml:space="preserve">yn </w:t>
      </w:r>
      <w:r w:rsidR="00D17F78">
        <w:rPr>
          <w:sz w:val="22"/>
          <w:szCs w:val="22"/>
        </w:rPr>
        <w:t>liittyy nimitettävän henkilön v</w:t>
      </w:r>
      <w:r>
        <w:rPr>
          <w:sz w:val="22"/>
          <w:szCs w:val="22"/>
        </w:rPr>
        <w:t>arsin seikkaperäinen arviointi, ei poista turvallisuusselvityksen laatimisen tarvetta. Nimittämism</w:t>
      </w:r>
      <w:r w:rsidR="00D17F78">
        <w:rPr>
          <w:sz w:val="22"/>
          <w:szCs w:val="22"/>
        </w:rPr>
        <w:t xml:space="preserve">enettelyssä ei selvitetä niitä asioita, joita turvallisuusselvityksessä arvioidaan. </w:t>
      </w:r>
      <w:r w:rsidR="003F5E6B">
        <w:rPr>
          <w:sz w:val="22"/>
          <w:szCs w:val="22"/>
        </w:rPr>
        <w:t>T</w:t>
      </w:r>
      <w:r w:rsidR="00D17F78">
        <w:rPr>
          <w:sz w:val="22"/>
          <w:szCs w:val="22"/>
        </w:rPr>
        <w:t>urvallisuusselvityksen teettäminen nimitettäväksi es</w:t>
      </w:r>
      <w:r w:rsidR="003F5E6B">
        <w:rPr>
          <w:sz w:val="22"/>
          <w:szCs w:val="22"/>
        </w:rPr>
        <w:t>itettävästä ei oikeusministeriön</w:t>
      </w:r>
      <w:r w:rsidR="00D17F78">
        <w:rPr>
          <w:sz w:val="22"/>
          <w:szCs w:val="22"/>
        </w:rPr>
        <w:t xml:space="preserve"> näkemyksen mukaan ole </w:t>
      </w:r>
      <w:r>
        <w:rPr>
          <w:sz w:val="22"/>
          <w:szCs w:val="22"/>
        </w:rPr>
        <w:t xml:space="preserve">suoranaisesti </w:t>
      </w:r>
      <w:r w:rsidR="00D17F78">
        <w:rPr>
          <w:sz w:val="22"/>
          <w:szCs w:val="22"/>
        </w:rPr>
        <w:t xml:space="preserve">ristiriidassa perustuslaissa säädetyn tuomarin tai tuomioistuinten riippumattomuuden kanssa, koska selvitys ei sido hakijaa. </w:t>
      </w:r>
    </w:p>
    <w:p w14:paraId="391DA449" w14:textId="77777777" w:rsidR="00BD0C39" w:rsidRDefault="00BD0C39" w:rsidP="003F5E6B">
      <w:pPr>
        <w:ind w:left="1298"/>
        <w:rPr>
          <w:sz w:val="22"/>
          <w:szCs w:val="22"/>
        </w:rPr>
      </w:pPr>
    </w:p>
    <w:p w14:paraId="4E30162F" w14:textId="0B00907A" w:rsidR="003F5E6B" w:rsidRDefault="004D1709" w:rsidP="004D1709">
      <w:pPr>
        <w:ind w:left="1298"/>
        <w:rPr>
          <w:sz w:val="22"/>
          <w:szCs w:val="22"/>
        </w:rPr>
      </w:pPr>
      <w:r w:rsidRPr="004D1709">
        <w:rPr>
          <w:sz w:val="22"/>
          <w:szCs w:val="22"/>
        </w:rPr>
        <w:t>Koska asiakirjaluokitusta ei tuomioistuinlaitoksessa ole vielä tehty, tarkan arvioinnin tekeminen selvitystä edellyttävistä tehtävistä ja sen laajuudesta on vaikeaa. Koska tuomioistuimissa käsiteltävien asiakirjojen laatu on tiedossa, alustavia arvioita siitä, missä määrin ja missä laajuudessa turvallisuusselvityksiä olisi tuomioistuimissa tarpeen tehdä, voidaan oikeusministeriön käsi</w:t>
      </w:r>
      <w:r w:rsidRPr="004D1709">
        <w:rPr>
          <w:sz w:val="22"/>
          <w:szCs w:val="22"/>
        </w:rPr>
        <w:lastRenderedPageBreak/>
        <w:t xml:space="preserve">tyksen mukaan kuitenkin tehdä jo nyt. </w:t>
      </w:r>
      <w:r w:rsidR="00F37E14">
        <w:rPr>
          <w:sz w:val="22"/>
          <w:szCs w:val="22"/>
        </w:rPr>
        <w:t xml:space="preserve">Huomattava on, että turvallisuusselvityksen laatiminen voi tulla kyseeseen myös muilla kuin asiakirjaluokitukseen perustuvilla turvallisuusselvityslaissa säädetyillä edellytyksillä. </w:t>
      </w:r>
      <w:r w:rsidRPr="004D1709">
        <w:rPr>
          <w:sz w:val="22"/>
          <w:szCs w:val="22"/>
        </w:rPr>
        <w:t xml:space="preserve">Lainsäädännön edellytykset huomioon ottaen oikeusministeriö pitää perusteltuna, että turvallisuusselvitysten hakeminen koskisi lähtökohtaisesti tuomioistuinten koko henkilöstöä korkeakouluharjoittelijoita ja lyhyitä määräaikaisuuksia lukuun ottamatta. Tämä vastaisi myös sitä, miten asia on ministeriössä linjattu. Oikeusministeriön käsityksen mukaan suppea selvitys olisi valtaosassa tehtäviä riittävä. Tarkemmin tulisi kuitenkin vielä selvittää, missä määrin tuomioistuimissa on tehtäviä, joihin nimitettäviltä tulisi edellyttää perusmuotoista turvallisuusselvitystä. Lisäksi olisi arvioitava, missä laajuudessa </w:t>
      </w:r>
      <w:r w:rsidR="001D3669">
        <w:rPr>
          <w:sz w:val="22"/>
          <w:szCs w:val="22"/>
        </w:rPr>
        <w:t xml:space="preserve">uuden tiedustelulainsäädännön mukaisia </w:t>
      </w:r>
      <w:r w:rsidRPr="004D1709">
        <w:rPr>
          <w:sz w:val="22"/>
          <w:szCs w:val="22"/>
        </w:rPr>
        <w:t>tiedustelulupa-asioita käsittelevä Helsingin käräjäoikeuden henkilöstö tulisi selvittää.</w:t>
      </w:r>
    </w:p>
    <w:p w14:paraId="2BF0B13A" w14:textId="77777777" w:rsidR="004D1709" w:rsidRPr="004D1709" w:rsidRDefault="004D1709" w:rsidP="004D1709">
      <w:pPr>
        <w:ind w:left="1298"/>
        <w:rPr>
          <w:sz w:val="22"/>
          <w:szCs w:val="22"/>
        </w:rPr>
      </w:pPr>
    </w:p>
    <w:p w14:paraId="46038003" w14:textId="03D96A02" w:rsidR="008039A5" w:rsidRDefault="003F5E6B" w:rsidP="003F5E6B">
      <w:pPr>
        <w:ind w:left="1298"/>
        <w:rPr>
          <w:sz w:val="22"/>
          <w:szCs w:val="22"/>
        </w:rPr>
      </w:pPr>
      <w:r w:rsidRPr="003F5E6B">
        <w:rPr>
          <w:sz w:val="22"/>
          <w:szCs w:val="22"/>
        </w:rPr>
        <w:t>Turvallis</w:t>
      </w:r>
      <w:r w:rsidR="00BD0C39">
        <w:rPr>
          <w:sz w:val="22"/>
          <w:szCs w:val="22"/>
        </w:rPr>
        <w:t xml:space="preserve">uusselvitysten laatiminen lisää </w:t>
      </w:r>
      <w:r w:rsidRPr="003F5E6B">
        <w:rPr>
          <w:sz w:val="22"/>
          <w:szCs w:val="22"/>
        </w:rPr>
        <w:t xml:space="preserve">tuomioistuinten </w:t>
      </w:r>
      <w:r w:rsidR="004A72AB">
        <w:rPr>
          <w:sz w:val="22"/>
          <w:szCs w:val="22"/>
        </w:rPr>
        <w:t xml:space="preserve">hallinnollista </w:t>
      </w:r>
      <w:r w:rsidRPr="003F5E6B">
        <w:rPr>
          <w:sz w:val="22"/>
          <w:szCs w:val="22"/>
        </w:rPr>
        <w:t>työtä</w:t>
      </w:r>
      <w:r>
        <w:rPr>
          <w:sz w:val="22"/>
          <w:szCs w:val="22"/>
        </w:rPr>
        <w:t xml:space="preserve">. </w:t>
      </w:r>
      <w:r w:rsidR="004A72AB">
        <w:rPr>
          <w:sz w:val="22"/>
          <w:szCs w:val="22"/>
        </w:rPr>
        <w:t xml:space="preserve">Päällekkäisen hallinnollisen työn välttämiseksi perusteltua olisi, että </w:t>
      </w:r>
      <w:r w:rsidR="008039A5">
        <w:rPr>
          <w:sz w:val="22"/>
          <w:szCs w:val="22"/>
        </w:rPr>
        <w:t xml:space="preserve">selvitysten hakeminen hoidettaisiin keskitetysti. Tehtävä ei riippumattomuusnäkökohdat huomioon ottaen sovi oikeusministeriölle, mutta se </w:t>
      </w:r>
      <w:r w:rsidR="00BD0C39">
        <w:rPr>
          <w:sz w:val="22"/>
          <w:szCs w:val="22"/>
        </w:rPr>
        <w:t>voisi kuulua perustettavalle</w:t>
      </w:r>
      <w:r w:rsidR="008039A5">
        <w:rPr>
          <w:sz w:val="22"/>
          <w:szCs w:val="22"/>
        </w:rPr>
        <w:t xml:space="preserve"> tuomioistuinvirastolle. Tätä ennen tehtävä kuuluisi tuomioistuimille itselleen. Yhtenä mahdollisuutena tosin on, että tuomarinvalintalautakunnalle ja tuomarinkoulutuslautakunnalle olisi </w:t>
      </w:r>
      <w:r w:rsidR="002D3B0E">
        <w:rPr>
          <w:sz w:val="22"/>
          <w:szCs w:val="22"/>
        </w:rPr>
        <w:t>keski</w:t>
      </w:r>
      <w:r w:rsidR="008039A5">
        <w:rPr>
          <w:sz w:val="22"/>
          <w:szCs w:val="22"/>
        </w:rPr>
        <w:t>tetty vastuu</w:t>
      </w:r>
      <w:r w:rsidR="00BD0C39">
        <w:rPr>
          <w:sz w:val="22"/>
          <w:szCs w:val="22"/>
        </w:rPr>
        <w:t xml:space="preserve"> hakea selvitykset vakinaisiksi</w:t>
      </w:r>
      <w:r w:rsidR="008039A5">
        <w:rPr>
          <w:sz w:val="22"/>
          <w:szCs w:val="22"/>
        </w:rPr>
        <w:t xml:space="preserve"> tuomarei</w:t>
      </w:r>
      <w:r w:rsidR="00BD0C39">
        <w:rPr>
          <w:sz w:val="22"/>
          <w:szCs w:val="22"/>
        </w:rPr>
        <w:t>ksi, asessoreiksi</w:t>
      </w:r>
      <w:r w:rsidR="008039A5">
        <w:rPr>
          <w:sz w:val="22"/>
          <w:szCs w:val="22"/>
        </w:rPr>
        <w:t xml:space="preserve"> ja käräjänotaareiksi nimitettävi</w:t>
      </w:r>
      <w:r w:rsidR="00BD0C39">
        <w:rPr>
          <w:sz w:val="22"/>
          <w:szCs w:val="22"/>
        </w:rPr>
        <w:t>stä</w:t>
      </w:r>
      <w:r w:rsidR="008039A5">
        <w:rPr>
          <w:sz w:val="22"/>
          <w:szCs w:val="22"/>
        </w:rPr>
        <w:t xml:space="preserve">. Tästä tehtävästä </w:t>
      </w:r>
      <w:r w:rsidR="00BD0C39">
        <w:rPr>
          <w:sz w:val="22"/>
          <w:szCs w:val="22"/>
        </w:rPr>
        <w:t xml:space="preserve">tulisi kuitenkin säätää </w:t>
      </w:r>
      <w:r w:rsidR="008039A5">
        <w:rPr>
          <w:sz w:val="22"/>
          <w:szCs w:val="22"/>
        </w:rPr>
        <w:t>erikseen laissa</w:t>
      </w:r>
      <w:r w:rsidR="00BD0C39">
        <w:rPr>
          <w:sz w:val="22"/>
          <w:szCs w:val="22"/>
        </w:rPr>
        <w:t>, koska lautakunnat eivät ole turvallisuusselvityslain 15 §:ssä tarkoitettuja henkilöturvallisuusselvityksen hakemiseen oikeutettuja selvityksen kohteen työnantajia</w:t>
      </w:r>
      <w:r w:rsidR="008039A5">
        <w:rPr>
          <w:sz w:val="22"/>
          <w:szCs w:val="22"/>
        </w:rPr>
        <w:t xml:space="preserve">. </w:t>
      </w:r>
    </w:p>
    <w:p w14:paraId="7B92768B" w14:textId="77777777" w:rsidR="008039A5" w:rsidRDefault="008039A5" w:rsidP="003F5E6B">
      <w:pPr>
        <w:ind w:left="1298"/>
        <w:rPr>
          <w:sz w:val="22"/>
          <w:szCs w:val="22"/>
        </w:rPr>
      </w:pPr>
    </w:p>
    <w:p w14:paraId="2C6724A9" w14:textId="42535BD7" w:rsidR="004205DC" w:rsidRDefault="008039A5" w:rsidP="003F5E6B">
      <w:pPr>
        <w:ind w:left="1298"/>
        <w:rPr>
          <w:sz w:val="22"/>
          <w:szCs w:val="22"/>
        </w:rPr>
      </w:pPr>
      <w:r>
        <w:rPr>
          <w:sz w:val="22"/>
          <w:szCs w:val="22"/>
        </w:rPr>
        <w:t xml:space="preserve">Turvallisuusselvitysten teettäminen lisää myös kustannuksia. </w:t>
      </w:r>
      <w:r w:rsidR="003F5E6B" w:rsidRPr="003F5E6B">
        <w:rPr>
          <w:sz w:val="22"/>
          <w:szCs w:val="22"/>
        </w:rPr>
        <w:t>Tuomioistuimissa työskenteli vuonna 2016 hieman yli 1000 tuomaria, noin 310 esittelijää, 135 käräjänotaaria ja yli 1700 muuta henkilöstöä. Jos näille kaikille yli 3100 työntekijälle teetettäisiin suppea turvallisuusselvitys, siitä aiheutuisi yli 170 000 euron kustannus. Näissä luvuissa ei ole mukana tuomioistuinten tiloissa työskenteleviä ulkopuolisia henkilöitä, kuten siivoojia tai vartijoita.</w:t>
      </w:r>
      <w:r w:rsidR="005B4948">
        <w:rPr>
          <w:sz w:val="22"/>
          <w:szCs w:val="22"/>
        </w:rPr>
        <w:t xml:space="preserve"> Mahdollisuudet lisärahoituksen saamiselle selvitetään. </w:t>
      </w:r>
    </w:p>
    <w:p w14:paraId="12F710EA" w14:textId="2C6194A8" w:rsidR="00792150" w:rsidRDefault="00792150" w:rsidP="003F5E6B">
      <w:pPr>
        <w:ind w:left="1298"/>
        <w:rPr>
          <w:sz w:val="22"/>
          <w:szCs w:val="22"/>
        </w:rPr>
      </w:pPr>
    </w:p>
    <w:sectPr w:rsidR="00792150" w:rsidSect="00ED2B4A">
      <w:headerReference w:type="even" r:id="rId10"/>
      <w:headerReference w:type="default" r:id="rId11"/>
      <w:footerReference w:type="even" r:id="rId12"/>
      <w:footerReference w:type="default" r:id="rId13"/>
      <w:headerReference w:type="first" r:id="rId14"/>
      <w:footerReference w:type="first" r:id="rId15"/>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F740" w14:textId="77777777" w:rsidR="006212FF" w:rsidRDefault="006212FF">
      <w:r>
        <w:separator/>
      </w:r>
    </w:p>
  </w:endnote>
  <w:endnote w:type="continuationSeparator" w:id="0">
    <w:p w14:paraId="3A419A44" w14:textId="77777777" w:rsidR="006212FF" w:rsidRDefault="0062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8AA5" w14:textId="77777777" w:rsidR="006212FF" w:rsidRDefault="006212F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3B1CCBF6" w14:textId="77777777" w:rsidR="006212FF" w:rsidRDefault="006212F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5E8A" w14:textId="77777777" w:rsidR="006212FF" w:rsidRDefault="006212FF">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6212FF" w:rsidRPr="0048319D" w14:paraId="5BFE4574" w14:textId="77777777">
      <w:trPr>
        <w:cantSplit/>
        <w:trHeight w:val="360"/>
      </w:trPr>
      <w:tc>
        <w:tcPr>
          <w:tcW w:w="5130" w:type="dxa"/>
          <w:gridSpan w:val="3"/>
          <w:vAlign w:val="bottom"/>
        </w:tcPr>
        <w:p w14:paraId="6FD5C486" w14:textId="77777777" w:rsidR="006212FF" w:rsidRPr="0048319D" w:rsidRDefault="006212FF">
          <w:pPr>
            <w:pStyle w:val="akptiedostopolku"/>
          </w:pPr>
        </w:p>
      </w:tc>
      <w:tc>
        <w:tcPr>
          <w:tcW w:w="76" w:type="dxa"/>
        </w:tcPr>
        <w:p w14:paraId="76E13433" w14:textId="77777777" w:rsidR="006212FF" w:rsidRPr="0048319D" w:rsidRDefault="006212FF">
          <w:pPr>
            <w:pStyle w:val="Alatunniste"/>
            <w:rPr>
              <w:sz w:val="12"/>
            </w:rPr>
          </w:pPr>
        </w:p>
      </w:tc>
      <w:tc>
        <w:tcPr>
          <w:tcW w:w="748" w:type="dxa"/>
        </w:tcPr>
        <w:p w14:paraId="389C7B8B" w14:textId="77777777" w:rsidR="006212FF" w:rsidRPr="0048319D" w:rsidRDefault="006212FF">
          <w:pPr>
            <w:pStyle w:val="Alatunniste"/>
            <w:rPr>
              <w:sz w:val="12"/>
            </w:rPr>
          </w:pPr>
        </w:p>
      </w:tc>
      <w:tc>
        <w:tcPr>
          <w:tcW w:w="1701" w:type="dxa"/>
        </w:tcPr>
        <w:p w14:paraId="663C5671" w14:textId="77777777" w:rsidR="006212FF" w:rsidRPr="0048319D" w:rsidRDefault="006212FF">
          <w:pPr>
            <w:pStyle w:val="Alatunniste"/>
            <w:rPr>
              <w:sz w:val="12"/>
            </w:rPr>
          </w:pPr>
        </w:p>
      </w:tc>
      <w:tc>
        <w:tcPr>
          <w:tcW w:w="2268" w:type="dxa"/>
        </w:tcPr>
        <w:p w14:paraId="33CD09D0" w14:textId="77777777" w:rsidR="006212FF" w:rsidRPr="0048319D" w:rsidRDefault="006212FF">
          <w:pPr>
            <w:pStyle w:val="Alatunniste"/>
            <w:rPr>
              <w:sz w:val="12"/>
            </w:rPr>
          </w:pPr>
        </w:p>
      </w:tc>
    </w:tr>
    <w:tr w:rsidR="006212FF" w:rsidRPr="0048319D" w14:paraId="4445721C" w14:textId="77777777">
      <w:trPr>
        <w:cantSplit/>
      </w:trPr>
      <w:tc>
        <w:tcPr>
          <w:tcW w:w="2835" w:type="dxa"/>
        </w:tcPr>
        <w:p w14:paraId="44BB6BA0" w14:textId="77777777" w:rsidR="006212FF" w:rsidRPr="0048319D" w:rsidRDefault="006212FF">
          <w:pPr>
            <w:pStyle w:val="Alatunniste"/>
            <w:rPr>
              <w:sz w:val="12"/>
            </w:rPr>
          </w:pPr>
        </w:p>
      </w:tc>
      <w:tc>
        <w:tcPr>
          <w:tcW w:w="1701" w:type="dxa"/>
        </w:tcPr>
        <w:p w14:paraId="651CB5F6" w14:textId="77777777" w:rsidR="006212FF" w:rsidRPr="0048319D" w:rsidRDefault="006212FF">
          <w:pPr>
            <w:pStyle w:val="Alatunniste"/>
            <w:rPr>
              <w:sz w:val="12"/>
            </w:rPr>
          </w:pPr>
        </w:p>
      </w:tc>
      <w:tc>
        <w:tcPr>
          <w:tcW w:w="1418" w:type="dxa"/>
          <w:gridSpan w:val="3"/>
        </w:tcPr>
        <w:p w14:paraId="197D7A3B" w14:textId="77777777" w:rsidR="006212FF" w:rsidRPr="0048319D" w:rsidRDefault="006212FF">
          <w:pPr>
            <w:pStyle w:val="Alatunniste"/>
            <w:rPr>
              <w:sz w:val="12"/>
            </w:rPr>
          </w:pPr>
        </w:p>
      </w:tc>
      <w:tc>
        <w:tcPr>
          <w:tcW w:w="1701" w:type="dxa"/>
        </w:tcPr>
        <w:p w14:paraId="7DC6F76E" w14:textId="77777777" w:rsidR="006212FF" w:rsidRPr="0048319D" w:rsidRDefault="006212FF">
          <w:pPr>
            <w:pStyle w:val="Alatunniste"/>
            <w:rPr>
              <w:sz w:val="12"/>
            </w:rPr>
          </w:pPr>
        </w:p>
      </w:tc>
      <w:tc>
        <w:tcPr>
          <w:tcW w:w="2268" w:type="dxa"/>
        </w:tcPr>
        <w:p w14:paraId="550F3A89" w14:textId="77777777" w:rsidR="006212FF" w:rsidRPr="0048319D" w:rsidRDefault="006212FF">
          <w:pPr>
            <w:pStyle w:val="Alatunniste"/>
            <w:rPr>
              <w:sz w:val="12"/>
            </w:rPr>
          </w:pPr>
        </w:p>
      </w:tc>
    </w:tr>
    <w:tr w:rsidR="006212FF" w:rsidRPr="0048319D" w14:paraId="06F70F65" w14:textId="77777777">
      <w:trPr>
        <w:cantSplit/>
      </w:trPr>
      <w:tc>
        <w:tcPr>
          <w:tcW w:w="2835" w:type="dxa"/>
        </w:tcPr>
        <w:p w14:paraId="37377BEE" w14:textId="77777777" w:rsidR="006212FF" w:rsidRPr="0048319D" w:rsidRDefault="006212FF">
          <w:pPr>
            <w:pStyle w:val="Alatunniste"/>
            <w:rPr>
              <w:sz w:val="18"/>
            </w:rPr>
          </w:pPr>
        </w:p>
      </w:tc>
      <w:tc>
        <w:tcPr>
          <w:tcW w:w="1701" w:type="dxa"/>
        </w:tcPr>
        <w:p w14:paraId="669A388B" w14:textId="77777777" w:rsidR="006212FF" w:rsidRPr="0048319D" w:rsidRDefault="006212FF">
          <w:pPr>
            <w:pStyle w:val="Alatunniste"/>
            <w:rPr>
              <w:sz w:val="18"/>
            </w:rPr>
          </w:pPr>
        </w:p>
      </w:tc>
      <w:tc>
        <w:tcPr>
          <w:tcW w:w="1418" w:type="dxa"/>
          <w:gridSpan w:val="3"/>
        </w:tcPr>
        <w:p w14:paraId="45781997" w14:textId="77777777" w:rsidR="006212FF" w:rsidRPr="0048319D" w:rsidRDefault="006212FF">
          <w:pPr>
            <w:pStyle w:val="Alatunniste"/>
            <w:rPr>
              <w:sz w:val="18"/>
            </w:rPr>
          </w:pPr>
        </w:p>
      </w:tc>
      <w:tc>
        <w:tcPr>
          <w:tcW w:w="1701" w:type="dxa"/>
        </w:tcPr>
        <w:p w14:paraId="2B7AA1AE" w14:textId="77777777" w:rsidR="006212FF" w:rsidRPr="0048319D" w:rsidRDefault="006212FF">
          <w:pPr>
            <w:pStyle w:val="Alatunniste"/>
            <w:rPr>
              <w:sz w:val="18"/>
            </w:rPr>
          </w:pPr>
        </w:p>
      </w:tc>
      <w:tc>
        <w:tcPr>
          <w:tcW w:w="2268" w:type="dxa"/>
        </w:tcPr>
        <w:p w14:paraId="1A99524D" w14:textId="77777777" w:rsidR="006212FF" w:rsidRPr="0048319D" w:rsidRDefault="006212FF">
          <w:pPr>
            <w:pStyle w:val="Alatunniste"/>
            <w:rPr>
              <w:sz w:val="18"/>
            </w:rPr>
          </w:pPr>
        </w:p>
      </w:tc>
    </w:tr>
  </w:tbl>
  <w:p w14:paraId="4F164ABD" w14:textId="77777777" w:rsidR="006212FF" w:rsidRDefault="006212F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6212FF" w:rsidRPr="0048319D" w14:paraId="761179FD" w14:textId="77777777" w:rsidTr="00ED2B4A">
      <w:trPr>
        <w:cantSplit/>
        <w:trHeight w:val="360"/>
      </w:trPr>
      <w:tc>
        <w:tcPr>
          <w:tcW w:w="5130" w:type="dxa"/>
          <w:gridSpan w:val="3"/>
          <w:vAlign w:val="bottom"/>
        </w:tcPr>
        <w:p w14:paraId="26131EE8" w14:textId="77777777" w:rsidR="006212FF" w:rsidRPr="009B04E6" w:rsidRDefault="006212FF">
          <w:pPr>
            <w:pStyle w:val="akptiedostopolku"/>
          </w:pPr>
        </w:p>
        <w:p w14:paraId="469573C9" w14:textId="77777777" w:rsidR="006212FF" w:rsidRPr="009B04E6" w:rsidRDefault="006212FF">
          <w:pPr>
            <w:pStyle w:val="akptiedostopolku"/>
          </w:pPr>
        </w:p>
      </w:tc>
      <w:tc>
        <w:tcPr>
          <w:tcW w:w="76" w:type="dxa"/>
        </w:tcPr>
        <w:p w14:paraId="6E87C720" w14:textId="77777777" w:rsidR="006212FF" w:rsidRPr="009B04E6" w:rsidRDefault="006212FF">
          <w:pPr>
            <w:pStyle w:val="Alatunniste"/>
            <w:rPr>
              <w:sz w:val="12"/>
              <w:lang w:val="sv-SE"/>
            </w:rPr>
          </w:pPr>
        </w:p>
      </w:tc>
      <w:tc>
        <w:tcPr>
          <w:tcW w:w="890" w:type="dxa"/>
        </w:tcPr>
        <w:p w14:paraId="69EF000C" w14:textId="77777777" w:rsidR="006212FF" w:rsidRPr="009B04E6" w:rsidRDefault="006212FF">
          <w:pPr>
            <w:pStyle w:val="Alatunniste"/>
            <w:rPr>
              <w:sz w:val="12"/>
              <w:lang w:val="sv-SE"/>
            </w:rPr>
          </w:pPr>
        </w:p>
      </w:tc>
      <w:tc>
        <w:tcPr>
          <w:tcW w:w="1701" w:type="dxa"/>
        </w:tcPr>
        <w:p w14:paraId="10E1BC15" w14:textId="77777777" w:rsidR="006212FF" w:rsidRPr="009B04E6" w:rsidRDefault="006212FF">
          <w:pPr>
            <w:pStyle w:val="Alatunniste"/>
            <w:rPr>
              <w:sz w:val="12"/>
              <w:lang w:val="sv-SE"/>
            </w:rPr>
          </w:pPr>
        </w:p>
      </w:tc>
      <w:tc>
        <w:tcPr>
          <w:tcW w:w="2126" w:type="dxa"/>
        </w:tcPr>
        <w:p w14:paraId="3EF91E70" w14:textId="77777777" w:rsidR="006212FF" w:rsidRPr="009B04E6" w:rsidRDefault="006212FF">
          <w:pPr>
            <w:pStyle w:val="Alatunniste"/>
            <w:rPr>
              <w:sz w:val="12"/>
              <w:lang w:val="sv-SE"/>
            </w:rPr>
          </w:pPr>
        </w:p>
      </w:tc>
    </w:tr>
    <w:tr w:rsidR="006212FF" w:rsidRPr="009B04E6" w14:paraId="2EE06F77" w14:textId="77777777" w:rsidTr="00ED2B4A">
      <w:trPr>
        <w:cantSplit/>
      </w:trPr>
      <w:tc>
        <w:tcPr>
          <w:tcW w:w="2127" w:type="dxa"/>
          <w:shd w:val="clear" w:color="auto" w:fill="auto"/>
          <w:tcMar>
            <w:left w:w="57" w:type="dxa"/>
            <w:right w:w="57" w:type="dxa"/>
          </w:tcMar>
        </w:tcPr>
        <w:p w14:paraId="1781CDCF" w14:textId="77777777" w:rsidR="006212FF" w:rsidRPr="00A02446" w:rsidRDefault="006212FF">
          <w:pPr>
            <w:pStyle w:val="Alatunniste"/>
            <w:rPr>
              <w:b/>
              <w:sz w:val="18"/>
              <w:szCs w:val="18"/>
              <w:lang w:val="sv-SE"/>
            </w:rPr>
          </w:pPr>
        </w:p>
      </w:tc>
      <w:tc>
        <w:tcPr>
          <w:tcW w:w="2409" w:type="dxa"/>
          <w:shd w:val="clear" w:color="auto" w:fill="auto"/>
          <w:tcMar>
            <w:left w:w="57" w:type="dxa"/>
            <w:right w:w="57" w:type="dxa"/>
          </w:tcMar>
        </w:tcPr>
        <w:p w14:paraId="69C12B14" w14:textId="77777777" w:rsidR="006212FF" w:rsidRPr="00A02446" w:rsidRDefault="006212FF">
          <w:pPr>
            <w:pStyle w:val="Alatunniste"/>
            <w:rPr>
              <w:b/>
              <w:sz w:val="18"/>
              <w:szCs w:val="18"/>
              <w:lang w:val="sv-SE"/>
            </w:rPr>
          </w:pPr>
        </w:p>
      </w:tc>
      <w:tc>
        <w:tcPr>
          <w:tcW w:w="1560" w:type="dxa"/>
          <w:gridSpan w:val="3"/>
          <w:shd w:val="clear" w:color="auto" w:fill="auto"/>
          <w:tcMar>
            <w:left w:w="57" w:type="dxa"/>
            <w:right w:w="57" w:type="dxa"/>
          </w:tcMar>
        </w:tcPr>
        <w:p w14:paraId="329E96E7" w14:textId="77777777" w:rsidR="006212FF" w:rsidRPr="00A02446" w:rsidRDefault="006212FF">
          <w:pPr>
            <w:pStyle w:val="Alatunniste"/>
            <w:rPr>
              <w:b/>
              <w:sz w:val="18"/>
              <w:szCs w:val="18"/>
              <w:lang w:val="sv-SE"/>
            </w:rPr>
          </w:pPr>
        </w:p>
      </w:tc>
      <w:tc>
        <w:tcPr>
          <w:tcW w:w="1701" w:type="dxa"/>
          <w:shd w:val="clear" w:color="auto" w:fill="auto"/>
          <w:tcMar>
            <w:left w:w="57" w:type="dxa"/>
            <w:right w:w="57" w:type="dxa"/>
          </w:tcMar>
        </w:tcPr>
        <w:p w14:paraId="090FE055" w14:textId="77777777" w:rsidR="006212FF" w:rsidRPr="00A02446" w:rsidRDefault="006212FF">
          <w:pPr>
            <w:pStyle w:val="Alatunniste"/>
            <w:rPr>
              <w:b/>
              <w:sz w:val="18"/>
              <w:szCs w:val="18"/>
              <w:lang w:val="sv-SE"/>
            </w:rPr>
          </w:pPr>
        </w:p>
      </w:tc>
      <w:tc>
        <w:tcPr>
          <w:tcW w:w="2126" w:type="dxa"/>
          <w:shd w:val="clear" w:color="auto" w:fill="auto"/>
          <w:tcMar>
            <w:left w:w="57" w:type="dxa"/>
            <w:right w:w="57" w:type="dxa"/>
          </w:tcMar>
        </w:tcPr>
        <w:p w14:paraId="411DCA23" w14:textId="77777777" w:rsidR="006212FF" w:rsidRPr="00A02446" w:rsidRDefault="006212FF">
          <w:pPr>
            <w:pStyle w:val="Alatunniste"/>
            <w:rPr>
              <w:b/>
              <w:sz w:val="18"/>
              <w:szCs w:val="18"/>
              <w:lang w:val="sv-SE"/>
            </w:rPr>
          </w:pPr>
        </w:p>
      </w:tc>
    </w:tr>
    <w:tr w:rsidR="006212FF" w:rsidRPr="009B04E6" w14:paraId="52659974" w14:textId="77777777" w:rsidTr="00ED2B4A">
      <w:trPr>
        <w:cantSplit/>
      </w:trPr>
      <w:tc>
        <w:tcPr>
          <w:tcW w:w="2127" w:type="dxa"/>
          <w:shd w:val="clear" w:color="auto" w:fill="auto"/>
          <w:tcMar>
            <w:left w:w="57" w:type="dxa"/>
            <w:right w:w="57" w:type="dxa"/>
          </w:tcMar>
        </w:tcPr>
        <w:p w14:paraId="7320FE65" w14:textId="77777777" w:rsidR="006212FF" w:rsidRPr="00A02446" w:rsidRDefault="006212FF">
          <w:pPr>
            <w:pStyle w:val="Alatunniste"/>
            <w:rPr>
              <w:sz w:val="18"/>
              <w:szCs w:val="18"/>
              <w:lang w:val="sv-SE"/>
            </w:rPr>
          </w:pPr>
        </w:p>
      </w:tc>
      <w:tc>
        <w:tcPr>
          <w:tcW w:w="2409" w:type="dxa"/>
          <w:shd w:val="clear" w:color="auto" w:fill="auto"/>
          <w:tcMar>
            <w:left w:w="57" w:type="dxa"/>
            <w:right w:w="57" w:type="dxa"/>
          </w:tcMar>
        </w:tcPr>
        <w:p w14:paraId="53CC648C" w14:textId="77777777" w:rsidR="006212FF" w:rsidRPr="00A02446" w:rsidRDefault="006212FF">
          <w:pPr>
            <w:pStyle w:val="Alatunniste"/>
            <w:rPr>
              <w:sz w:val="18"/>
              <w:szCs w:val="18"/>
              <w:lang w:val="sv-SE"/>
            </w:rPr>
          </w:pPr>
        </w:p>
      </w:tc>
      <w:tc>
        <w:tcPr>
          <w:tcW w:w="1560" w:type="dxa"/>
          <w:gridSpan w:val="3"/>
          <w:shd w:val="clear" w:color="auto" w:fill="auto"/>
          <w:tcMar>
            <w:left w:w="57" w:type="dxa"/>
            <w:right w:w="57" w:type="dxa"/>
          </w:tcMar>
        </w:tcPr>
        <w:p w14:paraId="633A3270" w14:textId="77777777" w:rsidR="006212FF" w:rsidRPr="00A02446" w:rsidRDefault="006212FF">
          <w:pPr>
            <w:pStyle w:val="Alatunniste"/>
            <w:rPr>
              <w:sz w:val="18"/>
              <w:szCs w:val="18"/>
              <w:lang w:val="sv-SE"/>
            </w:rPr>
          </w:pPr>
        </w:p>
      </w:tc>
      <w:tc>
        <w:tcPr>
          <w:tcW w:w="1701" w:type="dxa"/>
          <w:shd w:val="clear" w:color="auto" w:fill="auto"/>
          <w:tcMar>
            <w:left w:w="57" w:type="dxa"/>
            <w:right w:w="57" w:type="dxa"/>
          </w:tcMar>
        </w:tcPr>
        <w:p w14:paraId="4AADDBE3" w14:textId="77777777" w:rsidR="006212FF" w:rsidRPr="00A02446" w:rsidRDefault="006212FF">
          <w:pPr>
            <w:pStyle w:val="Alatunniste"/>
            <w:rPr>
              <w:sz w:val="18"/>
              <w:szCs w:val="18"/>
              <w:lang w:val="sv-SE"/>
            </w:rPr>
          </w:pPr>
        </w:p>
      </w:tc>
      <w:tc>
        <w:tcPr>
          <w:tcW w:w="2126" w:type="dxa"/>
          <w:shd w:val="clear" w:color="auto" w:fill="auto"/>
          <w:tcMar>
            <w:left w:w="57" w:type="dxa"/>
            <w:right w:w="57" w:type="dxa"/>
          </w:tcMar>
        </w:tcPr>
        <w:p w14:paraId="0AD96E35" w14:textId="77777777" w:rsidR="006212FF" w:rsidRPr="00A02446" w:rsidRDefault="006212FF">
          <w:pPr>
            <w:pStyle w:val="Alatunniste"/>
            <w:rPr>
              <w:sz w:val="18"/>
              <w:szCs w:val="18"/>
              <w:lang w:val="sv-SE"/>
            </w:rPr>
          </w:pPr>
        </w:p>
      </w:tc>
    </w:tr>
    <w:tr w:rsidR="006212FF" w:rsidRPr="009B04E6" w14:paraId="003D51E3" w14:textId="77777777" w:rsidTr="00ED2B4A">
      <w:trPr>
        <w:cantSplit/>
      </w:trPr>
      <w:tc>
        <w:tcPr>
          <w:tcW w:w="2127" w:type="dxa"/>
          <w:shd w:val="clear" w:color="auto" w:fill="auto"/>
          <w:tcMar>
            <w:left w:w="57" w:type="dxa"/>
            <w:right w:w="57" w:type="dxa"/>
          </w:tcMar>
        </w:tcPr>
        <w:p w14:paraId="1EBCEBCE" w14:textId="77777777" w:rsidR="006212FF" w:rsidRPr="00A02446" w:rsidRDefault="006212FF">
          <w:pPr>
            <w:pStyle w:val="Alatunniste"/>
            <w:rPr>
              <w:sz w:val="18"/>
              <w:szCs w:val="18"/>
              <w:lang w:val="sv-SE"/>
            </w:rPr>
          </w:pPr>
        </w:p>
      </w:tc>
      <w:tc>
        <w:tcPr>
          <w:tcW w:w="2409" w:type="dxa"/>
          <w:shd w:val="clear" w:color="auto" w:fill="auto"/>
          <w:tcMar>
            <w:left w:w="57" w:type="dxa"/>
            <w:right w:w="57" w:type="dxa"/>
          </w:tcMar>
        </w:tcPr>
        <w:p w14:paraId="50AF108E" w14:textId="77777777" w:rsidR="006212FF" w:rsidRPr="00A02446" w:rsidRDefault="006212FF">
          <w:pPr>
            <w:pStyle w:val="Alatunniste"/>
            <w:rPr>
              <w:sz w:val="18"/>
              <w:szCs w:val="18"/>
              <w:lang w:val="sv-SE"/>
            </w:rPr>
          </w:pPr>
        </w:p>
      </w:tc>
      <w:tc>
        <w:tcPr>
          <w:tcW w:w="1560" w:type="dxa"/>
          <w:gridSpan w:val="3"/>
          <w:shd w:val="clear" w:color="auto" w:fill="auto"/>
          <w:tcMar>
            <w:left w:w="57" w:type="dxa"/>
            <w:right w:w="57" w:type="dxa"/>
          </w:tcMar>
        </w:tcPr>
        <w:p w14:paraId="671B05CE" w14:textId="77777777" w:rsidR="006212FF" w:rsidRPr="00A02446" w:rsidRDefault="006212FF">
          <w:pPr>
            <w:pStyle w:val="Alatunniste"/>
            <w:rPr>
              <w:sz w:val="18"/>
              <w:szCs w:val="18"/>
              <w:lang w:val="sv-SE"/>
            </w:rPr>
          </w:pPr>
        </w:p>
      </w:tc>
      <w:tc>
        <w:tcPr>
          <w:tcW w:w="1701" w:type="dxa"/>
          <w:shd w:val="clear" w:color="auto" w:fill="auto"/>
          <w:tcMar>
            <w:left w:w="57" w:type="dxa"/>
            <w:right w:w="57" w:type="dxa"/>
          </w:tcMar>
        </w:tcPr>
        <w:p w14:paraId="12BA9119" w14:textId="77777777" w:rsidR="006212FF" w:rsidRPr="00A02446" w:rsidRDefault="006212FF">
          <w:pPr>
            <w:pStyle w:val="Alatunniste"/>
            <w:rPr>
              <w:sz w:val="18"/>
              <w:szCs w:val="18"/>
              <w:lang w:val="sv-SE"/>
            </w:rPr>
          </w:pPr>
        </w:p>
      </w:tc>
      <w:tc>
        <w:tcPr>
          <w:tcW w:w="2126" w:type="dxa"/>
          <w:shd w:val="clear" w:color="auto" w:fill="auto"/>
          <w:tcMar>
            <w:left w:w="57" w:type="dxa"/>
            <w:right w:w="57" w:type="dxa"/>
          </w:tcMar>
        </w:tcPr>
        <w:p w14:paraId="1A5D16B8" w14:textId="77777777" w:rsidR="006212FF" w:rsidRPr="00A02446" w:rsidRDefault="006212FF">
          <w:pPr>
            <w:pStyle w:val="Alatunniste"/>
            <w:rPr>
              <w:sz w:val="18"/>
              <w:szCs w:val="18"/>
              <w:lang w:val="sv-SE"/>
            </w:rPr>
          </w:pPr>
        </w:p>
      </w:tc>
    </w:tr>
    <w:tr w:rsidR="006212FF" w:rsidRPr="009B04E6" w14:paraId="4ED35724" w14:textId="77777777" w:rsidTr="00285B02">
      <w:trPr>
        <w:cantSplit/>
      </w:trPr>
      <w:tc>
        <w:tcPr>
          <w:tcW w:w="2127" w:type="dxa"/>
        </w:tcPr>
        <w:p w14:paraId="4B7B180D" w14:textId="77777777" w:rsidR="006212FF" w:rsidRPr="009B04E6" w:rsidRDefault="006212FF">
          <w:pPr>
            <w:pStyle w:val="Alatunniste"/>
            <w:rPr>
              <w:lang w:val="sv-SE"/>
            </w:rPr>
          </w:pPr>
        </w:p>
      </w:tc>
      <w:tc>
        <w:tcPr>
          <w:tcW w:w="2409" w:type="dxa"/>
        </w:tcPr>
        <w:p w14:paraId="4C569978" w14:textId="77777777" w:rsidR="006212FF" w:rsidRPr="009B04E6" w:rsidRDefault="006212FF">
          <w:pPr>
            <w:pStyle w:val="Alatunniste"/>
            <w:rPr>
              <w:lang w:val="sv-SE"/>
            </w:rPr>
          </w:pPr>
        </w:p>
      </w:tc>
      <w:tc>
        <w:tcPr>
          <w:tcW w:w="1560" w:type="dxa"/>
          <w:gridSpan w:val="3"/>
          <w:tcBorders>
            <w:left w:val="nil"/>
          </w:tcBorders>
        </w:tcPr>
        <w:p w14:paraId="314A644A" w14:textId="77777777" w:rsidR="006212FF" w:rsidRPr="009B04E6" w:rsidRDefault="006212FF">
          <w:pPr>
            <w:pStyle w:val="Alatunniste"/>
            <w:rPr>
              <w:lang w:val="sv-SE"/>
            </w:rPr>
          </w:pPr>
        </w:p>
      </w:tc>
      <w:tc>
        <w:tcPr>
          <w:tcW w:w="1701" w:type="dxa"/>
        </w:tcPr>
        <w:p w14:paraId="0DF6409B" w14:textId="77777777" w:rsidR="006212FF" w:rsidRPr="009B04E6" w:rsidRDefault="006212FF">
          <w:pPr>
            <w:pStyle w:val="Alatunniste"/>
            <w:rPr>
              <w:lang w:val="sv-SE"/>
            </w:rPr>
          </w:pPr>
        </w:p>
      </w:tc>
      <w:tc>
        <w:tcPr>
          <w:tcW w:w="2126" w:type="dxa"/>
        </w:tcPr>
        <w:p w14:paraId="3B1925FE" w14:textId="77777777" w:rsidR="006212FF" w:rsidRPr="009B04E6" w:rsidRDefault="006212FF">
          <w:pPr>
            <w:pStyle w:val="Alatunniste"/>
            <w:rPr>
              <w:lang w:val="sv-SE"/>
            </w:rPr>
          </w:pPr>
        </w:p>
      </w:tc>
    </w:tr>
    <w:tr w:rsidR="006212FF" w:rsidRPr="009B04E6" w14:paraId="7D8A1FC7" w14:textId="77777777" w:rsidTr="00B37BF8">
      <w:trPr>
        <w:cantSplit/>
      </w:trPr>
      <w:tc>
        <w:tcPr>
          <w:tcW w:w="2127" w:type="dxa"/>
        </w:tcPr>
        <w:p w14:paraId="1CC2E010" w14:textId="77777777" w:rsidR="006212FF" w:rsidRPr="009B04E6" w:rsidRDefault="006212FF">
          <w:pPr>
            <w:pStyle w:val="Alatunniste"/>
            <w:rPr>
              <w:lang w:val="sv-SE"/>
            </w:rPr>
          </w:pPr>
        </w:p>
      </w:tc>
      <w:tc>
        <w:tcPr>
          <w:tcW w:w="2409" w:type="dxa"/>
        </w:tcPr>
        <w:p w14:paraId="7B1A936F" w14:textId="77777777" w:rsidR="006212FF" w:rsidRPr="009B04E6" w:rsidRDefault="006212FF">
          <w:pPr>
            <w:pStyle w:val="Alatunniste"/>
            <w:rPr>
              <w:lang w:val="sv-SE"/>
            </w:rPr>
          </w:pPr>
        </w:p>
      </w:tc>
      <w:tc>
        <w:tcPr>
          <w:tcW w:w="1560" w:type="dxa"/>
          <w:gridSpan w:val="3"/>
        </w:tcPr>
        <w:p w14:paraId="4597106B" w14:textId="77777777" w:rsidR="006212FF" w:rsidRPr="009B04E6" w:rsidRDefault="006212FF">
          <w:pPr>
            <w:pStyle w:val="Alatunniste"/>
            <w:rPr>
              <w:lang w:val="sv-SE"/>
            </w:rPr>
          </w:pPr>
        </w:p>
      </w:tc>
      <w:tc>
        <w:tcPr>
          <w:tcW w:w="1701" w:type="dxa"/>
        </w:tcPr>
        <w:p w14:paraId="4F5DC5E4" w14:textId="77777777" w:rsidR="006212FF" w:rsidRPr="009B04E6" w:rsidRDefault="006212FF">
          <w:pPr>
            <w:pStyle w:val="Alatunniste"/>
            <w:rPr>
              <w:lang w:val="sv-SE"/>
            </w:rPr>
          </w:pPr>
        </w:p>
      </w:tc>
      <w:tc>
        <w:tcPr>
          <w:tcW w:w="2126" w:type="dxa"/>
        </w:tcPr>
        <w:p w14:paraId="5B7DA0AE" w14:textId="77777777" w:rsidR="006212FF" w:rsidRPr="009B04E6" w:rsidRDefault="006212FF">
          <w:pPr>
            <w:pStyle w:val="Alatunniste"/>
            <w:rPr>
              <w:lang w:val="sv-SE"/>
            </w:rPr>
          </w:pPr>
        </w:p>
      </w:tc>
    </w:tr>
  </w:tbl>
  <w:p w14:paraId="36F21D10" w14:textId="77777777" w:rsidR="006212FF" w:rsidRPr="009B04E6" w:rsidRDefault="006212FF">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97722" w14:textId="77777777" w:rsidR="006212FF" w:rsidRDefault="006212FF">
      <w:r>
        <w:separator/>
      </w:r>
    </w:p>
  </w:footnote>
  <w:footnote w:type="continuationSeparator" w:id="0">
    <w:p w14:paraId="2E82C8D4" w14:textId="77777777" w:rsidR="006212FF" w:rsidRDefault="0062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7060" w14:textId="77777777" w:rsidR="00781340" w:rsidRDefault="0078134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6212FF" w:rsidRPr="0048319D" w14:paraId="6AD39BFE" w14:textId="77777777">
      <w:trPr>
        <w:cantSplit/>
        <w:trHeight w:hRule="exact" w:val="20"/>
      </w:trPr>
      <w:tc>
        <w:tcPr>
          <w:tcW w:w="5216" w:type="dxa"/>
        </w:tcPr>
        <w:p w14:paraId="6E028B41" w14:textId="77777777" w:rsidR="006212FF" w:rsidRPr="0048319D" w:rsidRDefault="006212FF" w:rsidP="00483C2E">
          <w:pPr>
            <w:pStyle w:val="akpylatunniste"/>
          </w:pPr>
        </w:p>
      </w:tc>
      <w:tc>
        <w:tcPr>
          <w:tcW w:w="56" w:type="dxa"/>
        </w:tcPr>
        <w:p w14:paraId="72A53639" w14:textId="77777777" w:rsidR="006212FF" w:rsidRPr="0048319D" w:rsidRDefault="006212FF" w:rsidP="00483C2E">
          <w:pPr>
            <w:pStyle w:val="akpylatunniste"/>
          </w:pPr>
        </w:p>
      </w:tc>
      <w:tc>
        <w:tcPr>
          <w:tcW w:w="2608" w:type="dxa"/>
        </w:tcPr>
        <w:p w14:paraId="471E11FB" w14:textId="77777777" w:rsidR="006212FF" w:rsidRPr="0048319D" w:rsidRDefault="006212FF" w:rsidP="00483C2E">
          <w:pPr>
            <w:pStyle w:val="akpylatunniste"/>
          </w:pPr>
        </w:p>
      </w:tc>
      <w:tc>
        <w:tcPr>
          <w:tcW w:w="1805" w:type="dxa"/>
          <w:gridSpan w:val="2"/>
        </w:tcPr>
        <w:p w14:paraId="67A4ABF7" w14:textId="77777777" w:rsidR="006212FF" w:rsidRPr="0048319D" w:rsidRDefault="006212FF" w:rsidP="00483C2E">
          <w:pPr>
            <w:pStyle w:val="akpylatunniste"/>
          </w:pPr>
          <w:r w:rsidRPr="0048319D">
            <w:rPr>
              <w:rStyle w:val="akptunnus"/>
            </w:rPr>
            <w:t xml:space="preserve">  </w:t>
          </w:r>
        </w:p>
      </w:tc>
      <w:tc>
        <w:tcPr>
          <w:tcW w:w="663" w:type="dxa"/>
        </w:tcPr>
        <w:p w14:paraId="3365FE25" w14:textId="77777777" w:rsidR="006212FF" w:rsidRPr="0048319D" w:rsidRDefault="006212FF" w:rsidP="00483C2E">
          <w:pPr>
            <w:pStyle w:val="akpylatunniste"/>
          </w:pPr>
        </w:p>
      </w:tc>
    </w:tr>
    <w:tr w:rsidR="006212FF" w:rsidRPr="0048319D" w14:paraId="6AC9D181" w14:textId="77777777">
      <w:trPr>
        <w:cantSplit/>
        <w:trHeight w:val="280"/>
      </w:trPr>
      <w:tc>
        <w:tcPr>
          <w:tcW w:w="5216" w:type="dxa"/>
          <w:vMerge w:val="restart"/>
          <w:vAlign w:val="center"/>
        </w:tcPr>
        <w:p w14:paraId="53145536" w14:textId="77777777" w:rsidR="006212FF" w:rsidRPr="0048319D" w:rsidRDefault="006212FF" w:rsidP="00483C2E">
          <w:pPr>
            <w:pStyle w:val="akpylatunniste"/>
          </w:pPr>
        </w:p>
      </w:tc>
      <w:tc>
        <w:tcPr>
          <w:tcW w:w="56" w:type="dxa"/>
        </w:tcPr>
        <w:p w14:paraId="4E15CEDC" w14:textId="77777777" w:rsidR="006212FF" w:rsidRPr="0048319D" w:rsidRDefault="006212FF" w:rsidP="00483C2E">
          <w:pPr>
            <w:pStyle w:val="akpylatunniste"/>
          </w:pPr>
        </w:p>
      </w:tc>
      <w:tc>
        <w:tcPr>
          <w:tcW w:w="2608" w:type="dxa"/>
        </w:tcPr>
        <w:p w14:paraId="35ADAA62" w14:textId="77777777" w:rsidR="006212FF" w:rsidRPr="0048319D" w:rsidRDefault="006212FF" w:rsidP="00483C2E">
          <w:pPr>
            <w:pStyle w:val="akpylatunniste"/>
          </w:pPr>
        </w:p>
      </w:tc>
      <w:tc>
        <w:tcPr>
          <w:tcW w:w="1304" w:type="dxa"/>
        </w:tcPr>
        <w:p w14:paraId="626E50FC" w14:textId="77777777" w:rsidR="006212FF" w:rsidRPr="0048319D" w:rsidRDefault="006212FF" w:rsidP="00483C2E">
          <w:pPr>
            <w:pStyle w:val="akpylatunniste"/>
          </w:pPr>
        </w:p>
      </w:tc>
      <w:tc>
        <w:tcPr>
          <w:tcW w:w="1164" w:type="dxa"/>
          <w:gridSpan w:val="2"/>
        </w:tcPr>
        <w:p w14:paraId="3D25B627" w14:textId="7B41C009" w:rsidR="006212FF" w:rsidRPr="0048319D" w:rsidRDefault="006212FF"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781340">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781340">
            <w:rPr>
              <w:rStyle w:val="Sivunumero"/>
            </w:rPr>
            <w:t>10</w:t>
          </w:r>
          <w:r w:rsidRPr="0048319D">
            <w:rPr>
              <w:rStyle w:val="Sivunumero"/>
              <w:noProof w:val="0"/>
            </w:rPr>
            <w:fldChar w:fldCharType="end"/>
          </w:r>
          <w:r w:rsidRPr="0048319D">
            <w:rPr>
              <w:rStyle w:val="Sivunumero"/>
              <w:noProof w:val="0"/>
            </w:rPr>
            <w:t>)</w:t>
          </w:r>
        </w:p>
      </w:tc>
    </w:tr>
    <w:tr w:rsidR="006212FF" w:rsidRPr="0048319D" w14:paraId="6674AA44" w14:textId="77777777">
      <w:trPr>
        <w:cantSplit/>
        <w:trHeight w:val="230"/>
      </w:trPr>
      <w:tc>
        <w:tcPr>
          <w:tcW w:w="5216" w:type="dxa"/>
          <w:vMerge/>
        </w:tcPr>
        <w:p w14:paraId="5B772BD0" w14:textId="77777777" w:rsidR="006212FF" w:rsidRPr="0048319D" w:rsidRDefault="006212FF" w:rsidP="00483C2E">
          <w:pPr>
            <w:pStyle w:val="akpylatunniste"/>
          </w:pPr>
        </w:p>
      </w:tc>
      <w:tc>
        <w:tcPr>
          <w:tcW w:w="56" w:type="dxa"/>
        </w:tcPr>
        <w:p w14:paraId="05D89E69" w14:textId="77777777" w:rsidR="006212FF" w:rsidRPr="0048319D" w:rsidRDefault="006212FF" w:rsidP="00483C2E">
          <w:pPr>
            <w:pStyle w:val="akpylatunniste"/>
          </w:pPr>
        </w:p>
      </w:tc>
      <w:tc>
        <w:tcPr>
          <w:tcW w:w="2608" w:type="dxa"/>
        </w:tcPr>
        <w:p w14:paraId="6241DF6F" w14:textId="77777777" w:rsidR="006212FF" w:rsidRPr="0048319D" w:rsidRDefault="006212FF" w:rsidP="00483C2E">
          <w:pPr>
            <w:pStyle w:val="akpylatunniste"/>
          </w:pPr>
        </w:p>
      </w:tc>
      <w:tc>
        <w:tcPr>
          <w:tcW w:w="1304" w:type="dxa"/>
        </w:tcPr>
        <w:p w14:paraId="1425957F" w14:textId="77777777" w:rsidR="006212FF" w:rsidRPr="0048319D" w:rsidRDefault="006212FF" w:rsidP="00483C2E">
          <w:pPr>
            <w:pStyle w:val="akpylatunniste"/>
          </w:pPr>
        </w:p>
      </w:tc>
      <w:tc>
        <w:tcPr>
          <w:tcW w:w="1164" w:type="dxa"/>
          <w:gridSpan w:val="2"/>
        </w:tcPr>
        <w:p w14:paraId="00E4D965" w14:textId="77777777" w:rsidR="006212FF" w:rsidRPr="0048319D" w:rsidRDefault="006212FF" w:rsidP="00483C2E">
          <w:pPr>
            <w:pStyle w:val="akpylatunniste"/>
          </w:pPr>
        </w:p>
      </w:tc>
    </w:tr>
  </w:tbl>
  <w:p w14:paraId="24B4E3D9" w14:textId="77777777" w:rsidR="006212FF" w:rsidRDefault="006212FF">
    <w:pPr>
      <w:pStyle w:val="Yltunniste"/>
    </w:pPr>
  </w:p>
  <w:p w14:paraId="4A95C569" w14:textId="77777777" w:rsidR="006212FF" w:rsidRDefault="006212F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6212FF" w:rsidRPr="0048319D" w14:paraId="58248230" w14:textId="77777777" w:rsidTr="006E0973">
      <w:trPr>
        <w:cantSplit/>
        <w:trHeight w:hRule="exact" w:val="57"/>
      </w:trPr>
      <w:tc>
        <w:tcPr>
          <w:tcW w:w="5201" w:type="dxa"/>
        </w:tcPr>
        <w:p w14:paraId="5C346E57" w14:textId="77777777" w:rsidR="006212FF" w:rsidRPr="0008094E" w:rsidRDefault="006212FF" w:rsidP="00483C2E">
          <w:pPr>
            <w:pStyle w:val="akpylatunniste"/>
          </w:pPr>
        </w:p>
      </w:tc>
      <w:tc>
        <w:tcPr>
          <w:tcW w:w="66" w:type="dxa"/>
          <w:gridSpan w:val="2"/>
        </w:tcPr>
        <w:p w14:paraId="6279D5B2" w14:textId="77777777" w:rsidR="006212FF" w:rsidRPr="0008094E" w:rsidRDefault="006212FF" w:rsidP="00483C2E">
          <w:pPr>
            <w:pStyle w:val="akpylatunniste"/>
          </w:pPr>
        </w:p>
      </w:tc>
      <w:tc>
        <w:tcPr>
          <w:tcW w:w="2599" w:type="dxa"/>
          <w:vAlign w:val="bottom"/>
        </w:tcPr>
        <w:p w14:paraId="7708028D" w14:textId="77777777" w:rsidR="006212FF" w:rsidRPr="0008094E" w:rsidRDefault="006212FF" w:rsidP="00483C2E">
          <w:pPr>
            <w:pStyle w:val="akpylatunniste"/>
          </w:pPr>
        </w:p>
      </w:tc>
      <w:tc>
        <w:tcPr>
          <w:tcW w:w="1301" w:type="dxa"/>
        </w:tcPr>
        <w:p w14:paraId="0956C2DA" w14:textId="77777777" w:rsidR="006212FF" w:rsidRPr="0008094E" w:rsidRDefault="006212FF" w:rsidP="00483C2E">
          <w:pPr>
            <w:pStyle w:val="akpylatunniste"/>
          </w:pPr>
        </w:p>
      </w:tc>
      <w:tc>
        <w:tcPr>
          <w:tcW w:w="1196" w:type="dxa"/>
          <w:gridSpan w:val="4"/>
        </w:tcPr>
        <w:p w14:paraId="607DE0C3" w14:textId="77777777" w:rsidR="006212FF" w:rsidRPr="0008094E" w:rsidRDefault="006212FF" w:rsidP="00483C2E">
          <w:pPr>
            <w:pStyle w:val="akpylatunniste"/>
          </w:pPr>
        </w:p>
      </w:tc>
    </w:tr>
    <w:tr w:rsidR="006212FF" w:rsidRPr="0048319D" w14:paraId="26BCFB36" w14:textId="77777777" w:rsidTr="006E0973">
      <w:trPr>
        <w:cantSplit/>
        <w:trHeight w:hRule="exact" w:val="936"/>
      </w:trPr>
      <w:tc>
        <w:tcPr>
          <w:tcW w:w="5237" w:type="dxa"/>
          <w:gridSpan w:val="2"/>
          <w:vMerge w:val="restart"/>
        </w:tcPr>
        <w:p w14:paraId="0BA3541E" w14:textId="77777777" w:rsidR="006212FF" w:rsidRPr="00ED2B4A" w:rsidRDefault="006212FF" w:rsidP="00483C2E">
          <w:pPr>
            <w:pStyle w:val="akpylatunniste"/>
            <w:rPr>
              <w:sz w:val="26"/>
            </w:rPr>
          </w:pPr>
          <w:r>
            <w:rPr>
              <w:lang w:eastAsia="fi-FI"/>
            </w:rPr>
            <w:drawing>
              <wp:inline distT="0" distB="0" distL="0" distR="0" wp14:anchorId="027B8391" wp14:editId="5772F81D">
                <wp:extent cx="2301240" cy="525780"/>
                <wp:effectExtent l="0" t="0" r="3810" b="762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25780"/>
                        </a:xfrm>
                        <a:prstGeom prst="rect">
                          <a:avLst/>
                        </a:prstGeom>
                        <a:noFill/>
                        <a:ln>
                          <a:noFill/>
                        </a:ln>
                      </pic:spPr>
                    </pic:pic>
                  </a:graphicData>
                </a:graphic>
              </wp:inline>
            </w:drawing>
          </w:r>
        </w:p>
      </w:tc>
      <w:tc>
        <w:tcPr>
          <w:tcW w:w="30" w:type="dxa"/>
        </w:tcPr>
        <w:p w14:paraId="13DEACDC" w14:textId="77777777" w:rsidR="006212FF" w:rsidRPr="00483C2E" w:rsidRDefault="006212FF" w:rsidP="00483C2E">
          <w:pPr>
            <w:pStyle w:val="akpylatunniste"/>
          </w:pPr>
        </w:p>
      </w:tc>
      <w:tc>
        <w:tcPr>
          <w:tcW w:w="2599" w:type="dxa"/>
          <w:vAlign w:val="bottom"/>
        </w:tcPr>
        <w:p w14:paraId="609A42F8" w14:textId="77777777" w:rsidR="006212FF" w:rsidRPr="00483C2E" w:rsidRDefault="006212FF" w:rsidP="00483C2E">
          <w:pPr>
            <w:pStyle w:val="akpylatunniste"/>
            <w:rPr>
              <w:rStyle w:val="akpatyyppi"/>
            </w:rPr>
          </w:pPr>
        </w:p>
      </w:tc>
      <w:tc>
        <w:tcPr>
          <w:tcW w:w="1301" w:type="dxa"/>
        </w:tcPr>
        <w:p w14:paraId="19081623" w14:textId="77777777" w:rsidR="006212FF" w:rsidRPr="00483C2E" w:rsidRDefault="006212FF" w:rsidP="00ED2B4A">
          <w:pPr>
            <w:pStyle w:val="akpylatunniste"/>
          </w:pPr>
          <w:r>
            <w:rPr>
              <w:rStyle w:val="akptunniste"/>
            </w:rPr>
            <w:t xml:space="preserve"> </w:t>
          </w:r>
          <w:r>
            <w:rPr>
              <w:rStyle w:val="akptunnus"/>
            </w:rPr>
            <w:t xml:space="preserve"> </w:t>
          </w:r>
        </w:p>
      </w:tc>
      <w:tc>
        <w:tcPr>
          <w:tcW w:w="1196" w:type="dxa"/>
          <w:gridSpan w:val="4"/>
        </w:tcPr>
        <w:p w14:paraId="664601B9" w14:textId="77777777" w:rsidR="006212FF" w:rsidRPr="00483C2E" w:rsidRDefault="006212FF" w:rsidP="00483C2E">
          <w:pPr>
            <w:pStyle w:val="akpylatunniste"/>
          </w:pPr>
        </w:p>
      </w:tc>
    </w:tr>
    <w:tr w:rsidR="006212FF" w:rsidRPr="0048319D" w14:paraId="60A0106E" w14:textId="77777777" w:rsidTr="006E0973">
      <w:trPr>
        <w:cantSplit/>
        <w:trHeight w:val="369"/>
      </w:trPr>
      <w:tc>
        <w:tcPr>
          <w:tcW w:w="5237" w:type="dxa"/>
          <w:gridSpan w:val="2"/>
          <w:vMerge/>
        </w:tcPr>
        <w:p w14:paraId="3AFE1AC3" w14:textId="77777777" w:rsidR="006212FF" w:rsidRPr="00483C2E" w:rsidRDefault="006212FF" w:rsidP="00483C2E">
          <w:pPr>
            <w:pStyle w:val="akpylatunniste"/>
          </w:pPr>
        </w:p>
      </w:tc>
      <w:tc>
        <w:tcPr>
          <w:tcW w:w="30" w:type="dxa"/>
        </w:tcPr>
        <w:p w14:paraId="41558401" w14:textId="77777777" w:rsidR="006212FF" w:rsidRPr="00483C2E" w:rsidRDefault="006212FF" w:rsidP="00483C2E">
          <w:pPr>
            <w:pStyle w:val="akpylatunniste"/>
          </w:pPr>
        </w:p>
      </w:tc>
      <w:tc>
        <w:tcPr>
          <w:tcW w:w="2597" w:type="dxa"/>
          <w:vAlign w:val="bottom"/>
        </w:tcPr>
        <w:p w14:paraId="08B5FA0D" w14:textId="77777777" w:rsidR="006212FF" w:rsidRPr="00483C2E" w:rsidRDefault="006212FF" w:rsidP="00ED2B4A">
          <w:pPr>
            <w:pStyle w:val="akpylatunniste"/>
          </w:pPr>
          <w:r>
            <w:rPr>
              <w:rStyle w:val="akpatyyppi"/>
            </w:rPr>
            <w:t>ARVIOMUISTIO</w:t>
          </w:r>
        </w:p>
      </w:tc>
      <w:tc>
        <w:tcPr>
          <w:tcW w:w="1373" w:type="dxa"/>
          <w:vAlign w:val="bottom"/>
        </w:tcPr>
        <w:p w14:paraId="4846767A" w14:textId="77777777" w:rsidR="006212FF" w:rsidRPr="00483C2E" w:rsidRDefault="006212FF" w:rsidP="00ED2B4A">
          <w:pPr>
            <w:pStyle w:val="akpylatunniste"/>
          </w:pPr>
        </w:p>
      </w:tc>
      <w:tc>
        <w:tcPr>
          <w:tcW w:w="1196" w:type="dxa"/>
          <w:gridSpan w:val="4"/>
          <w:vAlign w:val="bottom"/>
        </w:tcPr>
        <w:p w14:paraId="523BF12C" w14:textId="77777777" w:rsidR="006212FF" w:rsidRPr="00483C2E" w:rsidRDefault="006212FF" w:rsidP="00483C2E">
          <w:pPr>
            <w:pStyle w:val="akpylatunniste"/>
          </w:pPr>
        </w:p>
      </w:tc>
    </w:tr>
    <w:tr w:rsidR="006212FF" w:rsidRPr="0048319D" w14:paraId="1E29BF27" w14:textId="77777777" w:rsidTr="006E0973">
      <w:trPr>
        <w:cantSplit/>
        <w:trHeight w:val="230"/>
      </w:trPr>
      <w:tc>
        <w:tcPr>
          <w:tcW w:w="5237" w:type="dxa"/>
          <w:gridSpan w:val="2"/>
          <w:vAlign w:val="bottom"/>
        </w:tcPr>
        <w:p w14:paraId="77A337EE" w14:textId="77777777" w:rsidR="006212FF" w:rsidRPr="00483C2E" w:rsidRDefault="006212FF" w:rsidP="00483C2E">
          <w:pPr>
            <w:pStyle w:val="akpylatunniste"/>
          </w:pPr>
          <w:r>
            <w:t>Oikeushallinto-osasto</w:t>
          </w:r>
        </w:p>
      </w:tc>
      <w:tc>
        <w:tcPr>
          <w:tcW w:w="30" w:type="dxa"/>
          <w:vAlign w:val="bottom"/>
        </w:tcPr>
        <w:p w14:paraId="4BA59BD9" w14:textId="77777777" w:rsidR="006212FF" w:rsidRPr="00483C2E" w:rsidRDefault="006212FF" w:rsidP="00483C2E">
          <w:pPr>
            <w:pStyle w:val="akpylatunniste"/>
          </w:pPr>
        </w:p>
      </w:tc>
      <w:tc>
        <w:tcPr>
          <w:tcW w:w="2599" w:type="dxa"/>
          <w:vAlign w:val="bottom"/>
        </w:tcPr>
        <w:p w14:paraId="2B58AD5F" w14:textId="1027F7DE" w:rsidR="006212FF" w:rsidRPr="00483C2E" w:rsidRDefault="006212FF" w:rsidP="00483C2E">
          <w:pPr>
            <w:pStyle w:val="akpylatunniste"/>
            <w:rPr>
              <w:rStyle w:val="akppaivays"/>
            </w:rPr>
          </w:pPr>
          <w:bookmarkStart w:id="0" w:name="_GoBack"/>
          <w:bookmarkEnd w:id="0"/>
        </w:p>
      </w:tc>
      <w:tc>
        <w:tcPr>
          <w:tcW w:w="2467" w:type="dxa"/>
          <w:gridSpan w:val="4"/>
          <w:vAlign w:val="bottom"/>
        </w:tcPr>
        <w:p w14:paraId="03FFF1AD" w14:textId="77777777" w:rsidR="006212FF" w:rsidRPr="00483C2E" w:rsidRDefault="006212FF" w:rsidP="00483C2E">
          <w:pPr>
            <w:pStyle w:val="akpylatunniste"/>
            <w:rPr>
              <w:rStyle w:val="akptunniste"/>
            </w:rPr>
          </w:pPr>
        </w:p>
      </w:tc>
      <w:tc>
        <w:tcPr>
          <w:tcW w:w="30" w:type="dxa"/>
        </w:tcPr>
        <w:p w14:paraId="0CE73D5D" w14:textId="77777777" w:rsidR="006212FF" w:rsidRPr="00483C2E" w:rsidRDefault="006212FF" w:rsidP="00483C2E">
          <w:pPr>
            <w:pStyle w:val="akpylatunniste"/>
          </w:pPr>
        </w:p>
      </w:tc>
    </w:tr>
    <w:tr w:rsidR="006212FF" w:rsidRPr="0048319D" w14:paraId="4632463B" w14:textId="77777777" w:rsidTr="006E0973">
      <w:trPr>
        <w:cantSplit/>
        <w:trHeight w:val="280"/>
      </w:trPr>
      <w:tc>
        <w:tcPr>
          <w:tcW w:w="5237" w:type="dxa"/>
          <w:gridSpan w:val="2"/>
        </w:tcPr>
        <w:p w14:paraId="4296EEA5" w14:textId="77777777" w:rsidR="006212FF" w:rsidRDefault="006212FF" w:rsidP="00ED2B4A">
          <w:pPr>
            <w:pStyle w:val="akpyksikko"/>
          </w:pPr>
          <w:r>
            <w:t>Tuomioistuinyksikkö</w:t>
          </w:r>
        </w:p>
        <w:p w14:paraId="334E019D" w14:textId="77777777" w:rsidR="006212FF" w:rsidRPr="00483C2E" w:rsidRDefault="006212FF" w:rsidP="00ED2B4A">
          <w:pPr>
            <w:pStyle w:val="akpyksikko"/>
          </w:pPr>
          <w:r>
            <w:t>Hallitussihteeri Jennimari Huovinen</w:t>
          </w:r>
        </w:p>
      </w:tc>
      <w:tc>
        <w:tcPr>
          <w:tcW w:w="30" w:type="dxa"/>
        </w:tcPr>
        <w:p w14:paraId="52A0BD6C" w14:textId="77777777" w:rsidR="006212FF" w:rsidRPr="00483C2E" w:rsidRDefault="006212FF" w:rsidP="00483C2E">
          <w:pPr>
            <w:pStyle w:val="akpylatunniste"/>
          </w:pPr>
        </w:p>
      </w:tc>
      <w:tc>
        <w:tcPr>
          <w:tcW w:w="2599" w:type="dxa"/>
        </w:tcPr>
        <w:p w14:paraId="7B8FCCD2" w14:textId="5515AF8F" w:rsidR="006212FF" w:rsidRPr="00483C2E" w:rsidRDefault="004E1D31" w:rsidP="00C151B6">
          <w:pPr>
            <w:pStyle w:val="akpylatunniste"/>
          </w:pPr>
          <w:r>
            <w:rPr>
              <w:rStyle w:val="akppaivays"/>
            </w:rPr>
            <w:t>6</w:t>
          </w:r>
          <w:r w:rsidR="001B1549">
            <w:rPr>
              <w:rStyle w:val="akppaivays"/>
            </w:rPr>
            <w:t>.2</w:t>
          </w:r>
          <w:r w:rsidR="006240AF">
            <w:rPr>
              <w:rStyle w:val="akppaivays"/>
            </w:rPr>
            <w:t>.2018</w:t>
          </w:r>
        </w:p>
      </w:tc>
      <w:tc>
        <w:tcPr>
          <w:tcW w:w="2442" w:type="dxa"/>
          <w:gridSpan w:val="3"/>
        </w:tcPr>
        <w:p w14:paraId="56B18667" w14:textId="12F4B08A" w:rsidR="006212FF" w:rsidRPr="00483C2E" w:rsidRDefault="00B13572" w:rsidP="00B13572">
          <w:pPr>
            <w:pStyle w:val="akpylatunniste"/>
          </w:pPr>
          <w:r w:rsidRPr="00B13572">
            <w:t>OM 1/31/2018</w:t>
          </w:r>
        </w:p>
      </w:tc>
      <w:tc>
        <w:tcPr>
          <w:tcW w:w="55" w:type="dxa"/>
          <w:gridSpan w:val="2"/>
        </w:tcPr>
        <w:p w14:paraId="737E0FD5" w14:textId="77777777" w:rsidR="006212FF" w:rsidRPr="00483C2E" w:rsidRDefault="006212FF" w:rsidP="00483C2E">
          <w:pPr>
            <w:pStyle w:val="akpylatunniste"/>
          </w:pPr>
        </w:p>
      </w:tc>
    </w:tr>
    <w:tr w:rsidR="006212FF" w:rsidRPr="0048319D" w14:paraId="2274E86A" w14:textId="77777777" w:rsidTr="006E0973">
      <w:trPr>
        <w:cantSplit/>
        <w:trHeight w:hRule="exact" w:val="340"/>
      </w:trPr>
      <w:tc>
        <w:tcPr>
          <w:tcW w:w="5237" w:type="dxa"/>
          <w:gridSpan w:val="2"/>
        </w:tcPr>
        <w:p w14:paraId="11BD15FC" w14:textId="77777777" w:rsidR="006212FF" w:rsidRPr="00483C2E" w:rsidRDefault="006212FF" w:rsidP="00ED2B4A">
          <w:pPr>
            <w:pStyle w:val="akpylatunniste"/>
          </w:pPr>
          <w:r>
            <w:rPr>
              <w:rStyle w:val="akplaatija"/>
            </w:rPr>
            <w:t xml:space="preserve"> </w:t>
          </w:r>
        </w:p>
      </w:tc>
      <w:tc>
        <w:tcPr>
          <w:tcW w:w="30" w:type="dxa"/>
        </w:tcPr>
        <w:p w14:paraId="1E012224" w14:textId="77777777" w:rsidR="006212FF" w:rsidRPr="00483C2E" w:rsidRDefault="006212FF" w:rsidP="00483C2E">
          <w:pPr>
            <w:pStyle w:val="akpylatunniste"/>
          </w:pPr>
        </w:p>
      </w:tc>
      <w:tc>
        <w:tcPr>
          <w:tcW w:w="2599" w:type="dxa"/>
        </w:tcPr>
        <w:p w14:paraId="2C877E65" w14:textId="77777777" w:rsidR="006212FF" w:rsidRPr="00483C2E" w:rsidRDefault="006212FF" w:rsidP="00483C2E">
          <w:pPr>
            <w:pStyle w:val="akpylatunniste"/>
          </w:pPr>
        </w:p>
      </w:tc>
      <w:tc>
        <w:tcPr>
          <w:tcW w:w="2037" w:type="dxa"/>
          <w:gridSpan w:val="2"/>
        </w:tcPr>
        <w:p w14:paraId="6508AED3" w14:textId="77777777" w:rsidR="006212FF" w:rsidRPr="00483C2E" w:rsidRDefault="006212FF" w:rsidP="00483C2E">
          <w:pPr>
            <w:pStyle w:val="akpylatunniste"/>
          </w:pPr>
          <w:r>
            <w:t xml:space="preserve"> </w:t>
          </w:r>
        </w:p>
      </w:tc>
      <w:tc>
        <w:tcPr>
          <w:tcW w:w="460" w:type="dxa"/>
          <w:gridSpan w:val="3"/>
        </w:tcPr>
        <w:p w14:paraId="1927AF18" w14:textId="77777777" w:rsidR="006212FF" w:rsidRPr="00483C2E" w:rsidRDefault="006212FF" w:rsidP="00483C2E">
          <w:pPr>
            <w:pStyle w:val="akpylatunniste"/>
          </w:pPr>
        </w:p>
      </w:tc>
    </w:tr>
  </w:tbl>
  <w:p w14:paraId="7A04E2ED" w14:textId="77777777" w:rsidR="006212FF" w:rsidRDefault="006212FF">
    <w:pPr>
      <w:pStyle w:val="Yltunniste"/>
    </w:pPr>
  </w:p>
  <w:p w14:paraId="288295AF" w14:textId="77777777" w:rsidR="006212FF" w:rsidRDefault="006212F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2314750"/>
    <w:multiLevelType w:val="hybridMultilevel"/>
    <w:tmpl w:val="E5928EC6"/>
    <w:lvl w:ilvl="0" w:tplc="D2B2A3A8">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2" w15:restartNumberingAfterBreak="0">
    <w:nsid w:val="03E76715"/>
    <w:multiLevelType w:val="hybridMultilevel"/>
    <w:tmpl w:val="CA966D3A"/>
    <w:lvl w:ilvl="0" w:tplc="C160032A">
      <w:numFmt w:val="bullet"/>
      <w:lvlText w:val="−"/>
      <w:lvlJc w:val="left"/>
      <w:pPr>
        <w:ind w:left="3892" w:hanging="1296"/>
      </w:pPr>
      <w:rPr>
        <w:rFonts w:ascii="Calibri" w:eastAsia="Times New Roman" w:hAnsi="Calibri" w:cs="Times New Roman" w:hint="default"/>
      </w:rPr>
    </w:lvl>
    <w:lvl w:ilvl="1" w:tplc="040B0003">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3" w15:restartNumberingAfterBreak="0">
    <w:nsid w:val="08BA664D"/>
    <w:multiLevelType w:val="hybridMultilevel"/>
    <w:tmpl w:val="BDCA92BA"/>
    <w:lvl w:ilvl="0" w:tplc="C160032A">
      <w:numFmt w:val="bullet"/>
      <w:lvlText w:val="−"/>
      <w:lvlJc w:val="left"/>
      <w:pPr>
        <w:ind w:left="2594" w:hanging="1296"/>
      </w:pPr>
      <w:rPr>
        <w:rFonts w:ascii="Calibri" w:eastAsia="Times New Roman" w:hAnsi="Calibri"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4"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5" w15:restartNumberingAfterBreak="0">
    <w:nsid w:val="12CE1D28"/>
    <w:multiLevelType w:val="hybridMultilevel"/>
    <w:tmpl w:val="9412F9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7B13B4"/>
    <w:multiLevelType w:val="hybridMultilevel"/>
    <w:tmpl w:val="1E7A9CF6"/>
    <w:lvl w:ilvl="0" w:tplc="F156141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722323"/>
    <w:multiLevelType w:val="hybridMultilevel"/>
    <w:tmpl w:val="3DFC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9"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0" w15:restartNumberingAfterBreak="0">
    <w:nsid w:val="28B97870"/>
    <w:multiLevelType w:val="hybridMultilevel"/>
    <w:tmpl w:val="CF3A9A92"/>
    <w:lvl w:ilvl="0" w:tplc="405C66D8">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1" w15:restartNumberingAfterBreak="0">
    <w:nsid w:val="2E1346CD"/>
    <w:multiLevelType w:val="hybridMultilevel"/>
    <w:tmpl w:val="F9F6DF90"/>
    <w:lvl w:ilvl="0" w:tplc="D2B2A3A8">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2"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3" w15:restartNumberingAfterBreak="0">
    <w:nsid w:val="4552151F"/>
    <w:multiLevelType w:val="hybridMultilevel"/>
    <w:tmpl w:val="E56C1790"/>
    <w:lvl w:ilvl="0" w:tplc="D2B2A3A8">
      <w:start w:val="1"/>
      <w:numFmt w:val="decimal"/>
      <w:lvlText w:val="%1)"/>
      <w:lvlJc w:val="left"/>
      <w:pPr>
        <w:ind w:left="2956" w:hanging="360"/>
      </w:pPr>
      <w:rPr>
        <w:rFonts w:hint="default"/>
      </w:r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14"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5" w15:restartNumberingAfterBreak="0">
    <w:nsid w:val="4BDF79D2"/>
    <w:multiLevelType w:val="hybridMultilevel"/>
    <w:tmpl w:val="7E12E6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835286C"/>
    <w:multiLevelType w:val="hybridMultilevel"/>
    <w:tmpl w:val="05F01AA8"/>
    <w:lvl w:ilvl="0" w:tplc="F156141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C0C104A"/>
    <w:multiLevelType w:val="hybridMultilevel"/>
    <w:tmpl w:val="29888FF4"/>
    <w:lvl w:ilvl="0" w:tplc="F156141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9" w15:restartNumberingAfterBreak="0">
    <w:nsid w:val="5E69231B"/>
    <w:multiLevelType w:val="hybridMultilevel"/>
    <w:tmpl w:val="1DF498A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DBE"/>
    <w:multiLevelType w:val="hybridMultilevel"/>
    <w:tmpl w:val="2F984FDC"/>
    <w:lvl w:ilvl="0" w:tplc="040B000F">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21" w15:restartNumberingAfterBreak="0">
    <w:nsid w:val="72FF03D5"/>
    <w:multiLevelType w:val="hybridMultilevel"/>
    <w:tmpl w:val="54DAC4DA"/>
    <w:lvl w:ilvl="0" w:tplc="F156141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53A7D6E"/>
    <w:multiLevelType w:val="hybridMultilevel"/>
    <w:tmpl w:val="0DCEFE7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E240F9D"/>
    <w:multiLevelType w:val="hybridMultilevel"/>
    <w:tmpl w:val="6C6A80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E334CF3"/>
    <w:multiLevelType w:val="hybridMultilevel"/>
    <w:tmpl w:val="97984500"/>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num w:numId="1">
    <w:abstractNumId w:val="9"/>
  </w:num>
  <w:num w:numId="2">
    <w:abstractNumId w:val="8"/>
  </w:num>
  <w:num w:numId="3">
    <w:abstractNumId w:val="18"/>
  </w:num>
  <w:num w:numId="4">
    <w:abstractNumId w:val="4"/>
  </w:num>
  <w:num w:numId="5">
    <w:abstractNumId w:val="14"/>
  </w:num>
  <w:num w:numId="6">
    <w:abstractNumId w:val="1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9"/>
  </w:num>
  <w:num w:numId="23">
    <w:abstractNumId w:val="5"/>
  </w:num>
  <w:num w:numId="24">
    <w:abstractNumId w:val="23"/>
  </w:num>
  <w:num w:numId="25">
    <w:abstractNumId w:val="7"/>
  </w:num>
  <w:num w:numId="26">
    <w:abstractNumId w:val="17"/>
  </w:num>
  <w:num w:numId="27">
    <w:abstractNumId w:val="21"/>
  </w:num>
  <w:num w:numId="28">
    <w:abstractNumId w:val="16"/>
  </w:num>
  <w:num w:numId="29">
    <w:abstractNumId w:val="22"/>
  </w:num>
  <w:num w:numId="30">
    <w:abstractNumId w:val="6"/>
  </w:num>
  <w:num w:numId="31">
    <w:abstractNumId w:val="15"/>
  </w:num>
  <w:num w:numId="32">
    <w:abstractNumId w:val="24"/>
  </w:num>
  <w:num w:numId="33">
    <w:abstractNumId w:val="3"/>
  </w:num>
  <w:num w:numId="34">
    <w:abstractNumId w:val="2"/>
  </w:num>
  <w:num w:numId="35">
    <w:abstractNumId w:val="20"/>
  </w:num>
  <w:num w:numId="36">
    <w:abstractNumId w:val="11"/>
  </w:num>
  <w:num w:numId="37">
    <w:abstractNumId w:val="13"/>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4A"/>
    <w:rsid w:val="000004F8"/>
    <w:rsid w:val="00001AA9"/>
    <w:rsid w:val="0001116B"/>
    <w:rsid w:val="00011F92"/>
    <w:rsid w:val="00017E83"/>
    <w:rsid w:val="00022F0F"/>
    <w:rsid w:val="00024351"/>
    <w:rsid w:val="00026899"/>
    <w:rsid w:val="000306FF"/>
    <w:rsid w:val="0003277B"/>
    <w:rsid w:val="000353A8"/>
    <w:rsid w:val="0004067F"/>
    <w:rsid w:val="000419C5"/>
    <w:rsid w:val="00042F66"/>
    <w:rsid w:val="00044619"/>
    <w:rsid w:val="00053C8A"/>
    <w:rsid w:val="00053CD9"/>
    <w:rsid w:val="00055695"/>
    <w:rsid w:val="000576AA"/>
    <w:rsid w:val="000618A4"/>
    <w:rsid w:val="00061B5D"/>
    <w:rsid w:val="00064AD4"/>
    <w:rsid w:val="0006660B"/>
    <w:rsid w:val="00080554"/>
    <w:rsid w:val="0008094E"/>
    <w:rsid w:val="00082FBB"/>
    <w:rsid w:val="00086985"/>
    <w:rsid w:val="00090BF9"/>
    <w:rsid w:val="00091069"/>
    <w:rsid w:val="000943E3"/>
    <w:rsid w:val="00096B37"/>
    <w:rsid w:val="000A04FB"/>
    <w:rsid w:val="000A2229"/>
    <w:rsid w:val="000A5B61"/>
    <w:rsid w:val="000A63DB"/>
    <w:rsid w:val="000A65C7"/>
    <w:rsid w:val="000B44F9"/>
    <w:rsid w:val="000B4D33"/>
    <w:rsid w:val="000B53A2"/>
    <w:rsid w:val="000B56F2"/>
    <w:rsid w:val="000B7460"/>
    <w:rsid w:val="000B7C9A"/>
    <w:rsid w:val="000C0234"/>
    <w:rsid w:val="000C3F2A"/>
    <w:rsid w:val="000C62EC"/>
    <w:rsid w:val="000E1FAB"/>
    <w:rsid w:val="000E4DDC"/>
    <w:rsid w:val="000E63E3"/>
    <w:rsid w:val="000E6C18"/>
    <w:rsid w:val="000F00AA"/>
    <w:rsid w:val="000F6F05"/>
    <w:rsid w:val="00102B71"/>
    <w:rsid w:val="00103367"/>
    <w:rsid w:val="001060CE"/>
    <w:rsid w:val="00111590"/>
    <w:rsid w:val="0012090B"/>
    <w:rsid w:val="00122B37"/>
    <w:rsid w:val="00123F09"/>
    <w:rsid w:val="00125DAE"/>
    <w:rsid w:val="0013250A"/>
    <w:rsid w:val="001328DC"/>
    <w:rsid w:val="00133BF3"/>
    <w:rsid w:val="00141967"/>
    <w:rsid w:val="001427BB"/>
    <w:rsid w:val="00145BEF"/>
    <w:rsid w:val="00145CEF"/>
    <w:rsid w:val="001472D2"/>
    <w:rsid w:val="00151DB3"/>
    <w:rsid w:val="00152AEC"/>
    <w:rsid w:val="00157D9F"/>
    <w:rsid w:val="001627E8"/>
    <w:rsid w:val="00163BD0"/>
    <w:rsid w:val="0017385E"/>
    <w:rsid w:val="00175BB4"/>
    <w:rsid w:val="00177CB1"/>
    <w:rsid w:val="0018063E"/>
    <w:rsid w:val="00181A6F"/>
    <w:rsid w:val="00182F8B"/>
    <w:rsid w:val="001855C7"/>
    <w:rsid w:val="001910A9"/>
    <w:rsid w:val="00192F8D"/>
    <w:rsid w:val="001931FF"/>
    <w:rsid w:val="00195C17"/>
    <w:rsid w:val="00196E84"/>
    <w:rsid w:val="001A16EF"/>
    <w:rsid w:val="001A4995"/>
    <w:rsid w:val="001B1549"/>
    <w:rsid w:val="001B36A4"/>
    <w:rsid w:val="001C1B5E"/>
    <w:rsid w:val="001C1E08"/>
    <w:rsid w:val="001C54B8"/>
    <w:rsid w:val="001C6BE8"/>
    <w:rsid w:val="001D02B3"/>
    <w:rsid w:val="001D18F1"/>
    <w:rsid w:val="001D3669"/>
    <w:rsid w:val="001D6795"/>
    <w:rsid w:val="001D679B"/>
    <w:rsid w:val="001E20BD"/>
    <w:rsid w:val="001E4D73"/>
    <w:rsid w:val="001E798D"/>
    <w:rsid w:val="001F3280"/>
    <w:rsid w:val="001F5823"/>
    <w:rsid w:val="002050D6"/>
    <w:rsid w:val="00212836"/>
    <w:rsid w:val="00213B4F"/>
    <w:rsid w:val="00215F23"/>
    <w:rsid w:val="00220BF5"/>
    <w:rsid w:val="0022547B"/>
    <w:rsid w:val="00226FA5"/>
    <w:rsid w:val="00230B87"/>
    <w:rsid w:val="002367DE"/>
    <w:rsid w:val="00236E93"/>
    <w:rsid w:val="00241E10"/>
    <w:rsid w:val="0024248C"/>
    <w:rsid w:val="00242670"/>
    <w:rsid w:val="00244E0C"/>
    <w:rsid w:val="002465C1"/>
    <w:rsid w:val="00250AAC"/>
    <w:rsid w:val="00250BC8"/>
    <w:rsid w:val="00255AE3"/>
    <w:rsid w:val="0026784D"/>
    <w:rsid w:val="00267D2C"/>
    <w:rsid w:val="00270A3E"/>
    <w:rsid w:val="0027294E"/>
    <w:rsid w:val="00273116"/>
    <w:rsid w:val="00273C54"/>
    <w:rsid w:val="0027536E"/>
    <w:rsid w:val="00275BAA"/>
    <w:rsid w:val="002817D1"/>
    <w:rsid w:val="002854A0"/>
    <w:rsid w:val="00285B02"/>
    <w:rsid w:val="00286811"/>
    <w:rsid w:val="00292824"/>
    <w:rsid w:val="002A1584"/>
    <w:rsid w:val="002A3274"/>
    <w:rsid w:val="002A39CB"/>
    <w:rsid w:val="002A4C74"/>
    <w:rsid w:val="002A6E21"/>
    <w:rsid w:val="002A78FB"/>
    <w:rsid w:val="002B3B77"/>
    <w:rsid w:val="002B5319"/>
    <w:rsid w:val="002B5677"/>
    <w:rsid w:val="002C7E04"/>
    <w:rsid w:val="002D3B0E"/>
    <w:rsid w:val="002D44AE"/>
    <w:rsid w:val="002E683D"/>
    <w:rsid w:val="002F152B"/>
    <w:rsid w:val="002F30B8"/>
    <w:rsid w:val="002F4329"/>
    <w:rsid w:val="002F519A"/>
    <w:rsid w:val="002F61E4"/>
    <w:rsid w:val="002F6CE6"/>
    <w:rsid w:val="003023CB"/>
    <w:rsid w:val="003025A0"/>
    <w:rsid w:val="0030477B"/>
    <w:rsid w:val="00311BDF"/>
    <w:rsid w:val="00311C09"/>
    <w:rsid w:val="00312518"/>
    <w:rsid w:val="00316FD5"/>
    <w:rsid w:val="00320834"/>
    <w:rsid w:val="00324E0D"/>
    <w:rsid w:val="00332E4D"/>
    <w:rsid w:val="00340C3A"/>
    <w:rsid w:val="00346B5F"/>
    <w:rsid w:val="0034723D"/>
    <w:rsid w:val="003509F5"/>
    <w:rsid w:val="00351805"/>
    <w:rsid w:val="00351ECB"/>
    <w:rsid w:val="00353BE5"/>
    <w:rsid w:val="0035428C"/>
    <w:rsid w:val="00354370"/>
    <w:rsid w:val="00356B8E"/>
    <w:rsid w:val="0035730C"/>
    <w:rsid w:val="00361C1C"/>
    <w:rsid w:val="003636CA"/>
    <w:rsid w:val="0037297D"/>
    <w:rsid w:val="00377E10"/>
    <w:rsid w:val="00386E57"/>
    <w:rsid w:val="0039370B"/>
    <w:rsid w:val="0039450C"/>
    <w:rsid w:val="00394B36"/>
    <w:rsid w:val="00394D2A"/>
    <w:rsid w:val="00395068"/>
    <w:rsid w:val="00396839"/>
    <w:rsid w:val="003A572B"/>
    <w:rsid w:val="003A7138"/>
    <w:rsid w:val="003B06FD"/>
    <w:rsid w:val="003B2258"/>
    <w:rsid w:val="003B2856"/>
    <w:rsid w:val="003B7B74"/>
    <w:rsid w:val="003C0B35"/>
    <w:rsid w:val="003C57AC"/>
    <w:rsid w:val="003C7E79"/>
    <w:rsid w:val="003D2695"/>
    <w:rsid w:val="003E0B62"/>
    <w:rsid w:val="003E35C6"/>
    <w:rsid w:val="003E4C66"/>
    <w:rsid w:val="003E62C2"/>
    <w:rsid w:val="003E6937"/>
    <w:rsid w:val="003E713F"/>
    <w:rsid w:val="003F2843"/>
    <w:rsid w:val="003F3458"/>
    <w:rsid w:val="003F3A6C"/>
    <w:rsid w:val="003F5637"/>
    <w:rsid w:val="003F5E6B"/>
    <w:rsid w:val="003F61D9"/>
    <w:rsid w:val="00400895"/>
    <w:rsid w:val="00406994"/>
    <w:rsid w:val="004205DC"/>
    <w:rsid w:val="00420A39"/>
    <w:rsid w:val="00421709"/>
    <w:rsid w:val="004235A1"/>
    <w:rsid w:val="004241A5"/>
    <w:rsid w:val="0042494B"/>
    <w:rsid w:val="00424F5E"/>
    <w:rsid w:val="00425FE7"/>
    <w:rsid w:val="00427295"/>
    <w:rsid w:val="00432218"/>
    <w:rsid w:val="00433269"/>
    <w:rsid w:val="00437B86"/>
    <w:rsid w:val="00441D89"/>
    <w:rsid w:val="00441FFB"/>
    <w:rsid w:val="0044670A"/>
    <w:rsid w:val="00450E93"/>
    <w:rsid w:val="0045504D"/>
    <w:rsid w:val="00457571"/>
    <w:rsid w:val="00464574"/>
    <w:rsid w:val="0047171A"/>
    <w:rsid w:val="00472155"/>
    <w:rsid w:val="004721B2"/>
    <w:rsid w:val="00472F06"/>
    <w:rsid w:val="004757F6"/>
    <w:rsid w:val="00477F9E"/>
    <w:rsid w:val="00481035"/>
    <w:rsid w:val="00481081"/>
    <w:rsid w:val="00481319"/>
    <w:rsid w:val="00481900"/>
    <w:rsid w:val="0048319D"/>
    <w:rsid w:val="00483C2E"/>
    <w:rsid w:val="00486B6D"/>
    <w:rsid w:val="004917D2"/>
    <w:rsid w:val="00492A83"/>
    <w:rsid w:val="00493462"/>
    <w:rsid w:val="00493A8B"/>
    <w:rsid w:val="004A0F1D"/>
    <w:rsid w:val="004A1098"/>
    <w:rsid w:val="004A711B"/>
    <w:rsid w:val="004A72AB"/>
    <w:rsid w:val="004B05F8"/>
    <w:rsid w:val="004B1608"/>
    <w:rsid w:val="004B4866"/>
    <w:rsid w:val="004B4BE9"/>
    <w:rsid w:val="004B4C5E"/>
    <w:rsid w:val="004B76AC"/>
    <w:rsid w:val="004C3CEA"/>
    <w:rsid w:val="004C47C4"/>
    <w:rsid w:val="004C6883"/>
    <w:rsid w:val="004D0304"/>
    <w:rsid w:val="004D1709"/>
    <w:rsid w:val="004E04B3"/>
    <w:rsid w:val="004E1D31"/>
    <w:rsid w:val="004F5ABF"/>
    <w:rsid w:val="005003CC"/>
    <w:rsid w:val="005011B9"/>
    <w:rsid w:val="00501D4C"/>
    <w:rsid w:val="00506632"/>
    <w:rsid w:val="0051176D"/>
    <w:rsid w:val="005117F6"/>
    <w:rsid w:val="00515F40"/>
    <w:rsid w:val="00524AFE"/>
    <w:rsid w:val="005268C7"/>
    <w:rsid w:val="00527067"/>
    <w:rsid w:val="005333B5"/>
    <w:rsid w:val="00534C75"/>
    <w:rsid w:val="005366A8"/>
    <w:rsid w:val="00537379"/>
    <w:rsid w:val="00537B82"/>
    <w:rsid w:val="00541832"/>
    <w:rsid w:val="00541D57"/>
    <w:rsid w:val="0054468F"/>
    <w:rsid w:val="00544CAC"/>
    <w:rsid w:val="00550B8A"/>
    <w:rsid w:val="00552D9A"/>
    <w:rsid w:val="00552FC6"/>
    <w:rsid w:val="00554B56"/>
    <w:rsid w:val="00555628"/>
    <w:rsid w:val="0056032E"/>
    <w:rsid w:val="00562A2B"/>
    <w:rsid w:val="00562F86"/>
    <w:rsid w:val="00564E43"/>
    <w:rsid w:val="00570D2D"/>
    <w:rsid w:val="00573FAB"/>
    <w:rsid w:val="00574A58"/>
    <w:rsid w:val="005752CD"/>
    <w:rsid w:val="00581283"/>
    <w:rsid w:val="00590195"/>
    <w:rsid w:val="00592D7C"/>
    <w:rsid w:val="005972AA"/>
    <w:rsid w:val="005974B1"/>
    <w:rsid w:val="005A0A8D"/>
    <w:rsid w:val="005A1D73"/>
    <w:rsid w:val="005B2E1A"/>
    <w:rsid w:val="005B4948"/>
    <w:rsid w:val="005B774E"/>
    <w:rsid w:val="005D34F9"/>
    <w:rsid w:val="005E76F5"/>
    <w:rsid w:val="005F17E1"/>
    <w:rsid w:val="005F19BC"/>
    <w:rsid w:val="005F4128"/>
    <w:rsid w:val="005F5537"/>
    <w:rsid w:val="005F5C79"/>
    <w:rsid w:val="005F7017"/>
    <w:rsid w:val="00606381"/>
    <w:rsid w:val="00612E29"/>
    <w:rsid w:val="0061346C"/>
    <w:rsid w:val="00616F08"/>
    <w:rsid w:val="006212FF"/>
    <w:rsid w:val="00621DC3"/>
    <w:rsid w:val="00621EDD"/>
    <w:rsid w:val="006236B1"/>
    <w:rsid w:val="00623A01"/>
    <w:rsid w:val="006240AF"/>
    <w:rsid w:val="006339F1"/>
    <w:rsid w:val="00636A61"/>
    <w:rsid w:val="0064008B"/>
    <w:rsid w:val="00644236"/>
    <w:rsid w:val="00644DA4"/>
    <w:rsid w:val="00650DAC"/>
    <w:rsid w:val="0065427C"/>
    <w:rsid w:val="00662A04"/>
    <w:rsid w:val="00672122"/>
    <w:rsid w:val="006742FB"/>
    <w:rsid w:val="00674E2A"/>
    <w:rsid w:val="00675972"/>
    <w:rsid w:val="00676842"/>
    <w:rsid w:val="00683E09"/>
    <w:rsid w:val="00686305"/>
    <w:rsid w:val="0068688F"/>
    <w:rsid w:val="006874CC"/>
    <w:rsid w:val="00687BF5"/>
    <w:rsid w:val="00687D4C"/>
    <w:rsid w:val="00687D99"/>
    <w:rsid w:val="006920BB"/>
    <w:rsid w:val="006965EC"/>
    <w:rsid w:val="00696750"/>
    <w:rsid w:val="006A0397"/>
    <w:rsid w:val="006A1C6A"/>
    <w:rsid w:val="006A2ECD"/>
    <w:rsid w:val="006A6D29"/>
    <w:rsid w:val="006A6E18"/>
    <w:rsid w:val="006A7127"/>
    <w:rsid w:val="006A7B29"/>
    <w:rsid w:val="006B1CC4"/>
    <w:rsid w:val="006B1DAD"/>
    <w:rsid w:val="006C2740"/>
    <w:rsid w:val="006C6C90"/>
    <w:rsid w:val="006D6B53"/>
    <w:rsid w:val="006E0973"/>
    <w:rsid w:val="006E09DA"/>
    <w:rsid w:val="006E1894"/>
    <w:rsid w:val="006E1F4F"/>
    <w:rsid w:val="006E62FF"/>
    <w:rsid w:val="006F2034"/>
    <w:rsid w:val="006F5C49"/>
    <w:rsid w:val="006F7109"/>
    <w:rsid w:val="006F7119"/>
    <w:rsid w:val="006F7E1F"/>
    <w:rsid w:val="0070160F"/>
    <w:rsid w:val="00702ACB"/>
    <w:rsid w:val="00703F98"/>
    <w:rsid w:val="007111DC"/>
    <w:rsid w:val="00713416"/>
    <w:rsid w:val="00717E6C"/>
    <w:rsid w:val="00722459"/>
    <w:rsid w:val="00726155"/>
    <w:rsid w:val="00735098"/>
    <w:rsid w:val="00736749"/>
    <w:rsid w:val="00737677"/>
    <w:rsid w:val="00737CAC"/>
    <w:rsid w:val="00741E40"/>
    <w:rsid w:val="007442F1"/>
    <w:rsid w:val="00746A03"/>
    <w:rsid w:val="00760793"/>
    <w:rsid w:val="00765289"/>
    <w:rsid w:val="00767B7B"/>
    <w:rsid w:val="00774A2B"/>
    <w:rsid w:val="00776D1C"/>
    <w:rsid w:val="00781340"/>
    <w:rsid w:val="0078457A"/>
    <w:rsid w:val="00786DAC"/>
    <w:rsid w:val="00792150"/>
    <w:rsid w:val="00796109"/>
    <w:rsid w:val="00797FC0"/>
    <w:rsid w:val="007A04EF"/>
    <w:rsid w:val="007A0C10"/>
    <w:rsid w:val="007A10A6"/>
    <w:rsid w:val="007A6CE0"/>
    <w:rsid w:val="007A6FD3"/>
    <w:rsid w:val="007B12B6"/>
    <w:rsid w:val="007B5BFB"/>
    <w:rsid w:val="007B65B0"/>
    <w:rsid w:val="007C4129"/>
    <w:rsid w:val="007C48CB"/>
    <w:rsid w:val="007C5288"/>
    <w:rsid w:val="007C57E2"/>
    <w:rsid w:val="007C6BED"/>
    <w:rsid w:val="007C71E9"/>
    <w:rsid w:val="007D0F6A"/>
    <w:rsid w:val="007D1B10"/>
    <w:rsid w:val="007D63A7"/>
    <w:rsid w:val="007D6635"/>
    <w:rsid w:val="007E28E6"/>
    <w:rsid w:val="007E4E23"/>
    <w:rsid w:val="007E56BC"/>
    <w:rsid w:val="007E6EE4"/>
    <w:rsid w:val="007F49A7"/>
    <w:rsid w:val="007F4B61"/>
    <w:rsid w:val="007F4C2F"/>
    <w:rsid w:val="007F74E6"/>
    <w:rsid w:val="00801AC5"/>
    <w:rsid w:val="008024C5"/>
    <w:rsid w:val="008039A5"/>
    <w:rsid w:val="00804D3C"/>
    <w:rsid w:val="0080534D"/>
    <w:rsid w:val="0080745C"/>
    <w:rsid w:val="00811DC3"/>
    <w:rsid w:val="0081313D"/>
    <w:rsid w:val="00815EB3"/>
    <w:rsid w:val="00817D7D"/>
    <w:rsid w:val="00820501"/>
    <w:rsid w:val="008207D3"/>
    <w:rsid w:val="00822B5F"/>
    <w:rsid w:val="00826DF7"/>
    <w:rsid w:val="00827A44"/>
    <w:rsid w:val="00834AAC"/>
    <w:rsid w:val="0084045F"/>
    <w:rsid w:val="00845053"/>
    <w:rsid w:val="0084598F"/>
    <w:rsid w:val="008501E6"/>
    <w:rsid w:val="00853C03"/>
    <w:rsid w:val="00854199"/>
    <w:rsid w:val="00854ADA"/>
    <w:rsid w:val="0086345E"/>
    <w:rsid w:val="00865E24"/>
    <w:rsid w:val="0086667E"/>
    <w:rsid w:val="00866B05"/>
    <w:rsid w:val="0086742D"/>
    <w:rsid w:val="008674EF"/>
    <w:rsid w:val="0087389D"/>
    <w:rsid w:val="008875F9"/>
    <w:rsid w:val="00887CC2"/>
    <w:rsid w:val="0089048E"/>
    <w:rsid w:val="00893ED5"/>
    <w:rsid w:val="00894235"/>
    <w:rsid w:val="00894C4F"/>
    <w:rsid w:val="00895156"/>
    <w:rsid w:val="008A346D"/>
    <w:rsid w:val="008A5F0E"/>
    <w:rsid w:val="008B0A53"/>
    <w:rsid w:val="008B0DCE"/>
    <w:rsid w:val="008B134C"/>
    <w:rsid w:val="008B6D76"/>
    <w:rsid w:val="008C0794"/>
    <w:rsid w:val="008C2BED"/>
    <w:rsid w:val="008D0169"/>
    <w:rsid w:val="008D33EF"/>
    <w:rsid w:val="008D4A08"/>
    <w:rsid w:val="008D76D4"/>
    <w:rsid w:val="008E0422"/>
    <w:rsid w:val="008E3342"/>
    <w:rsid w:val="008E423F"/>
    <w:rsid w:val="008E5963"/>
    <w:rsid w:val="008F1625"/>
    <w:rsid w:val="009036C4"/>
    <w:rsid w:val="00910927"/>
    <w:rsid w:val="00913FA6"/>
    <w:rsid w:val="009164C8"/>
    <w:rsid w:val="00916849"/>
    <w:rsid w:val="00917EAD"/>
    <w:rsid w:val="0092423A"/>
    <w:rsid w:val="00924B2A"/>
    <w:rsid w:val="00926123"/>
    <w:rsid w:val="00930B38"/>
    <w:rsid w:val="00930D2A"/>
    <w:rsid w:val="009347BF"/>
    <w:rsid w:val="009420C4"/>
    <w:rsid w:val="00942D59"/>
    <w:rsid w:val="00943F34"/>
    <w:rsid w:val="00944DFF"/>
    <w:rsid w:val="00945F79"/>
    <w:rsid w:val="0095743D"/>
    <w:rsid w:val="00960C4E"/>
    <w:rsid w:val="009644D4"/>
    <w:rsid w:val="009667F9"/>
    <w:rsid w:val="00983B6E"/>
    <w:rsid w:val="00987B26"/>
    <w:rsid w:val="00987C7A"/>
    <w:rsid w:val="00992877"/>
    <w:rsid w:val="00995601"/>
    <w:rsid w:val="009A0BC1"/>
    <w:rsid w:val="009A1678"/>
    <w:rsid w:val="009A4A2B"/>
    <w:rsid w:val="009A7546"/>
    <w:rsid w:val="009B04E6"/>
    <w:rsid w:val="009B2932"/>
    <w:rsid w:val="009B2A3E"/>
    <w:rsid w:val="009C1BAD"/>
    <w:rsid w:val="009C62B9"/>
    <w:rsid w:val="009C698D"/>
    <w:rsid w:val="009D226D"/>
    <w:rsid w:val="009D3502"/>
    <w:rsid w:val="009D4BA8"/>
    <w:rsid w:val="009E01B5"/>
    <w:rsid w:val="009E60EA"/>
    <w:rsid w:val="009E6EEE"/>
    <w:rsid w:val="009E6F8D"/>
    <w:rsid w:val="009F620E"/>
    <w:rsid w:val="009F6C39"/>
    <w:rsid w:val="00A008E1"/>
    <w:rsid w:val="00A00BAD"/>
    <w:rsid w:val="00A0136D"/>
    <w:rsid w:val="00A02446"/>
    <w:rsid w:val="00A03177"/>
    <w:rsid w:val="00A0486F"/>
    <w:rsid w:val="00A04943"/>
    <w:rsid w:val="00A063F8"/>
    <w:rsid w:val="00A10B8F"/>
    <w:rsid w:val="00A12413"/>
    <w:rsid w:val="00A1258F"/>
    <w:rsid w:val="00A21B7A"/>
    <w:rsid w:val="00A25AF4"/>
    <w:rsid w:val="00A275A5"/>
    <w:rsid w:val="00A3153F"/>
    <w:rsid w:val="00A3420E"/>
    <w:rsid w:val="00A36E0D"/>
    <w:rsid w:val="00A401C7"/>
    <w:rsid w:val="00A417B9"/>
    <w:rsid w:val="00A424A4"/>
    <w:rsid w:val="00A51614"/>
    <w:rsid w:val="00A52C5C"/>
    <w:rsid w:val="00A52E6C"/>
    <w:rsid w:val="00A557FD"/>
    <w:rsid w:val="00A55F2E"/>
    <w:rsid w:val="00A64084"/>
    <w:rsid w:val="00A70EA8"/>
    <w:rsid w:val="00A73975"/>
    <w:rsid w:val="00A8063A"/>
    <w:rsid w:val="00A82011"/>
    <w:rsid w:val="00A86597"/>
    <w:rsid w:val="00A8784C"/>
    <w:rsid w:val="00A9657D"/>
    <w:rsid w:val="00AA0131"/>
    <w:rsid w:val="00AA344F"/>
    <w:rsid w:val="00AA3D11"/>
    <w:rsid w:val="00AA4A89"/>
    <w:rsid w:val="00AA7E93"/>
    <w:rsid w:val="00AB244B"/>
    <w:rsid w:val="00AB3EBC"/>
    <w:rsid w:val="00AB4160"/>
    <w:rsid w:val="00AB599B"/>
    <w:rsid w:val="00AC6F5C"/>
    <w:rsid w:val="00AC74CF"/>
    <w:rsid w:val="00AD6172"/>
    <w:rsid w:val="00AE12BD"/>
    <w:rsid w:val="00AE13C3"/>
    <w:rsid w:val="00AF2D45"/>
    <w:rsid w:val="00AF3334"/>
    <w:rsid w:val="00AF6B2F"/>
    <w:rsid w:val="00B01ED5"/>
    <w:rsid w:val="00B0693C"/>
    <w:rsid w:val="00B07FC9"/>
    <w:rsid w:val="00B13572"/>
    <w:rsid w:val="00B139B9"/>
    <w:rsid w:val="00B150BF"/>
    <w:rsid w:val="00B1533C"/>
    <w:rsid w:val="00B15A2E"/>
    <w:rsid w:val="00B24DA5"/>
    <w:rsid w:val="00B26C89"/>
    <w:rsid w:val="00B34FF8"/>
    <w:rsid w:val="00B366CA"/>
    <w:rsid w:val="00B37BF8"/>
    <w:rsid w:val="00B412F6"/>
    <w:rsid w:val="00B4160F"/>
    <w:rsid w:val="00B43FE9"/>
    <w:rsid w:val="00B45E5F"/>
    <w:rsid w:val="00B502A6"/>
    <w:rsid w:val="00B54DD4"/>
    <w:rsid w:val="00B555A8"/>
    <w:rsid w:val="00B61202"/>
    <w:rsid w:val="00B61E47"/>
    <w:rsid w:val="00B63A59"/>
    <w:rsid w:val="00B66782"/>
    <w:rsid w:val="00B702E4"/>
    <w:rsid w:val="00B731DD"/>
    <w:rsid w:val="00B76C2F"/>
    <w:rsid w:val="00B80CF2"/>
    <w:rsid w:val="00B82F9E"/>
    <w:rsid w:val="00B85181"/>
    <w:rsid w:val="00BA09B4"/>
    <w:rsid w:val="00BA3C65"/>
    <w:rsid w:val="00BA56D8"/>
    <w:rsid w:val="00BA57AE"/>
    <w:rsid w:val="00BA7521"/>
    <w:rsid w:val="00BA7766"/>
    <w:rsid w:val="00BB172A"/>
    <w:rsid w:val="00BD0C39"/>
    <w:rsid w:val="00BD1D4D"/>
    <w:rsid w:val="00BD2B84"/>
    <w:rsid w:val="00BD4DC0"/>
    <w:rsid w:val="00BD4F15"/>
    <w:rsid w:val="00BD634C"/>
    <w:rsid w:val="00BE287E"/>
    <w:rsid w:val="00BE758E"/>
    <w:rsid w:val="00BF1769"/>
    <w:rsid w:val="00BF28F3"/>
    <w:rsid w:val="00BF585F"/>
    <w:rsid w:val="00C04975"/>
    <w:rsid w:val="00C14819"/>
    <w:rsid w:val="00C151B6"/>
    <w:rsid w:val="00C16FDE"/>
    <w:rsid w:val="00C219EE"/>
    <w:rsid w:val="00C23534"/>
    <w:rsid w:val="00C261A9"/>
    <w:rsid w:val="00C30ED4"/>
    <w:rsid w:val="00C33CB4"/>
    <w:rsid w:val="00C36873"/>
    <w:rsid w:val="00C513DC"/>
    <w:rsid w:val="00C55925"/>
    <w:rsid w:val="00C56544"/>
    <w:rsid w:val="00C56B3F"/>
    <w:rsid w:val="00C60909"/>
    <w:rsid w:val="00C708DC"/>
    <w:rsid w:val="00C72854"/>
    <w:rsid w:val="00C77C5B"/>
    <w:rsid w:val="00C820C4"/>
    <w:rsid w:val="00C8497D"/>
    <w:rsid w:val="00C8708E"/>
    <w:rsid w:val="00C90CAE"/>
    <w:rsid w:val="00C92DA0"/>
    <w:rsid w:val="00C92E5C"/>
    <w:rsid w:val="00CA6C09"/>
    <w:rsid w:val="00CA7F99"/>
    <w:rsid w:val="00CB0760"/>
    <w:rsid w:val="00CB1EAB"/>
    <w:rsid w:val="00CB380D"/>
    <w:rsid w:val="00CC2D99"/>
    <w:rsid w:val="00CC424A"/>
    <w:rsid w:val="00CD5B52"/>
    <w:rsid w:val="00CD6719"/>
    <w:rsid w:val="00CE0DA4"/>
    <w:rsid w:val="00CE1940"/>
    <w:rsid w:val="00CE3EEA"/>
    <w:rsid w:val="00CF14EF"/>
    <w:rsid w:val="00CF4711"/>
    <w:rsid w:val="00D01222"/>
    <w:rsid w:val="00D015D3"/>
    <w:rsid w:val="00D046BF"/>
    <w:rsid w:val="00D05BDD"/>
    <w:rsid w:val="00D06FF8"/>
    <w:rsid w:val="00D157C3"/>
    <w:rsid w:val="00D1648C"/>
    <w:rsid w:val="00D1784F"/>
    <w:rsid w:val="00D17F78"/>
    <w:rsid w:val="00D2439C"/>
    <w:rsid w:val="00D26D27"/>
    <w:rsid w:val="00D27F83"/>
    <w:rsid w:val="00D477D2"/>
    <w:rsid w:val="00D50681"/>
    <w:rsid w:val="00D512F4"/>
    <w:rsid w:val="00D528BF"/>
    <w:rsid w:val="00D52C95"/>
    <w:rsid w:val="00D5595C"/>
    <w:rsid w:val="00D57261"/>
    <w:rsid w:val="00D62CE2"/>
    <w:rsid w:val="00D62FDF"/>
    <w:rsid w:val="00D63441"/>
    <w:rsid w:val="00D6357C"/>
    <w:rsid w:val="00D638ED"/>
    <w:rsid w:val="00D771DB"/>
    <w:rsid w:val="00D853F1"/>
    <w:rsid w:val="00D87657"/>
    <w:rsid w:val="00D91DAC"/>
    <w:rsid w:val="00DA0B00"/>
    <w:rsid w:val="00DB2ABB"/>
    <w:rsid w:val="00DB3FBE"/>
    <w:rsid w:val="00DB4A30"/>
    <w:rsid w:val="00DB611D"/>
    <w:rsid w:val="00DC1626"/>
    <w:rsid w:val="00DC34F7"/>
    <w:rsid w:val="00DC47E8"/>
    <w:rsid w:val="00DC5075"/>
    <w:rsid w:val="00DC649E"/>
    <w:rsid w:val="00DD0535"/>
    <w:rsid w:val="00DD5B19"/>
    <w:rsid w:val="00DD6127"/>
    <w:rsid w:val="00DE1FD1"/>
    <w:rsid w:val="00DE2F72"/>
    <w:rsid w:val="00DE563D"/>
    <w:rsid w:val="00DE7EB1"/>
    <w:rsid w:val="00DF5E29"/>
    <w:rsid w:val="00DF66B7"/>
    <w:rsid w:val="00E00A3E"/>
    <w:rsid w:val="00E040F2"/>
    <w:rsid w:val="00E07422"/>
    <w:rsid w:val="00E1199A"/>
    <w:rsid w:val="00E140FD"/>
    <w:rsid w:val="00E15A56"/>
    <w:rsid w:val="00E177C7"/>
    <w:rsid w:val="00E21093"/>
    <w:rsid w:val="00E24465"/>
    <w:rsid w:val="00E2520C"/>
    <w:rsid w:val="00E2727B"/>
    <w:rsid w:val="00E30DF6"/>
    <w:rsid w:val="00E3536E"/>
    <w:rsid w:val="00E436A0"/>
    <w:rsid w:val="00E45D67"/>
    <w:rsid w:val="00E5375D"/>
    <w:rsid w:val="00E558A8"/>
    <w:rsid w:val="00E576C9"/>
    <w:rsid w:val="00E63A0D"/>
    <w:rsid w:val="00E6555A"/>
    <w:rsid w:val="00E70AA1"/>
    <w:rsid w:val="00E73024"/>
    <w:rsid w:val="00E75CC4"/>
    <w:rsid w:val="00E80504"/>
    <w:rsid w:val="00E81409"/>
    <w:rsid w:val="00E87D3E"/>
    <w:rsid w:val="00E93278"/>
    <w:rsid w:val="00E93A0C"/>
    <w:rsid w:val="00E9526F"/>
    <w:rsid w:val="00E956B2"/>
    <w:rsid w:val="00EA0538"/>
    <w:rsid w:val="00EA20B1"/>
    <w:rsid w:val="00EA23C7"/>
    <w:rsid w:val="00EA4337"/>
    <w:rsid w:val="00EA74B5"/>
    <w:rsid w:val="00EB0CDB"/>
    <w:rsid w:val="00EB3799"/>
    <w:rsid w:val="00EB4699"/>
    <w:rsid w:val="00EB6759"/>
    <w:rsid w:val="00EC1593"/>
    <w:rsid w:val="00EC2A2D"/>
    <w:rsid w:val="00ED2B4A"/>
    <w:rsid w:val="00EE0AAB"/>
    <w:rsid w:val="00EE0E76"/>
    <w:rsid w:val="00EE2F72"/>
    <w:rsid w:val="00EE3D3A"/>
    <w:rsid w:val="00EF08AA"/>
    <w:rsid w:val="00EF59BF"/>
    <w:rsid w:val="00F02A4A"/>
    <w:rsid w:val="00F07E37"/>
    <w:rsid w:val="00F07EE3"/>
    <w:rsid w:val="00F121BB"/>
    <w:rsid w:val="00F127C3"/>
    <w:rsid w:val="00F12F81"/>
    <w:rsid w:val="00F14374"/>
    <w:rsid w:val="00F17CE5"/>
    <w:rsid w:val="00F23859"/>
    <w:rsid w:val="00F30925"/>
    <w:rsid w:val="00F37E14"/>
    <w:rsid w:val="00F418EB"/>
    <w:rsid w:val="00F4197C"/>
    <w:rsid w:val="00F42190"/>
    <w:rsid w:val="00F43546"/>
    <w:rsid w:val="00F43567"/>
    <w:rsid w:val="00F441D9"/>
    <w:rsid w:val="00F529D8"/>
    <w:rsid w:val="00F61010"/>
    <w:rsid w:val="00F62D84"/>
    <w:rsid w:val="00F679E1"/>
    <w:rsid w:val="00F71FFD"/>
    <w:rsid w:val="00F809CF"/>
    <w:rsid w:val="00F81875"/>
    <w:rsid w:val="00F83B23"/>
    <w:rsid w:val="00F846B4"/>
    <w:rsid w:val="00F87A79"/>
    <w:rsid w:val="00F93F92"/>
    <w:rsid w:val="00F946EE"/>
    <w:rsid w:val="00FA0446"/>
    <w:rsid w:val="00FA19CC"/>
    <w:rsid w:val="00FA1F7D"/>
    <w:rsid w:val="00FA2549"/>
    <w:rsid w:val="00FA4942"/>
    <w:rsid w:val="00FA4BBD"/>
    <w:rsid w:val="00FA6A38"/>
    <w:rsid w:val="00FA7625"/>
    <w:rsid w:val="00FB4E6B"/>
    <w:rsid w:val="00FB74A9"/>
    <w:rsid w:val="00FC0D96"/>
    <w:rsid w:val="00FC2C4A"/>
    <w:rsid w:val="00FC57CC"/>
    <w:rsid w:val="00FC6197"/>
    <w:rsid w:val="00FD0500"/>
    <w:rsid w:val="00FD4024"/>
    <w:rsid w:val="00FE4DEA"/>
    <w:rsid w:val="00FF5E7F"/>
    <w:rsid w:val="00FF61EB"/>
    <w:rsid w:val="00FF6869"/>
    <w:rsid w:val="00FF6E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112E8187"/>
  <w15:docId w15:val="{4CE78CAA-287B-42FF-AF57-E18180A0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6240AF"/>
    <w:pPr>
      <w:keepNext/>
      <w:keepLines/>
      <w:numPr>
        <w:ilvl w:val="1"/>
        <w:numId w:val="14"/>
      </w:numPr>
      <w:spacing w:before="240" w:after="240"/>
      <w:ind w:left="454" w:hanging="454"/>
      <w:outlineLvl w:val="1"/>
    </w:pPr>
    <w:rPr>
      <w:b/>
      <w:sz w:val="22"/>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ED2B4A"/>
    <w:rPr>
      <w:rFonts w:ascii="Tahoma" w:hAnsi="Tahoma" w:cs="Tahoma"/>
      <w:sz w:val="16"/>
      <w:szCs w:val="16"/>
    </w:rPr>
  </w:style>
  <w:style w:type="character" w:customStyle="1" w:styleId="SelitetekstiChar">
    <w:name w:val="Seliteteksti Char"/>
    <w:basedOn w:val="Kappaleenoletusfontti"/>
    <w:link w:val="Seliteteksti"/>
    <w:rsid w:val="00ED2B4A"/>
    <w:rPr>
      <w:rFonts w:ascii="Tahoma" w:hAnsi="Tahoma" w:cs="Tahoma"/>
      <w:sz w:val="16"/>
      <w:szCs w:val="16"/>
      <w:lang w:eastAsia="en-US"/>
    </w:rPr>
  </w:style>
  <w:style w:type="character" w:styleId="Hyperlinkki">
    <w:name w:val="Hyperlink"/>
    <w:basedOn w:val="Kappaleenoletusfontti"/>
    <w:rsid w:val="005366A8"/>
    <w:rPr>
      <w:color w:val="0000FF" w:themeColor="hyperlink"/>
      <w:u w:val="single"/>
    </w:rPr>
  </w:style>
  <w:style w:type="paragraph" w:styleId="Alaviitteenteksti">
    <w:name w:val="footnote text"/>
    <w:basedOn w:val="Normaali"/>
    <w:link w:val="AlaviitteentekstiChar"/>
    <w:rsid w:val="005366A8"/>
  </w:style>
  <w:style w:type="character" w:customStyle="1" w:styleId="AlaviitteentekstiChar">
    <w:name w:val="Alaviitteen teksti Char"/>
    <w:basedOn w:val="Kappaleenoletusfontti"/>
    <w:link w:val="Alaviitteenteksti"/>
    <w:rsid w:val="005366A8"/>
    <w:rPr>
      <w:rFonts w:ascii="Calibri" w:hAnsi="Calibri"/>
      <w:lang w:eastAsia="en-US"/>
    </w:rPr>
  </w:style>
  <w:style w:type="character" w:styleId="Alaviitteenviite">
    <w:name w:val="footnote reference"/>
    <w:basedOn w:val="Kappaleenoletusfontti"/>
    <w:rsid w:val="005366A8"/>
    <w:rPr>
      <w:vertAlign w:val="superscript"/>
    </w:rPr>
  </w:style>
  <w:style w:type="character" w:styleId="AvattuHyperlinkki">
    <w:name w:val="FollowedHyperlink"/>
    <w:basedOn w:val="Kappaleenoletusfontti"/>
    <w:rsid w:val="005366A8"/>
    <w:rPr>
      <w:color w:val="800080" w:themeColor="followedHyperlink"/>
      <w:u w:val="single"/>
    </w:rPr>
  </w:style>
  <w:style w:type="paragraph" w:styleId="Luettelokappale">
    <w:name w:val="List Paragraph"/>
    <w:basedOn w:val="Normaali"/>
    <w:uiPriority w:val="34"/>
    <w:qFormat/>
    <w:rsid w:val="000943E3"/>
    <w:pPr>
      <w:ind w:left="720"/>
      <w:contextualSpacing/>
    </w:pPr>
  </w:style>
  <w:style w:type="character" w:styleId="Kommentinviite">
    <w:name w:val="annotation reference"/>
    <w:basedOn w:val="Kappaleenoletusfontti"/>
    <w:rsid w:val="00826DF7"/>
    <w:rPr>
      <w:sz w:val="16"/>
      <w:szCs w:val="16"/>
    </w:rPr>
  </w:style>
  <w:style w:type="paragraph" w:styleId="Kommentinteksti">
    <w:name w:val="annotation text"/>
    <w:basedOn w:val="Normaali"/>
    <w:link w:val="KommentintekstiChar"/>
    <w:rsid w:val="00826DF7"/>
  </w:style>
  <w:style w:type="character" w:customStyle="1" w:styleId="KommentintekstiChar">
    <w:name w:val="Kommentin teksti Char"/>
    <w:basedOn w:val="Kappaleenoletusfontti"/>
    <w:link w:val="Kommentinteksti"/>
    <w:rsid w:val="00826DF7"/>
    <w:rPr>
      <w:rFonts w:ascii="Calibri" w:hAnsi="Calibri"/>
      <w:lang w:eastAsia="en-US"/>
    </w:rPr>
  </w:style>
  <w:style w:type="paragraph" w:styleId="Kommentinotsikko">
    <w:name w:val="annotation subject"/>
    <w:basedOn w:val="Kommentinteksti"/>
    <w:next w:val="Kommentinteksti"/>
    <w:link w:val="KommentinotsikkoChar"/>
    <w:rsid w:val="00826DF7"/>
    <w:rPr>
      <w:b/>
      <w:bCs/>
    </w:rPr>
  </w:style>
  <w:style w:type="character" w:customStyle="1" w:styleId="KommentinotsikkoChar">
    <w:name w:val="Kommentin otsikko Char"/>
    <w:basedOn w:val="KommentintekstiChar"/>
    <w:link w:val="Kommentinotsikko"/>
    <w:rsid w:val="00826DF7"/>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631">
      <w:bodyDiv w:val="1"/>
      <w:marLeft w:val="0"/>
      <w:marRight w:val="0"/>
      <w:marTop w:val="0"/>
      <w:marBottom w:val="0"/>
      <w:divBdr>
        <w:top w:val="none" w:sz="0" w:space="0" w:color="auto"/>
        <w:left w:val="none" w:sz="0" w:space="0" w:color="auto"/>
        <w:bottom w:val="none" w:sz="0" w:space="0" w:color="auto"/>
        <w:right w:val="none" w:sz="0" w:space="0" w:color="auto"/>
      </w:divBdr>
    </w:div>
    <w:div w:id="261693329">
      <w:bodyDiv w:val="1"/>
      <w:marLeft w:val="0"/>
      <w:marRight w:val="0"/>
      <w:marTop w:val="0"/>
      <w:marBottom w:val="0"/>
      <w:divBdr>
        <w:top w:val="none" w:sz="0" w:space="0" w:color="auto"/>
        <w:left w:val="none" w:sz="0" w:space="0" w:color="auto"/>
        <w:bottom w:val="none" w:sz="0" w:space="0" w:color="auto"/>
        <w:right w:val="none" w:sz="0" w:space="0" w:color="auto"/>
      </w:divBdr>
    </w:div>
    <w:div w:id="9736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14/201407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lex.fi/fi/laki/ajantasa/2010/2010068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4D5B-3B83-47FC-997C-B493C850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10</Pages>
  <Words>3861</Words>
  <Characters>31280</Characters>
  <Application>Microsoft Office Word</Application>
  <DocSecurity>0</DocSecurity>
  <Lines>260</Lines>
  <Paragraphs>70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Huovinen Jennimari</dc:creator>
  <cp:lastModifiedBy>Huovinen Jennimari</cp:lastModifiedBy>
  <cp:revision>93</cp:revision>
  <cp:lastPrinted>2017-07-11T10:40:00Z</cp:lastPrinted>
  <dcterms:created xsi:type="dcterms:W3CDTF">2017-07-14T10:05:00Z</dcterms:created>
  <dcterms:modified xsi:type="dcterms:W3CDTF">2018-02-05T13:50:00Z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Tuomioistuinyksikkö</vt:lpwstr>
  </property>
  <property fmtid="{D5CDD505-2E9C-101B-9397-08002B2CF9AE}" pid="6" name="DC.X-DocumentType">
    <vt:lpwstr>MUISTIO</vt:lpwstr>
  </property>
  <property fmtid="{D5CDD505-2E9C-101B-9397-08002B2CF9AE}" pid="7" name="DC.Language">
    <vt:lpwstr>fi</vt:lpwstr>
  </property>
  <property fmtid="{D5CDD505-2E9C-101B-9397-08002B2CF9AE}" pid="8" name="DC.Date.Created">
    <vt:lpwstr>20160616</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jmh</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jmh</vt:lpwstr>
  </property>
  <property fmtid="{D5CDD505-2E9C-101B-9397-08002B2CF9AE}" pid="21" name="DC.Identifier.FilePath">
    <vt:lpwstr/>
  </property>
  <property fmtid="{D5CDD505-2E9C-101B-9397-08002B2CF9AE}" pid="22" name="DC.Title">
    <vt:lpwstr>KÄRÄJÄOIKEUKSIEN TUOMIOPIIRIT ERITYISASIARYHMISSÄ</vt:lpwstr>
  </property>
</Properties>
</file>