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1455A" w14:textId="77777777" w:rsidR="00D35DD0" w:rsidRDefault="00D35DD0" w:rsidP="00D35DD0"/>
    <w:p w14:paraId="1C7E5B2C" w14:textId="77777777" w:rsidR="00CD313B" w:rsidRDefault="00CD313B" w:rsidP="00D35DD0"/>
    <w:p w14:paraId="367C79C8" w14:textId="77777777" w:rsidR="00CD313B" w:rsidRDefault="00CD313B" w:rsidP="00D35DD0"/>
    <w:p w14:paraId="6058BC7B" w14:textId="77777777" w:rsidR="00D35DD0" w:rsidRPr="00F8548D" w:rsidRDefault="00B24043" w:rsidP="00B24043">
      <w:pPr>
        <w:pStyle w:val="Otsikko1"/>
        <w:jc w:val="both"/>
        <w:rPr>
          <w:sz w:val="24"/>
          <w:szCs w:val="24"/>
          <w:lang w:val="sv-SE"/>
        </w:rPr>
      </w:pPr>
      <w:r>
        <w:rPr>
          <w:sz w:val="24"/>
          <w:szCs w:val="24"/>
          <w:lang w:val="sv-FI"/>
        </w:rPr>
        <w:t>Godkännandekrav för sjömansläkare, järnvägsläkare och järnvägspsykologer</w:t>
      </w:r>
    </w:p>
    <w:p w14:paraId="474397D2" w14:textId="77777777" w:rsidR="00B24043" w:rsidRPr="00F8548D" w:rsidRDefault="00B24043" w:rsidP="00B24043">
      <w:pPr>
        <w:pStyle w:val="Leipteksti"/>
        <w:rPr>
          <w:lang w:val="sv-SE"/>
        </w:rPr>
      </w:pPr>
    </w:p>
    <w:p w14:paraId="109F4B47" w14:textId="53191D5D" w:rsidR="00F77EB3" w:rsidRPr="00F8548D" w:rsidRDefault="00B24043" w:rsidP="00FD0A07">
      <w:pPr>
        <w:pStyle w:val="Leipteksti"/>
        <w:ind w:left="0"/>
        <w:rPr>
          <w:b/>
          <w:sz w:val="22"/>
          <w:lang w:val="sv-SE"/>
        </w:rPr>
      </w:pPr>
      <w:r>
        <w:rPr>
          <w:b/>
          <w:bCs/>
          <w:sz w:val="22"/>
          <w:lang w:val="sv-FI"/>
        </w:rPr>
        <w:t>Föreskriftens bakgrund och rättsgrund</w:t>
      </w:r>
    </w:p>
    <w:p w14:paraId="5A5C97C0" w14:textId="66BF22DB" w:rsidR="009C49F8" w:rsidRPr="00F8548D" w:rsidRDefault="009C49F8" w:rsidP="009C49F8">
      <w:pPr>
        <w:autoSpaceDE w:val="0"/>
        <w:autoSpaceDN w:val="0"/>
        <w:adjustRightInd w:val="0"/>
        <w:ind w:left="1304"/>
        <w:jc w:val="both"/>
        <w:rPr>
          <w:rFonts w:ascii="Verdana" w:hAnsi="Verdana" w:cs="Verdana"/>
          <w:szCs w:val="20"/>
          <w:lang w:val="sv-SE"/>
        </w:rPr>
      </w:pPr>
      <w:r>
        <w:rPr>
          <w:rFonts w:ascii="Verdana" w:hAnsi="Verdana" w:cs="Verdana"/>
          <w:szCs w:val="20"/>
          <w:lang w:val="sv-FI"/>
        </w:rPr>
        <w:t>I lagen om transportservice (320/2017) ändrades 204 § 1 mom. 1 punkten och 206 § 1 mom. 1 punkten genom lagen om ändring och temporär ändring av lagen om transportservice (227/2021). Behörighetskraven för sjömansläkare och järnvägsläkare preciserades så att det av sökanden eller den som bedriver verksamhet med stöd av ett godkännande förutsätts att personens rätt att utöva läkaryrket inte har begränsats på ett sätt som inskränker möjligheterna att arbeta som järnvägs- eller sjömansläkare. I regeringens proposition (RP 10/2021 rd, s. 2</w:t>
      </w:r>
      <w:r w:rsidR="002627DD">
        <w:rPr>
          <w:rFonts w:ascii="Verdana" w:hAnsi="Verdana" w:cs="Verdana"/>
          <w:szCs w:val="20"/>
          <w:lang w:val="sv-FI"/>
        </w:rPr>
        <w:t>1</w:t>
      </w:r>
      <w:r>
        <w:rPr>
          <w:rFonts w:ascii="Verdana" w:hAnsi="Verdana" w:cs="Verdana"/>
          <w:szCs w:val="20"/>
          <w:lang w:val="sv-FI"/>
        </w:rPr>
        <w:t xml:space="preserve">) konstateras att de föreslagna ändringarna i ovan nämnda punkter förutsätter att Transport- och kommunikationsverkets föreskrift uppdateras så att den motsvarar villkoren i lagen. Enligt regeringens proposition ska Transport- och kommunikationsverket antingen upphäva den nuvarande föreskriften eller uppdatera den så att den blir förenlig med de föreslagna ändringarna. Föreskriften har ändrats genom att uppdatera den för att motsvara ändringarna i lagen om transportservice och genom att ta bort onödiga punkter. Därtill förenhetligar föreskriften punkterna gällande påvisande av kompetens och upprätthållande av kompetensen så att de till tillämpliga delar motsvarar kraven för flygläkare. </w:t>
      </w:r>
    </w:p>
    <w:p w14:paraId="0E905DA4" w14:textId="53651513" w:rsidR="00FD0A07" w:rsidRPr="00F8548D" w:rsidRDefault="00FD0A07" w:rsidP="009C49F8">
      <w:pPr>
        <w:autoSpaceDE w:val="0"/>
        <w:autoSpaceDN w:val="0"/>
        <w:adjustRightInd w:val="0"/>
        <w:ind w:left="1304"/>
        <w:jc w:val="both"/>
        <w:rPr>
          <w:rFonts w:ascii="Verdana" w:hAnsi="Verdana" w:cs="Verdana"/>
          <w:szCs w:val="20"/>
          <w:lang w:val="sv-SE"/>
        </w:rPr>
      </w:pPr>
    </w:p>
    <w:p w14:paraId="67E65217" w14:textId="40657B04" w:rsidR="00FD0A07" w:rsidRPr="00F8548D" w:rsidRDefault="00FD0A07" w:rsidP="009C49F8">
      <w:pPr>
        <w:autoSpaceDE w:val="0"/>
        <w:autoSpaceDN w:val="0"/>
        <w:adjustRightInd w:val="0"/>
        <w:ind w:left="1304"/>
        <w:jc w:val="both"/>
        <w:rPr>
          <w:rFonts w:ascii="Verdana" w:hAnsi="Verdana" w:cs="Verdana"/>
          <w:szCs w:val="20"/>
          <w:lang w:val="sv-SE"/>
        </w:rPr>
      </w:pPr>
      <w:r>
        <w:rPr>
          <w:lang w:val="sv-FI"/>
        </w:rPr>
        <w:t>Rättsgrunden för föreskriften är 204 § 3 mom., 205 § 3 mom. och 206 § 3 mom. i lagen om transportservice. Föreskriften tillämpas på de behörighetskrav och det upprätthållande av kompetensen som för järnvägsläkare avses i 204 §, för järnvägspsykologer i 205 § och för sjömansläkare i 206 §.</w:t>
      </w:r>
    </w:p>
    <w:p w14:paraId="2C347976" w14:textId="77777777" w:rsidR="00FD0A07" w:rsidRPr="00F8548D" w:rsidRDefault="00FD0A07" w:rsidP="009C49F8">
      <w:pPr>
        <w:autoSpaceDE w:val="0"/>
        <w:autoSpaceDN w:val="0"/>
        <w:adjustRightInd w:val="0"/>
        <w:ind w:left="1304"/>
        <w:jc w:val="both"/>
        <w:rPr>
          <w:rFonts w:ascii="Verdana" w:hAnsi="Verdana" w:cs="Verdana"/>
          <w:szCs w:val="20"/>
          <w:lang w:val="sv-SE"/>
        </w:rPr>
      </w:pPr>
    </w:p>
    <w:p w14:paraId="6427C7FE" w14:textId="5F4203D3" w:rsidR="009C49F8" w:rsidRPr="00F8548D" w:rsidRDefault="009C1E27" w:rsidP="009C49F8">
      <w:pPr>
        <w:autoSpaceDE w:val="0"/>
        <w:autoSpaceDN w:val="0"/>
        <w:adjustRightInd w:val="0"/>
        <w:ind w:left="1304"/>
        <w:jc w:val="both"/>
        <w:rPr>
          <w:lang w:val="sv-SE"/>
        </w:rPr>
      </w:pPr>
      <w:r>
        <w:rPr>
          <w:lang w:val="sv-FI"/>
        </w:rPr>
        <w:t>Inom sjöfarten är EU-rättsgrunden för föreskriften direktivet om minimikrav på utbildning för sjöfolk (EU 2022/993). Den internationella rättsliga grunden är STCW-konventionen (FördrS 22/1984) för sjöfarten. Kraven i direktivet om minimikrav på utbildning för sjöfolk baserar sig på kraven i STCW-konventionen.</w:t>
      </w:r>
    </w:p>
    <w:p w14:paraId="061923B6" w14:textId="77777777" w:rsidR="009C49F8" w:rsidRPr="00F8548D" w:rsidRDefault="009C49F8" w:rsidP="009C49F8">
      <w:pPr>
        <w:autoSpaceDE w:val="0"/>
        <w:autoSpaceDN w:val="0"/>
        <w:adjustRightInd w:val="0"/>
        <w:ind w:left="1304"/>
        <w:jc w:val="both"/>
        <w:rPr>
          <w:lang w:val="sv-SE"/>
        </w:rPr>
      </w:pPr>
    </w:p>
    <w:p w14:paraId="4F745109" w14:textId="74F4F72B" w:rsidR="009C49F8" w:rsidRPr="00F8548D" w:rsidRDefault="009C1E27" w:rsidP="009C49F8">
      <w:pPr>
        <w:autoSpaceDE w:val="0"/>
        <w:autoSpaceDN w:val="0"/>
        <w:adjustRightInd w:val="0"/>
        <w:ind w:left="1304"/>
        <w:jc w:val="both"/>
        <w:rPr>
          <w:lang w:val="sv-SE"/>
        </w:rPr>
      </w:pPr>
      <w:r>
        <w:rPr>
          <w:lang w:val="sv-FI"/>
        </w:rPr>
        <w:t xml:space="preserve">Både lokförardirektivet och direktivet om minimikrav på utbildning för sjöfolk förutsätter att en sådan läkarundersökning som avses i direktivet får utföras och ett läkarintyg över hälsotillståndet utfärdas endast av en legitimerad läkare som erkänts av den behöriga myndigheten i ifrågavarande medlemsstat. En sådan psykologisk personbedömning som avses i lokförardirektivet får utföras och ett utlåtande om psykologisk lämplighet på motsvarande sätt utfärdas av en erkänd legitimerad psykolog (eller alternativt enligt medlemsstatens val även av en läkare). Båda direktiven förutsätter av den läkare som godkänns och lokförardirektivet dessutom av den psykolog som godkänns lämplig behörighet för uppgiften. Det finns dock inga närmare bestämmelser om behörighetskraven för läkare i direktiven och inte heller om behörighetskraven eller om upprätthållande av kompetensen för psykologer i lokförardirektivet. Lagen om trafikservice innehåller grundläggande krav i frågan. Med en mer detaljerad nationell föreskrift försäkrar man sig om att en läkare eller en psykolog som ansöker om </w:t>
      </w:r>
      <w:r w:rsidR="00927D74">
        <w:rPr>
          <w:lang w:val="sv-FI"/>
        </w:rPr>
        <w:t>Transport- och kommunikationsverkets</w:t>
      </w:r>
      <w:r>
        <w:rPr>
          <w:lang w:val="sv-FI"/>
        </w:rPr>
        <w:t xml:space="preserve"> godkännande har behörighet för sina uppgifter enligt bestämmelserna i lagen om transportservice </w:t>
      </w:r>
      <w:r>
        <w:rPr>
          <w:lang w:val="sv-FI"/>
        </w:rPr>
        <w:lastRenderedPageBreak/>
        <w:t>och att han eller hon även har satt sig in i uppgifterna på det sätt som kraven i direktivet förutsätter.</w:t>
      </w:r>
    </w:p>
    <w:p w14:paraId="3D4DB3F0" w14:textId="77777777" w:rsidR="009C49F8" w:rsidRPr="00F8548D" w:rsidRDefault="009C49F8" w:rsidP="009C49F8">
      <w:pPr>
        <w:autoSpaceDE w:val="0"/>
        <w:autoSpaceDN w:val="0"/>
        <w:adjustRightInd w:val="0"/>
        <w:ind w:left="1304"/>
        <w:jc w:val="both"/>
        <w:rPr>
          <w:lang w:val="sv-SE"/>
        </w:rPr>
      </w:pPr>
    </w:p>
    <w:p w14:paraId="73323906" w14:textId="52A81D6C" w:rsidR="00396F92" w:rsidRPr="00F8548D" w:rsidRDefault="00396F92" w:rsidP="009C49F8">
      <w:pPr>
        <w:autoSpaceDE w:val="0"/>
        <w:autoSpaceDN w:val="0"/>
        <w:adjustRightInd w:val="0"/>
        <w:ind w:left="1304"/>
        <w:jc w:val="both"/>
        <w:rPr>
          <w:lang w:val="sv-SE"/>
        </w:rPr>
      </w:pPr>
      <w:r>
        <w:rPr>
          <w:lang w:val="sv-FI"/>
        </w:rPr>
        <w:t xml:space="preserve">Verksamhet som strider mot föreskriften kan leda till administrativa påföljder enligt lagen om transportservice. Dessa är en anmärkning eller varning enligt § 245 i lagen och i sista hand annullering, ändring eller begränsning av godkännandet enligt § 242 i lagen. </w:t>
      </w:r>
    </w:p>
    <w:p w14:paraId="167D8F01" w14:textId="77777777" w:rsidR="00CC4D07" w:rsidRPr="00F8548D" w:rsidRDefault="00CC4D07" w:rsidP="009C49F8">
      <w:pPr>
        <w:autoSpaceDE w:val="0"/>
        <w:autoSpaceDN w:val="0"/>
        <w:adjustRightInd w:val="0"/>
        <w:ind w:left="1304"/>
        <w:jc w:val="both"/>
        <w:rPr>
          <w:rFonts w:ascii="Verdana" w:hAnsi="Verdana" w:cs="Verdana"/>
          <w:szCs w:val="20"/>
          <w:lang w:val="sv-SE"/>
        </w:rPr>
      </w:pPr>
    </w:p>
    <w:p w14:paraId="4A179B24" w14:textId="7B88B990" w:rsidR="00177323" w:rsidRPr="00F8548D" w:rsidRDefault="00B24043" w:rsidP="00B24043">
      <w:pPr>
        <w:pStyle w:val="Leipteksti"/>
        <w:ind w:left="0"/>
        <w:rPr>
          <w:b/>
          <w:sz w:val="22"/>
          <w:lang w:val="sv-SE"/>
        </w:rPr>
      </w:pPr>
      <w:r>
        <w:rPr>
          <w:b/>
          <w:bCs/>
          <w:sz w:val="22"/>
          <w:lang w:val="sv-FI"/>
        </w:rPr>
        <w:t>Beredning av föreskriften</w:t>
      </w:r>
    </w:p>
    <w:p w14:paraId="4743B6A2" w14:textId="3402F522" w:rsidR="00396F92" w:rsidRPr="00F8548D" w:rsidRDefault="00396F92" w:rsidP="00396F92">
      <w:pPr>
        <w:pStyle w:val="Leipteksti"/>
        <w:jc w:val="both"/>
        <w:rPr>
          <w:szCs w:val="20"/>
          <w:lang w:val="sv-SE"/>
        </w:rPr>
      </w:pPr>
      <w:r>
        <w:rPr>
          <w:szCs w:val="20"/>
          <w:lang w:val="sv-FI"/>
        </w:rPr>
        <w:t xml:space="preserve">Föreskriftsändringen har beretts som tjänstearbete vid Transport- och kommunikationsverket. Projektet inleddes med ett beslut om föreskriftsprojekt som publicerades 5.5.2023. Utkastet till föreskriften var på intern remissbehandling inom ämbetsverket 9–19.5.2023. Ämbetsverket har i beredningen av föreskriften hört intressentgrupper inom järnvägstrafiken och sjöfarten på en extern remissbehandling </w:t>
      </w:r>
      <w:r w:rsidRPr="00463133">
        <w:rPr>
          <w:szCs w:val="20"/>
          <w:lang w:val="sv-FI"/>
        </w:rPr>
        <w:t>xx–xx.xx.2023</w:t>
      </w:r>
      <w:r>
        <w:rPr>
          <w:szCs w:val="20"/>
          <w:lang w:val="sv-FI"/>
        </w:rPr>
        <w:t>.</w:t>
      </w:r>
    </w:p>
    <w:p w14:paraId="06A77E56" w14:textId="2083642A" w:rsidR="00B24043" w:rsidRPr="00F8548D" w:rsidRDefault="000C33AF" w:rsidP="00B24043">
      <w:pPr>
        <w:pStyle w:val="Leipteksti"/>
        <w:ind w:left="0"/>
        <w:rPr>
          <w:b/>
          <w:sz w:val="22"/>
          <w:lang w:val="sv-SE"/>
        </w:rPr>
      </w:pPr>
      <w:r>
        <w:rPr>
          <w:b/>
          <w:bCs/>
          <w:sz w:val="22"/>
          <w:lang w:val="sv-FI"/>
        </w:rPr>
        <w:t>Remissrespons</w:t>
      </w:r>
    </w:p>
    <w:p w14:paraId="6BA650C8" w14:textId="1D78DADB" w:rsidR="000C33AF" w:rsidRPr="00F8548D" w:rsidRDefault="000C33AF" w:rsidP="000C33AF">
      <w:pPr>
        <w:pStyle w:val="Leipteksti"/>
        <w:jc w:val="both"/>
        <w:rPr>
          <w:szCs w:val="20"/>
          <w:lang w:val="sv-SE"/>
        </w:rPr>
      </w:pPr>
      <w:r>
        <w:rPr>
          <w:szCs w:val="20"/>
          <w:lang w:val="sv-FI"/>
        </w:rPr>
        <w:t xml:space="preserve">De emottagna utlåtandena och </w:t>
      </w:r>
      <w:r w:rsidR="00463133">
        <w:rPr>
          <w:szCs w:val="20"/>
          <w:lang w:val="sv-FI"/>
        </w:rPr>
        <w:t>Transport- och kommunikationsverkets</w:t>
      </w:r>
      <w:r>
        <w:rPr>
          <w:szCs w:val="20"/>
          <w:lang w:val="sv-FI"/>
        </w:rPr>
        <w:t xml:space="preserve"> svar på dem framgår mer detaljerat av den bifogade kommentarssammanställningen. Nedan finns sammanställningar av responsen och Transport- och kommunikationsverkets svar.</w:t>
      </w:r>
    </w:p>
    <w:p w14:paraId="62A65CF1" w14:textId="30A99E5A" w:rsidR="00B24043" w:rsidRPr="00B24043" w:rsidRDefault="00CD551C" w:rsidP="00B24043">
      <w:pPr>
        <w:pStyle w:val="Leipteksti"/>
        <w:ind w:left="0"/>
        <w:rPr>
          <w:b/>
        </w:rPr>
      </w:pPr>
      <w:r>
        <w:rPr>
          <w:b/>
          <w:bCs/>
          <w:lang w:val="sv-FI"/>
        </w:rPr>
        <w:t>Järnvägstrafik</w:t>
      </w:r>
    </w:p>
    <w:p w14:paraId="23487021" w14:textId="77777777" w:rsidR="00B24043" w:rsidRDefault="00B24043" w:rsidP="00B24043">
      <w:pPr>
        <w:pStyle w:val="Leipteksti"/>
        <w:numPr>
          <w:ilvl w:val="0"/>
          <w:numId w:val="49"/>
        </w:numPr>
      </w:pPr>
    </w:p>
    <w:p w14:paraId="2D026F04" w14:textId="020AA826" w:rsidR="00B24043" w:rsidRDefault="00CD551C" w:rsidP="00B24043">
      <w:pPr>
        <w:pStyle w:val="Leipteksti"/>
        <w:ind w:left="0"/>
        <w:rPr>
          <w:b/>
        </w:rPr>
      </w:pPr>
      <w:r>
        <w:rPr>
          <w:b/>
          <w:bCs/>
          <w:lang w:val="sv-FI"/>
        </w:rPr>
        <w:t>Sjöfart</w:t>
      </w:r>
    </w:p>
    <w:p w14:paraId="5169BBCD" w14:textId="77777777" w:rsidR="00B24043" w:rsidRDefault="00B24043" w:rsidP="00B24043">
      <w:pPr>
        <w:pStyle w:val="Leipteksti"/>
        <w:numPr>
          <w:ilvl w:val="0"/>
          <w:numId w:val="49"/>
        </w:numPr>
        <w:rPr>
          <w:b/>
        </w:rPr>
      </w:pPr>
    </w:p>
    <w:p w14:paraId="60568F06" w14:textId="6DE17585" w:rsidR="00B24043" w:rsidRDefault="00B24043" w:rsidP="00B24043">
      <w:pPr>
        <w:pStyle w:val="Leipteksti"/>
        <w:ind w:left="0"/>
        <w:rPr>
          <w:b/>
          <w:sz w:val="22"/>
        </w:rPr>
      </w:pPr>
      <w:r>
        <w:rPr>
          <w:b/>
          <w:bCs/>
          <w:sz w:val="22"/>
          <w:lang w:val="sv-FI"/>
        </w:rPr>
        <w:t>Bedömning av föreskriftens konsekvenser</w:t>
      </w:r>
    </w:p>
    <w:p w14:paraId="7D66669A" w14:textId="02999F9B" w:rsidR="00CD551C" w:rsidRPr="00F8548D" w:rsidRDefault="00A96328" w:rsidP="00A96328">
      <w:pPr>
        <w:autoSpaceDE w:val="0"/>
        <w:autoSpaceDN w:val="0"/>
        <w:adjustRightInd w:val="0"/>
        <w:ind w:left="1304"/>
        <w:jc w:val="both"/>
        <w:rPr>
          <w:rFonts w:ascii="Verdana" w:hAnsi="Verdana" w:cs="Verdana"/>
          <w:szCs w:val="20"/>
          <w:lang w:val="sv-SE"/>
        </w:rPr>
      </w:pPr>
      <w:r>
        <w:rPr>
          <w:rFonts w:ascii="Verdana" w:hAnsi="Verdana" w:cs="Verdana"/>
          <w:szCs w:val="20"/>
          <w:lang w:val="sv-FI"/>
        </w:rPr>
        <w:t>Genom ändringen av föreskriften förenhetligas regleringen på järnvägarna och inom sjöfarten. Kraven på utbildning och erfarenhet förtydligas, men ändringen har inga betydande ekonomiska konsekvenser för intressentgrupperna eller kunderna. Preciseringen av regleringen för upprätthållande av kompetens gör behandlingen av läkare mer jämlik samt förbättrar förutsägbarheten och trafiksäkerheten. Ändringen har inga konsekvenser för tillgängligheten eller miljön. Ändringen har heller inga konsekvenser för jämställdheten mellan kvinnor och män.</w:t>
      </w:r>
    </w:p>
    <w:p w14:paraId="23F94331" w14:textId="77777777" w:rsidR="00A96328" w:rsidRPr="00F8548D" w:rsidRDefault="00A96328" w:rsidP="00A96328">
      <w:pPr>
        <w:autoSpaceDE w:val="0"/>
        <w:autoSpaceDN w:val="0"/>
        <w:adjustRightInd w:val="0"/>
        <w:ind w:left="1304"/>
        <w:jc w:val="both"/>
        <w:rPr>
          <w:rFonts w:ascii="Verdana" w:hAnsi="Verdana" w:cs="Verdana"/>
          <w:szCs w:val="20"/>
          <w:lang w:val="sv-SE"/>
        </w:rPr>
      </w:pPr>
    </w:p>
    <w:p w14:paraId="73B9B411" w14:textId="67F973A6" w:rsidR="00B24043" w:rsidRDefault="00B24043" w:rsidP="00B24043">
      <w:pPr>
        <w:pStyle w:val="Leipteksti"/>
        <w:ind w:left="0"/>
        <w:rPr>
          <w:b/>
          <w:sz w:val="22"/>
        </w:rPr>
      </w:pPr>
      <w:r>
        <w:rPr>
          <w:b/>
          <w:bCs/>
          <w:sz w:val="22"/>
          <w:lang w:val="sv-FI"/>
        </w:rPr>
        <w:t>Detaljmotivering</w:t>
      </w:r>
    </w:p>
    <w:p w14:paraId="7DD3399E" w14:textId="510AC053" w:rsidR="000A3DF3" w:rsidRPr="00F8548D" w:rsidRDefault="000A3DF3" w:rsidP="000A3DF3">
      <w:pPr>
        <w:pStyle w:val="Leipteksti"/>
        <w:numPr>
          <w:ilvl w:val="1"/>
          <w:numId w:val="49"/>
        </w:numPr>
        <w:jc w:val="both"/>
        <w:rPr>
          <w:szCs w:val="20"/>
          <w:lang w:val="sv-SE"/>
        </w:rPr>
      </w:pPr>
      <w:r>
        <w:rPr>
          <w:szCs w:val="20"/>
          <w:lang w:val="sv-FI"/>
        </w:rPr>
        <w:t>Rubriken på hela föreskriften har ändrats för att motsvara formuleringarna i 204–206 § i lagen om transportservice.</w:t>
      </w:r>
    </w:p>
    <w:p w14:paraId="63609561" w14:textId="77777777" w:rsidR="000A3DF3" w:rsidRPr="00F8548D" w:rsidRDefault="002D0399" w:rsidP="000A3DF3">
      <w:pPr>
        <w:pStyle w:val="Leipteksti"/>
        <w:numPr>
          <w:ilvl w:val="1"/>
          <w:numId w:val="49"/>
        </w:numPr>
        <w:jc w:val="both"/>
        <w:rPr>
          <w:szCs w:val="20"/>
          <w:lang w:val="sv-SE"/>
        </w:rPr>
      </w:pPr>
      <w:r>
        <w:rPr>
          <w:i/>
          <w:iCs/>
          <w:szCs w:val="20"/>
          <w:lang w:val="sv-FI"/>
        </w:rPr>
        <w:t>Punkt 1, Tillämpningsområde</w:t>
      </w:r>
      <w:r>
        <w:rPr>
          <w:szCs w:val="20"/>
          <w:lang w:val="sv-FI"/>
        </w:rPr>
        <w:t>: Punkt 1 har uppdaterats genom att rätta de ändrade paragrafnumreringarna till de gällande.</w:t>
      </w:r>
    </w:p>
    <w:p w14:paraId="173D4907" w14:textId="725B9B3D" w:rsidR="00841638" w:rsidRPr="00F8548D" w:rsidRDefault="00841638" w:rsidP="000A3DF3">
      <w:pPr>
        <w:pStyle w:val="Leipteksti"/>
        <w:numPr>
          <w:ilvl w:val="1"/>
          <w:numId w:val="49"/>
        </w:numPr>
        <w:jc w:val="both"/>
        <w:rPr>
          <w:szCs w:val="20"/>
          <w:lang w:val="sv-SE"/>
        </w:rPr>
      </w:pPr>
      <w:r>
        <w:rPr>
          <w:i/>
          <w:iCs/>
          <w:szCs w:val="20"/>
          <w:lang w:val="sv-FI"/>
        </w:rPr>
        <w:t xml:space="preserve">Punkt 2.1.1: </w:t>
      </w:r>
      <w:r>
        <w:rPr>
          <w:szCs w:val="20"/>
          <w:lang w:val="sv-FI"/>
        </w:rPr>
        <w:t xml:space="preserve">En ny punkt till vilken man flyttat hänvisningen i punkt 2.4 (Påvisande av kompetens) i den upphävda föreskriften till att den som ansöker om att bli järnvägsläkare ska påvisa att han eller hon uppfyller och i tillräcklig mån är förtrogen med kraven i 204 § 1 mom. i lagen om transportservice. Dessutom ska </w:t>
      </w:r>
      <w:r>
        <w:rPr>
          <w:szCs w:val="20"/>
          <w:lang w:val="sv-FI"/>
        </w:rPr>
        <w:lastRenderedPageBreak/>
        <w:t>sökanden visa att han eller hon uppfyller villkoren i punkt 2.1.2 i föreskriften, där behörighetskraven enligt lagen om transportservice preciseras.</w:t>
      </w:r>
    </w:p>
    <w:p w14:paraId="564A7237" w14:textId="620C4A1D" w:rsidR="00645496" w:rsidRPr="00F8548D" w:rsidRDefault="000A3DF3" w:rsidP="000A3DF3">
      <w:pPr>
        <w:pStyle w:val="Leipteksti"/>
        <w:numPr>
          <w:ilvl w:val="1"/>
          <w:numId w:val="49"/>
        </w:numPr>
        <w:jc w:val="both"/>
        <w:rPr>
          <w:szCs w:val="20"/>
          <w:lang w:val="sv-SE"/>
        </w:rPr>
      </w:pPr>
      <w:r>
        <w:rPr>
          <w:i/>
          <w:iCs/>
          <w:szCs w:val="20"/>
          <w:lang w:val="sv-FI"/>
        </w:rPr>
        <w:t>Punkt 2.1.2:</w:t>
      </w:r>
      <w:r>
        <w:rPr>
          <w:szCs w:val="20"/>
          <w:lang w:val="sv-FI"/>
        </w:rPr>
        <w:t xml:space="preserve"> I punkten ingår de uppdaterade uppgifterna i punkt 2.1 i den upphävda föreskriften. Kravet på att läkarens rättigheter ska vara obegränsade har tagits bort från föreskriften och på så sätt har föreskriften förenhetligats så att den motsvarar kraven i lagen om transportservice.</w:t>
      </w:r>
    </w:p>
    <w:p w14:paraId="73E5FB86" w14:textId="25923DDE" w:rsidR="000A3DF3" w:rsidRPr="00F8548D" w:rsidRDefault="001F25C4" w:rsidP="00645496">
      <w:pPr>
        <w:pStyle w:val="Leipteksti"/>
        <w:ind w:left="1440"/>
        <w:jc w:val="both"/>
        <w:rPr>
          <w:szCs w:val="20"/>
          <w:lang w:val="sv-SE"/>
        </w:rPr>
      </w:pPr>
      <w:r>
        <w:rPr>
          <w:szCs w:val="20"/>
          <w:lang w:val="sv-FI"/>
        </w:rPr>
        <w:t xml:space="preserve">I punkt a) i föreskriften finns en exempelförteckning över lämpliga specialläkare för uppgiften. De specialläkarrättigheter som nämns i förteckningen anses vara lämpliga för uppgiften som järnvägsläkare, men enligt Transport- och kommunikationsverkets övervägande kan även andra specialläkare vara lämpliga som järnvägsläkare. I punkterna b) och c) ges närmare föreskrifter om på vilket sätt läkarrättigheterna inte får vara begränsande för att en person ska kunna godkännas att vara verksam som järnvägsläkare. Enligt punkt b) fordras av den som ansöker om att bli järnvägsläkare att sökandens rätt att vara verksam som läkare inte är begränsad på ett sätt som begränsar honom eller henne att vara verksam som </w:t>
      </w:r>
      <w:r>
        <w:rPr>
          <w:i/>
          <w:iCs/>
          <w:szCs w:val="20"/>
          <w:lang w:val="sv-FI"/>
        </w:rPr>
        <w:t>självständig</w:t>
      </w:r>
      <w:r>
        <w:rPr>
          <w:szCs w:val="20"/>
          <w:lang w:val="sv-FI"/>
        </w:rPr>
        <w:t xml:space="preserve"> järnvägsläkare. En järnvägsläkare ska ha rätt att vara verksam till exempel som självständig yrkesutövare eller i övrigt självständigt som järnvägsläkare. Läkarens rättigheter får inte vara begränsade till exempel så att läkaren har rätt att verka endast under ledning och övervakning av en annan läkare. Enligt punkt c) får den sökandes rättigheter inte vara begränsade på ett sätt som visar att sökanden i sin verksamhet inte iakttar allmänt vedertagna och erfarenhetsbaserade motiverade förfaranden i enlighet med sin utbildning. Bestämmelser om de yrkesetiska skyldigheterna för yrkesutbildade personer inom hälso- och sjukvården finns i 15 § i lagen om yrkesutbildade personer inom hälso- och sjukvården (559/1994). En person kan inte vara verksam som järnvägsläkare om han eller hon inte har iakttagit allmänt vedertagna vårdprinciper och bestämmelser i sin verksamhet och hans eller hennes rättigheter att vara verksam som läkare därför har begränsats.</w:t>
      </w:r>
    </w:p>
    <w:p w14:paraId="4E15A50C" w14:textId="0719C4B1" w:rsidR="00813E3D" w:rsidRPr="00F8548D" w:rsidRDefault="00264FAF" w:rsidP="00645496">
      <w:pPr>
        <w:pStyle w:val="Leipteksti"/>
        <w:ind w:left="1440"/>
        <w:jc w:val="both"/>
        <w:rPr>
          <w:szCs w:val="20"/>
          <w:lang w:val="sv-SE"/>
        </w:rPr>
      </w:pPr>
      <w:r>
        <w:rPr>
          <w:szCs w:val="20"/>
          <w:lang w:val="sv-FI"/>
        </w:rPr>
        <w:t>Kraven i underpunkterna 2 och 3 i den upphävda föreskriften gällande den kompetens som krävs av järnvägsläkare har preciserats i punkt d). Enligt punkt d) ska sökanden för att påvisa sitt kunnande ha avlagt en av Transport- och kommunikationsverket godkänd grundkurs för behörighet under det år som föregår ansökan om godkännande som järnvägsläkare. Att gå utbildningen är en förutsättning för att godkännandet ska beviljas. I utbildningen kan man försäkra sig om att järnvägsläkaren är förtrogen med innehållet i lokförares uppgifter, arbetsmiljö och trafiksäkerhetsrisker samt är förtrogen med de anvisningar som Transport- och kommunikationsverket utfärdat om hälso- och funktionsduglighetskraven för förare av rullande materiel. I praktiken har det krävts att en motsvarande grundkurs har avlagts under den upphävda föreskriftens giltighetstid, men för att förtydliga villkoren lades kravet på kursen till i föreskriften. Om det har gått mer än ett år sedan grundkursen har avlagts, kan kraven för godkännande enligt Transport- och kommunikationsverkets övervägande uppfyllas även genom att avlägga en repetitionskurs, där man repeterar särskilda frågor som hänför sig till att vara verksam som järnvägsläkare.</w:t>
      </w:r>
    </w:p>
    <w:p w14:paraId="1B7AD8FC" w14:textId="51B36E9F" w:rsidR="0006062A" w:rsidRPr="00F8548D" w:rsidRDefault="0006062A" w:rsidP="0006062A">
      <w:pPr>
        <w:pStyle w:val="Leipteksti"/>
        <w:numPr>
          <w:ilvl w:val="1"/>
          <w:numId w:val="49"/>
        </w:numPr>
        <w:jc w:val="both"/>
        <w:rPr>
          <w:szCs w:val="20"/>
          <w:lang w:val="sv-SE"/>
        </w:rPr>
      </w:pPr>
      <w:r>
        <w:rPr>
          <w:i/>
          <w:iCs/>
          <w:szCs w:val="20"/>
          <w:lang w:val="sv-FI"/>
        </w:rPr>
        <w:t>Punkt 2.2.1:</w:t>
      </w:r>
      <w:r>
        <w:rPr>
          <w:szCs w:val="20"/>
          <w:lang w:val="sv-FI"/>
        </w:rPr>
        <w:t xml:space="preserve"> En ny punkt till vilken man flyttat hänvisningen i punkt 2.4 (Påvisande av kompetens) i den upphävda föreskriften till att den som ansöker om att bli järnvägspsykolog ska påvisa att han eller hon uppfyller och i tillräcklig mån är förtrogen med kraven i 205 § 1 mom. i lagen om transportservice. Dessutom ska sökanden visa att han eller hon uppfyller villkoren i punkt 2.2.2 i föreskriften, där behörighetskraven enligt lagen om transportservice preciseras.</w:t>
      </w:r>
    </w:p>
    <w:p w14:paraId="6BA7ADF0" w14:textId="5CCF3260" w:rsidR="00753E35" w:rsidRPr="00F8548D" w:rsidRDefault="00753E35" w:rsidP="0006062A">
      <w:pPr>
        <w:pStyle w:val="Leipteksti"/>
        <w:numPr>
          <w:ilvl w:val="1"/>
          <w:numId w:val="49"/>
        </w:numPr>
        <w:jc w:val="both"/>
        <w:rPr>
          <w:szCs w:val="20"/>
          <w:lang w:val="sv-SE"/>
        </w:rPr>
      </w:pPr>
      <w:r>
        <w:rPr>
          <w:i/>
          <w:iCs/>
          <w:szCs w:val="20"/>
          <w:lang w:val="sv-FI"/>
        </w:rPr>
        <w:lastRenderedPageBreak/>
        <w:t>Punkt 2.2.2:</w:t>
      </w:r>
      <w:r>
        <w:rPr>
          <w:szCs w:val="20"/>
          <w:lang w:val="sv-FI"/>
        </w:rPr>
        <w:t xml:space="preserve"> I punkt a) har man utelämnat omnämnandet om att en järnvägspsykolog ska vara en legitimerad psykolog i Finland, eftersom villkoret kommer direkt från 205 § 1 mom. punkten 1 i lagen om transportservice. Av en järnvägspsykolog krävs att sökanden har ett giltigt certifikat för psykologisk personbedömning som beviljats av Finlands Psykologförbund. Certifikatet påvisar psykologens kompetens och behörighet för att göra personbedömningar. Med certifikatet säkerställs att sökanden har tillräcklig kännedom om arbets- och organisationspsykologi och psykologisk personbedömning.</w:t>
      </w:r>
    </w:p>
    <w:p w14:paraId="1C5988CD" w14:textId="5ED41C01" w:rsidR="000B0999" w:rsidRPr="00F8548D" w:rsidRDefault="004D1F42" w:rsidP="000B0999">
      <w:pPr>
        <w:pStyle w:val="Leipteksti"/>
        <w:ind w:left="1440"/>
        <w:jc w:val="both"/>
        <w:rPr>
          <w:szCs w:val="20"/>
          <w:lang w:val="sv-SE"/>
        </w:rPr>
      </w:pPr>
      <w:r>
        <w:rPr>
          <w:szCs w:val="20"/>
          <w:lang w:val="sv-FI"/>
        </w:rPr>
        <w:t xml:space="preserve">I punkt </w:t>
      </w:r>
      <w:r>
        <w:rPr>
          <w:i/>
          <w:iCs/>
          <w:szCs w:val="20"/>
          <w:lang w:val="sv-FI"/>
        </w:rPr>
        <w:t>b)</w:t>
      </w:r>
      <w:r>
        <w:rPr>
          <w:szCs w:val="20"/>
          <w:lang w:val="sv-FI"/>
        </w:rPr>
        <w:t xml:space="preserve"> preciseras kraven så att den som ansöker om att bli järnvägspsykolog ska ha gått en av Transport- och kommunikationsverket godkänd grundkurs som ger behörighet under det år som föregår ansökan. Järnvägspsykologerna utbildas med en av Transport- och kommunikationsverket godkänd grundkurs i innehållet i lokförares uppgifter, arbetsmiljö och trafiksäkerhetsrisker, och man försäkrar sig om att sökanden är förtrogen med de anvisningar som Transport- och kommunikationsverket utfärdat om den psykologiska lämpligheten och lämplighetsbedömningen för förare av rullande materiel samt kraven i 205 § 1 mom. i lagen om transportservice. I praktiken har det krävts att en motsvarande grundkurs har avlagts under den upphävda föreskriftens giltighetstid, men för att förtydliga villkoren lades kravet på kursen till i föreskriften.</w:t>
      </w:r>
    </w:p>
    <w:p w14:paraId="168B25D5" w14:textId="1C057B26" w:rsidR="006D5022" w:rsidRPr="00F8548D" w:rsidRDefault="006D5022" w:rsidP="006D5022">
      <w:pPr>
        <w:pStyle w:val="Leipteksti"/>
        <w:numPr>
          <w:ilvl w:val="1"/>
          <w:numId w:val="49"/>
        </w:numPr>
        <w:jc w:val="both"/>
        <w:rPr>
          <w:szCs w:val="20"/>
          <w:lang w:val="sv-SE"/>
        </w:rPr>
      </w:pPr>
      <w:r>
        <w:rPr>
          <w:i/>
          <w:iCs/>
          <w:szCs w:val="20"/>
          <w:lang w:val="sv-FI"/>
        </w:rPr>
        <w:t>Punkt 2.3.1:</w:t>
      </w:r>
      <w:r>
        <w:rPr>
          <w:szCs w:val="20"/>
          <w:lang w:val="sv-FI"/>
        </w:rPr>
        <w:t xml:space="preserve"> En ny punkt till vilken man flyttat hänvisningen i punkt 2.4 (Påvisande av kompetens) i den upphävda föreskriften till att den som ansöker om att bli sjömansläkare ska påvisa att han eller hon uppfyller och i tillräcklig mån är förtrogen med kraven i 206 § 1 mom. i lagen om transportservice. Dessutom ska sökanden visa att han eller hon uppfyller villkoren i punkt 2.3.2 i föreskriften, där behörighetskraven enligt lagen om transportservice preciseras.</w:t>
      </w:r>
    </w:p>
    <w:p w14:paraId="19523314" w14:textId="65FCA873" w:rsidR="00E40DF1" w:rsidRPr="00F8548D" w:rsidRDefault="00E40DF1" w:rsidP="006D5022">
      <w:pPr>
        <w:pStyle w:val="Leipteksti"/>
        <w:numPr>
          <w:ilvl w:val="1"/>
          <w:numId w:val="49"/>
        </w:numPr>
        <w:jc w:val="both"/>
        <w:rPr>
          <w:szCs w:val="20"/>
          <w:lang w:val="sv-SE"/>
        </w:rPr>
      </w:pPr>
      <w:r>
        <w:rPr>
          <w:i/>
          <w:iCs/>
          <w:szCs w:val="20"/>
          <w:lang w:val="sv-FI"/>
        </w:rPr>
        <w:t>Punkt 2.3.2:</w:t>
      </w:r>
      <w:r>
        <w:rPr>
          <w:szCs w:val="20"/>
          <w:lang w:val="sv-FI"/>
        </w:rPr>
        <w:t xml:space="preserve"> De ändringar som har gjorts i föreskriften och motiveringarna till ändringarna motsvarar i tillämpliga delar punkt 2.1.2 om godkännande av järnvägsläkare.</w:t>
      </w:r>
    </w:p>
    <w:p w14:paraId="2D5A0674" w14:textId="44A11420" w:rsidR="000750B1" w:rsidRPr="00F8548D" w:rsidRDefault="000750B1" w:rsidP="006D5022">
      <w:pPr>
        <w:pStyle w:val="Leipteksti"/>
        <w:numPr>
          <w:ilvl w:val="1"/>
          <w:numId w:val="49"/>
        </w:numPr>
        <w:jc w:val="both"/>
        <w:rPr>
          <w:szCs w:val="20"/>
          <w:lang w:val="sv-SE"/>
        </w:rPr>
      </w:pPr>
      <w:r>
        <w:rPr>
          <w:i/>
          <w:iCs/>
          <w:szCs w:val="20"/>
          <w:lang w:val="sv-FI"/>
        </w:rPr>
        <w:t>Punkt 3:</w:t>
      </w:r>
      <w:r>
        <w:rPr>
          <w:szCs w:val="20"/>
          <w:lang w:val="sv-FI"/>
        </w:rPr>
        <w:t xml:space="preserve"> I punkten har preciserats hur innehavaren av godkännandet ska upprätthålla sin kompetens under godkännandeperioden samt kraven för förnyande av godkännandet. Motsvarande krav har till största delen tillämpats redan under den tid som den tidigare upphävda föreskriften tillämpats, men i den ändrade föreskriften har kraven skrivits in tydligare och motsvarar i tillämpliga delar regleringen för flygläkare.</w:t>
      </w:r>
    </w:p>
    <w:p w14:paraId="728DEB8F" w14:textId="229F9099" w:rsidR="007D7B74" w:rsidRPr="00F8548D" w:rsidRDefault="007D7B74" w:rsidP="006D5022">
      <w:pPr>
        <w:pStyle w:val="Leipteksti"/>
        <w:numPr>
          <w:ilvl w:val="1"/>
          <w:numId w:val="49"/>
        </w:numPr>
        <w:jc w:val="both"/>
        <w:rPr>
          <w:szCs w:val="20"/>
          <w:lang w:val="sv-SE"/>
        </w:rPr>
      </w:pPr>
      <w:r>
        <w:rPr>
          <w:i/>
          <w:iCs/>
          <w:szCs w:val="20"/>
          <w:lang w:val="sv-FI"/>
        </w:rPr>
        <w:t>Punkt 3.1:</w:t>
      </w:r>
      <w:r>
        <w:rPr>
          <w:szCs w:val="20"/>
          <w:lang w:val="sv-FI"/>
        </w:rPr>
        <w:t xml:space="preserve"> Godkännandet kan förnyas förutsatt att a) sökanden fortfarande uppfyller de krav i lagen om transportservice och i föreskriften som gäller godkännandet. Dessutom ska sökanden i enlighet med punkt b) under giltighetstiden för godkännandet ha deltagit i en av Transport- och kommunikationsverket godkänd repetitionsutbildning på minst 20 timmar, av vilken minst hälften är utbildning som ordnas av Transport- och kommunikationsverket eller Arbetshälsoinstitutet. Utöver de utbildningar som Transport- och kommunikationsverket och Arbetshälsoinstitutet ordnar kan även annan lämplig utbildning avsedd för personer som är verksamma som järnvägsläkare eller järnvägspsykolog eller sjömansläkare godkännas. Det rekommenderas att man på förhand ansöker om godkännande för utbildning som ordnas av andra aktörer och om dess lämplighet innan man deltar i utbildningen.</w:t>
      </w:r>
    </w:p>
    <w:p w14:paraId="19ACA104" w14:textId="108D6949" w:rsidR="008057A1" w:rsidRPr="00F8548D" w:rsidRDefault="004D1F42" w:rsidP="003E69C2">
      <w:pPr>
        <w:pStyle w:val="Leipteksti"/>
        <w:ind w:left="1440"/>
        <w:jc w:val="both"/>
        <w:rPr>
          <w:szCs w:val="20"/>
          <w:lang w:val="sv-SE"/>
        </w:rPr>
      </w:pPr>
      <w:r>
        <w:rPr>
          <w:szCs w:val="20"/>
          <w:lang w:val="sv-FI"/>
        </w:rPr>
        <w:t xml:space="preserve">Enligt punkt c) ska den som ansöker om förnyelse av ett godkännande under godkännandets giltighetstid årligen ha utfört minst tio lämplighetsbedömningar för </w:t>
      </w:r>
      <w:r>
        <w:rPr>
          <w:szCs w:val="20"/>
          <w:lang w:val="sv-FI"/>
        </w:rPr>
        <w:lastRenderedPageBreak/>
        <w:t>järnvägsläkare eller sjömansläkare</w:t>
      </w:r>
      <w:r w:rsidR="00975F66">
        <w:rPr>
          <w:szCs w:val="20"/>
          <w:lang w:val="sv-FI"/>
        </w:rPr>
        <w:t xml:space="preserve"> som lämpar sig för det godkännande som söks</w:t>
      </w:r>
      <w:r>
        <w:rPr>
          <w:color w:val="FF0000"/>
          <w:szCs w:val="20"/>
          <w:lang w:val="sv-FI"/>
        </w:rPr>
        <w:t xml:space="preserve"> </w:t>
      </w:r>
      <w:r>
        <w:rPr>
          <w:szCs w:val="20"/>
          <w:lang w:val="sv-FI"/>
        </w:rPr>
        <w:t>eller psykologiska personbedömningar. I punkt d) krävs att den som ansöker om förnyelse av ett godkännande har utövat sina rättigheter enligt godkännandet i enlighet med regleringen och bland annat SHM:s och Transport- och kommunikationsverkets anvisningar. Transport- och kommunikationsverket kan påföra administrativa påföljder enligt 242 § eller 245 i lagen om transportservice. Upprepade eller enskilda allvarliga förseelser kan utgöra hinder för att förnya godkännandet.</w:t>
      </w:r>
    </w:p>
    <w:p w14:paraId="5C7A74B5" w14:textId="60486442" w:rsidR="003E69C2" w:rsidRPr="00F8548D" w:rsidRDefault="003E69C2" w:rsidP="003E69C2">
      <w:pPr>
        <w:pStyle w:val="Leipteksti"/>
        <w:numPr>
          <w:ilvl w:val="1"/>
          <w:numId w:val="49"/>
        </w:numPr>
        <w:jc w:val="both"/>
        <w:rPr>
          <w:szCs w:val="20"/>
          <w:lang w:val="sv-SE"/>
        </w:rPr>
      </w:pPr>
      <w:r>
        <w:rPr>
          <w:i/>
          <w:iCs/>
          <w:szCs w:val="20"/>
          <w:lang w:val="sv-FI"/>
        </w:rPr>
        <w:t>Punkt 3.2:</w:t>
      </w:r>
      <w:r>
        <w:rPr>
          <w:szCs w:val="20"/>
          <w:lang w:val="sv-FI"/>
        </w:rPr>
        <w:t xml:space="preserve"> Transport- och kommunikationsverket kan enligt övervägande förnya godkännandet, även om vissa av minimikraven i punkterna b) eller c) inte skulle ha uppfyllts. Till exempel en enskild brist i antalet lämplighetsbedömningar eller personbedömningar är inte nödvändigtvis ett hinder för att förnya godkännandet. De bedömningar eller utbildningsmängder som saknas kan från fall till fall ersättas med repetitionsutbildning eller på något annat sätt som Transport- och kommunikationsverket godkänner. </w:t>
      </w:r>
    </w:p>
    <w:p w14:paraId="535F4D7C" w14:textId="2B42AB65" w:rsidR="0050773C" w:rsidRPr="00F8548D" w:rsidRDefault="009467A6" w:rsidP="00B133D8">
      <w:pPr>
        <w:pStyle w:val="Leipteksti"/>
        <w:numPr>
          <w:ilvl w:val="1"/>
          <w:numId w:val="49"/>
        </w:numPr>
        <w:jc w:val="both"/>
        <w:rPr>
          <w:szCs w:val="20"/>
          <w:lang w:val="sv-SE"/>
        </w:rPr>
      </w:pPr>
      <w:r>
        <w:rPr>
          <w:i/>
          <w:iCs/>
          <w:szCs w:val="20"/>
          <w:lang w:val="sv-FI"/>
        </w:rPr>
        <w:t>Punkt 4:</w:t>
      </w:r>
      <w:r>
        <w:rPr>
          <w:szCs w:val="20"/>
          <w:lang w:val="sv-FI"/>
        </w:rPr>
        <w:t xml:space="preserve"> I punkten har tillagts en skyldighet för innehavaren av godkännandet att utan obefogat dröjsmål underrätta Transport- och kommunikationsverket, </w:t>
      </w:r>
      <w:r>
        <w:rPr>
          <w:rFonts w:ascii="Verdana" w:hAnsi="Verdana"/>
          <w:szCs w:val="20"/>
          <w:lang w:val="sv-FI"/>
        </w:rPr>
        <w:t>om det organ som övervakar yrkesutbildade personer inom hälso- och sjukvården har begränsat hans eller hennes rättigheter att vara verksam som läkare eller psykolog samt om andra ändringar som kan påverka hans eller hennes godkännande. Motsvarande anmälningsskyldighet för flygläkare finns inskriven i punkt MED.D.025 i bilaga IV till kommissionens förordning (EU) nr 1178/2011.</w:t>
      </w:r>
    </w:p>
    <w:p w14:paraId="363DD6AE" w14:textId="675C95E3" w:rsidR="00B24043" w:rsidRPr="00F8548D" w:rsidRDefault="00B24043" w:rsidP="00B24043">
      <w:pPr>
        <w:pStyle w:val="Leipteksti"/>
        <w:ind w:left="0"/>
        <w:rPr>
          <w:b/>
          <w:sz w:val="22"/>
          <w:lang w:val="sv-SE"/>
        </w:rPr>
      </w:pPr>
      <w:r>
        <w:rPr>
          <w:b/>
          <w:bCs/>
          <w:sz w:val="22"/>
          <w:lang w:val="sv-FI"/>
        </w:rPr>
        <w:t>Föreskriftens tidsplan</w:t>
      </w:r>
    </w:p>
    <w:p w14:paraId="65EF1DA6" w14:textId="7A323247" w:rsidR="00101210" w:rsidRPr="00F8548D" w:rsidRDefault="00101210" w:rsidP="00B24043">
      <w:pPr>
        <w:pStyle w:val="Leipteksti"/>
        <w:ind w:left="0"/>
        <w:rPr>
          <w:szCs w:val="20"/>
          <w:lang w:val="sv-SE"/>
        </w:rPr>
      </w:pPr>
      <w:r>
        <w:rPr>
          <w:lang w:val="sv-FI"/>
        </w:rPr>
        <w:tab/>
      </w:r>
      <w:r>
        <w:rPr>
          <w:szCs w:val="20"/>
          <w:lang w:val="sv-FI"/>
        </w:rPr>
        <w:t>Den ändrade föreskriften utfärdas</w:t>
      </w:r>
      <w:r>
        <w:rPr>
          <w:color w:val="FF0000"/>
          <w:szCs w:val="20"/>
          <w:lang w:val="sv-FI"/>
        </w:rPr>
        <w:t xml:space="preserve"> </w:t>
      </w:r>
      <w:r w:rsidRPr="00975F66">
        <w:rPr>
          <w:szCs w:val="20"/>
          <w:lang w:val="sv-FI"/>
        </w:rPr>
        <w:t>xx.xx.202</w:t>
      </w:r>
      <w:r w:rsidR="00975F66" w:rsidRPr="00975F66">
        <w:rPr>
          <w:szCs w:val="20"/>
          <w:lang w:val="sv-FI"/>
        </w:rPr>
        <w:t>x</w:t>
      </w:r>
      <w:r w:rsidRPr="00975F66">
        <w:rPr>
          <w:szCs w:val="20"/>
          <w:lang w:val="sv-FI"/>
        </w:rPr>
        <w:t xml:space="preserve"> och träder i kraft xx.xx.202</w:t>
      </w:r>
      <w:r w:rsidR="00975F66" w:rsidRPr="00975F66">
        <w:rPr>
          <w:szCs w:val="20"/>
          <w:lang w:val="sv-FI"/>
        </w:rPr>
        <w:t>x</w:t>
      </w:r>
      <w:r w:rsidRPr="00975F66">
        <w:rPr>
          <w:szCs w:val="20"/>
          <w:lang w:val="sv-FI"/>
        </w:rPr>
        <w:t>.</w:t>
      </w:r>
    </w:p>
    <w:p w14:paraId="7D619744" w14:textId="77777777" w:rsidR="00B24043" w:rsidRPr="00F8548D" w:rsidRDefault="00B24043" w:rsidP="00B24043">
      <w:pPr>
        <w:pStyle w:val="Leipteksti"/>
        <w:ind w:left="0"/>
        <w:rPr>
          <w:b/>
          <w:sz w:val="22"/>
          <w:lang w:val="sv-SE"/>
        </w:rPr>
      </w:pPr>
      <w:r>
        <w:rPr>
          <w:b/>
          <w:bCs/>
          <w:sz w:val="22"/>
          <w:lang w:val="sv-FI"/>
        </w:rPr>
        <w:t>Kommunikation om föreskriften</w:t>
      </w:r>
    </w:p>
    <w:p w14:paraId="34A5B943" w14:textId="2BB3D2E3" w:rsidR="00CF3721" w:rsidRPr="00F8548D" w:rsidRDefault="00CF3721" w:rsidP="00CF3721">
      <w:pPr>
        <w:pStyle w:val="Leipteksti"/>
        <w:jc w:val="both"/>
        <w:rPr>
          <w:lang w:val="sv-SE"/>
        </w:rPr>
      </w:pPr>
      <w:r>
        <w:rPr>
          <w:lang w:val="sv-FI"/>
        </w:rPr>
        <w:t xml:space="preserve">Information om föreskriften ges på Transport- och kommunikationsverkets webbplats samt per e-post till dem som anmält sig till sändningslistan för regleringen av spårtrafiken och sjöfarten samt till godkända järnvägsläkare, sjömansläkare och järnvägspsykologer. </w:t>
      </w:r>
    </w:p>
    <w:p w14:paraId="2F569639" w14:textId="7C575EBC" w:rsidR="00101210" w:rsidRPr="00F8548D" w:rsidRDefault="00101210" w:rsidP="00101210">
      <w:pPr>
        <w:pStyle w:val="Leipteksti"/>
        <w:ind w:left="0"/>
        <w:jc w:val="both"/>
        <w:rPr>
          <w:lang w:val="sv-SE"/>
        </w:rPr>
      </w:pPr>
    </w:p>
    <w:p w14:paraId="3EDA4DA1" w14:textId="35CFF1E3" w:rsidR="00101210" w:rsidRPr="00F8548D" w:rsidRDefault="00101210" w:rsidP="00101210">
      <w:pPr>
        <w:pStyle w:val="Leipteksti"/>
        <w:ind w:left="0"/>
        <w:jc w:val="both"/>
        <w:rPr>
          <w:lang w:val="sv-SE"/>
        </w:rPr>
      </w:pPr>
      <w:r>
        <w:rPr>
          <w:lang w:val="sv-FI"/>
        </w:rPr>
        <w:t>BILAGOR:</w:t>
      </w:r>
    </w:p>
    <w:p w14:paraId="057F59C6" w14:textId="1D4CA4C9" w:rsidR="00101210" w:rsidRPr="00F8548D" w:rsidRDefault="00101210" w:rsidP="00101210">
      <w:pPr>
        <w:pStyle w:val="Leipteksti"/>
        <w:ind w:left="0"/>
        <w:jc w:val="both"/>
        <w:rPr>
          <w:lang w:val="sv-SE"/>
        </w:rPr>
      </w:pPr>
      <w:r>
        <w:rPr>
          <w:lang w:val="sv-FI"/>
        </w:rPr>
        <w:tab/>
        <w:t>Sammanställning av kommentarer</w:t>
      </w:r>
    </w:p>
    <w:p w14:paraId="09E24019" w14:textId="77777777" w:rsidR="00177323" w:rsidRPr="00F8548D" w:rsidRDefault="00177323" w:rsidP="00F77EB3">
      <w:pPr>
        <w:pStyle w:val="Leipteksti"/>
        <w:rPr>
          <w:lang w:val="sv-SE"/>
        </w:rPr>
      </w:pPr>
    </w:p>
    <w:p w14:paraId="47C1C511" w14:textId="77777777" w:rsidR="00DF0E85" w:rsidRPr="00F8548D" w:rsidRDefault="00DF0E85" w:rsidP="00F77EB3">
      <w:pPr>
        <w:pStyle w:val="Leipteksti"/>
        <w:rPr>
          <w:lang w:val="sv-SE"/>
        </w:rPr>
      </w:pPr>
    </w:p>
    <w:p w14:paraId="6FB1E9AD" w14:textId="77777777" w:rsidR="00DC4BB7" w:rsidRPr="00F8548D" w:rsidRDefault="00177323" w:rsidP="00F77EB3">
      <w:pPr>
        <w:pStyle w:val="Leipteksti"/>
        <w:rPr>
          <w:lang w:val="sv-SE"/>
        </w:rPr>
      </w:pPr>
      <w:r>
        <w:rPr>
          <w:lang w:val="sv-FI"/>
        </w:rPr>
        <w:t>Transport- och kommunikationsverket Traficom</w:t>
      </w:r>
    </w:p>
    <w:p w14:paraId="175E7D26" w14:textId="77777777" w:rsidR="00177323" w:rsidRPr="00F8548D" w:rsidRDefault="00177323" w:rsidP="00DF0E85">
      <w:pPr>
        <w:pStyle w:val="Eivli"/>
        <w:rPr>
          <w:lang w:val="sv-SE"/>
        </w:rPr>
      </w:pPr>
    </w:p>
    <w:p w14:paraId="1EF3D27B" w14:textId="77777777" w:rsidR="00177323" w:rsidRPr="00F8548D" w:rsidRDefault="00177323" w:rsidP="00DF0E85">
      <w:pPr>
        <w:pStyle w:val="Eivli"/>
        <w:rPr>
          <w:lang w:val="sv-SE"/>
        </w:rPr>
      </w:pPr>
    </w:p>
    <w:p w14:paraId="0ADE6A97" w14:textId="77777777" w:rsidR="00274F74" w:rsidRPr="00F8548D" w:rsidRDefault="00274F74" w:rsidP="00DF0E85">
      <w:pPr>
        <w:pStyle w:val="Eivli"/>
        <w:rPr>
          <w:lang w:val="sv-SE"/>
        </w:rPr>
      </w:pPr>
    </w:p>
    <w:p w14:paraId="11ABD549" w14:textId="77777777" w:rsidR="00177323" w:rsidRPr="00F8548D" w:rsidRDefault="00177323" w:rsidP="00DF0E85">
      <w:pPr>
        <w:pStyle w:val="Eivli"/>
        <w:rPr>
          <w:lang w:val="sv-SE"/>
        </w:rPr>
      </w:pPr>
    </w:p>
    <w:p w14:paraId="08220E5D" w14:textId="77777777" w:rsidR="00DF0E85" w:rsidRDefault="00177323" w:rsidP="00DF0E85">
      <w:pPr>
        <w:pStyle w:val="Eivli"/>
      </w:pPr>
      <w:r>
        <w:rPr>
          <w:lang w:val="sv-FI"/>
        </w:rPr>
        <w:t>Beslutsfattarens namn</w:t>
      </w:r>
    </w:p>
    <w:p w14:paraId="1D8DCC25" w14:textId="77777777" w:rsidR="00DF0E85" w:rsidRDefault="002522F2" w:rsidP="00DF0E85">
      <w:pPr>
        <w:pStyle w:val="Eivli"/>
      </w:pPr>
      <w:r>
        <w:rPr>
          <w:lang w:val="sv-FI"/>
        </w:rPr>
        <w:fldChar w:fldCharType="begin"/>
      </w:r>
      <w:r>
        <w:rPr>
          <w:lang w:val="sv-FI"/>
        </w:rPr>
        <w:instrText xml:space="preserve"> MACROBUTTON NoMacro [befattningsbenämning]</w:instrText>
      </w:r>
      <w:r>
        <w:rPr>
          <w:lang w:val="sv-FI"/>
        </w:rPr>
        <w:fldChar w:fldCharType="end"/>
      </w:r>
    </w:p>
    <w:p w14:paraId="63DD706B" w14:textId="77777777" w:rsidR="00CD313B" w:rsidRDefault="00CD313B" w:rsidP="00DF0E85">
      <w:pPr>
        <w:pStyle w:val="Eivli"/>
      </w:pPr>
    </w:p>
    <w:p w14:paraId="412EB5ED" w14:textId="77777777" w:rsidR="00F77EB3" w:rsidRDefault="00F77EB3" w:rsidP="00F77EB3">
      <w:pPr>
        <w:pStyle w:val="Eivli"/>
      </w:pPr>
    </w:p>
    <w:p w14:paraId="38062502" w14:textId="77777777" w:rsidR="005A28CB" w:rsidRDefault="005A28CB" w:rsidP="00F77EB3">
      <w:pPr>
        <w:pStyle w:val="Eivli"/>
      </w:pPr>
    </w:p>
    <w:p w14:paraId="5EC68462" w14:textId="77777777" w:rsidR="00274F74" w:rsidRDefault="00274F74" w:rsidP="00F77EB3">
      <w:pPr>
        <w:pStyle w:val="Eivli"/>
      </w:pPr>
    </w:p>
    <w:p w14:paraId="00D18876" w14:textId="77777777" w:rsidR="00177323" w:rsidRDefault="00177323" w:rsidP="00F77EB3">
      <w:pPr>
        <w:pStyle w:val="Eivli"/>
      </w:pPr>
    </w:p>
    <w:p w14:paraId="016CB6B7" w14:textId="77777777" w:rsidR="00177323" w:rsidRDefault="00177323" w:rsidP="00177323">
      <w:pPr>
        <w:pStyle w:val="Eivli"/>
      </w:pPr>
      <w:r>
        <w:rPr>
          <w:lang w:val="sv-FI"/>
        </w:rPr>
        <w:t>Föredragandens namn</w:t>
      </w:r>
    </w:p>
    <w:p w14:paraId="42AA4586" w14:textId="77777777" w:rsidR="00177323" w:rsidRDefault="00177323" w:rsidP="00177323">
      <w:pPr>
        <w:pStyle w:val="Eivli"/>
      </w:pPr>
      <w:r>
        <w:rPr>
          <w:lang w:val="sv-FI"/>
        </w:rPr>
        <w:fldChar w:fldCharType="begin"/>
      </w:r>
      <w:r>
        <w:rPr>
          <w:lang w:val="sv-FI"/>
        </w:rPr>
        <w:instrText xml:space="preserve"> MACROBUTTON NoMacro [befattningsbenämning]</w:instrText>
      </w:r>
      <w:r>
        <w:rPr>
          <w:lang w:val="sv-FI"/>
        </w:rPr>
        <w:fldChar w:fldCharType="end"/>
      </w:r>
    </w:p>
    <w:p w14:paraId="193A101E" w14:textId="77777777" w:rsidR="005A28CB" w:rsidRDefault="005A28CB" w:rsidP="00F77EB3">
      <w:pPr>
        <w:pStyle w:val="Eivli"/>
      </w:pPr>
    </w:p>
    <w:p w14:paraId="6388FF60" w14:textId="77777777" w:rsidR="00AA1231" w:rsidRDefault="00AA1231" w:rsidP="00271722"/>
    <w:sectPr w:rsidR="00AA1231" w:rsidSect="006D3DA9">
      <w:headerReference w:type="default" r:id="rId10"/>
      <w:footerReference w:type="default" r:id="rId11"/>
      <w:headerReference w:type="first" r:id="rId12"/>
      <w:footerReference w:type="first" r:id="rId13"/>
      <w:pgSz w:w="11906" w:h="16838" w:code="9"/>
      <w:pgMar w:top="1531" w:right="1021" w:bottom="851"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0C915" w14:textId="77777777" w:rsidR="00B24043" w:rsidRDefault="00B24043" w:rsidP="00261760">
      <w:r>
        <w:separator/>
      </w:r>
    </w:p>
  </w:endnote>
  <w:endnote w:type="continuationSeparator" w:id="0">
    <w:p w14:paraId="2DCE679B" w14:textId="77777777" w:rsidR="00B24043" w:rsidRDefault="00B24043" w:rsidP="0026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7A61" w14:textId="77777777" w:rsidR="00382ACD" w:rsidRPr="00F8548D" w:rsidRDefault="00382ACD" w:rsidP="00382ACD">
    <w:pPr>
      <w:pStyle w:val="Alatunniste"/>
      <w:rPr>
        <w:lang w:val="sv-SE"/>
      </w:rPr>
    </w:pPr>
    <w:r>
      <w:rPr>
        <w:lang w:val="sv-FI"/>
      </w:rPr>
      <w:t xml:space="preserve">Transport- och kommunikationsverket Traficom • PB 320, 00059 TRAFICOM </w:t>
    </w:r>
  </w:p>
  <w:p w14:paraId="4D6398D4" w14:textId="77777777" w:rsidR="000008C6" w:rsidRPr="00382ACD" w:rsidRDefault="00382ACD" w:rsidP="00382ACD">
    <w:pPr>
      <w:pStyle w:val="Alatunniste"/>
      <w:tabs>
        <w:tab w:val="right" w:pos="9751"/>
      </w:tabs>
    </w:pPr>
    <w:r>
      <w:rPr>
        <w:lang w:val="sv-FI"/>
      </w:rPr>
      <w:t xml:space="preserve">tfn 029 534 5000 • FO-nummer 2924753-3 </w:t>
    </w:r>
    <w:r>
      <w:rPr>
        <w:lang w:val="sv-FI"/>
      </w:rPr>
      <w:tab/>
    </w:r>
    <w:r>
      <w:rPr>
        <w:b/>
        <w:bCs/>
        <w:lang w:val="sv-FI"/>
      </w:rPr>
      <w:t>traficom.fi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11519" w:type="dxa"/>
      <w:tblInd w:w="-709" w:type="dxa"/>
      <w:tblLayout w:type="fixed"/>
      <w:tblCellMar>
        <w:left w:w="0" w:type="dxa"/>
        <w:right w:w="0" w:type="dxa"/>
      </w:tblCellMar>
      <w:tblLook w:val="04A0" w:firstRow="1" w:lastRow="0" w:firstColumn="1" w:lastColumn="0" w:noHBand="0" w:noVBand="1"/>
    </w:tblPr>
    <w:tblGrid>
      <w:gridCol w:w="4111"/>
      <w:gridCol w:w="2126"/>
      <w:gridCol w:w="2693"/>
      <w:gridCol w:w="2551"/>
      <w:gridCol w:w="38"/>
    </w:tblGrid>
    <w:tr w:rsidR="005C795F" w:rsidRPr="00EA2384" w14:paraId="2C060722" w14:textId="77777777" w:rsidTr="00F86E16">
      <w:trPr>
        <w:trHeight w:val="426"/>
      </w:trPr>
      <w:tc>
        <w:tcPr>
          <w:tcW w:w="4111" w:type="dxa"/>
        </w:tcPr>
        <w:p w14:paraId="0B6BBB92" w14:textId="77777777" w:rsidR="005C795F" w:rsidRDefault="005C795F" w:rsidP="00213E47">
          <w:pPr>
            <w:pStyle w:val="Alatunniste"/>
            <w:rPr>
              <w:b/>
            </w:rPr>
          </w:pPr>
        </w:p>
      </w:tc>
      <w:tc>
        <w:tcPr>
          <w:tcW w:w="2126" w:type="dxa"/>
        </w:tcPr>
        <w:p w14:paraId="3F078D1B" w14:textId="77777777" w:rsidR="005C795F" w:rsidRPr="008279C6" w:rsidRDefault="005C795F" w:rsidP="008279C6">
          <w:pPr>
            <w:pStyle w:val="Alatunniste"/>
          </w:pPr>
        </w:p>
      </w:tc>
      <w:tc>
        <w:tcPr>
          <w:tcW w:w="2693" w:type="dxa"/>
        </w:tcPr>
        <w:p w14:paraId="1FBD2013" w14:textId="77777777" w:rsidR="005C795F" w:rsidRPr="009D2B4A" w:rsidRDefault="005C795F" w:rsidP="008279C6">
          <w:pPr>
            <w:pStyle w:val="Alatunniste"/>
          </w:pPr>
        </w:p>
      </w:tc>
      <w:tc>
        <w:tcPr>
          <w:tcW w:w="2589" w:type="dxa"/>
          <w:gridSpan w:val="2"/>
        </w:tcPr>
        <w:p w14:paraId="35843585" w14:textId="77777777" w:rsidR="005C795F" w:rsidRPr="004715F5" w:rsidRDefault="005C795F" w:rsidP="008279C6">
          <w:pPr>
            <w:pStyle w:val="Alatunniste"/>
          </w:pPr>
        </w:p>
      </w:tc>
    </w:tr>
    <w:tr w:rsidR="005C795F" w:rsidRPr="00A9789E" w14:paraId="63DD5883" w14:textId="77777777" w:rsidTr="00F86E16">
      <w:trPr>
        <w:gridAfter w:val="1"/>
        <w:wAfter w:w="38" w:type="dxa"/>
      </w:trPr>
      <w:tc>
        <w:tcPr>
          <w:tcW w:w="4111" w:type="dxa"/>
        </w:tcPr>
        <w:p w14:paraId="7E4C78B1" w14:textId="77777777" w:rsidR="00345558" w:rsidRPr="00F8548D" w:rsidRDefault="005B5649" w:rsidP="00213E47">
          <w:pPr>
            <w:pStyle w:val="Alatunniste"/>
            <w:rPr>
              <w:lang w:val="sv-SE"/>
            </w:rPr>
          </w:pPr>
          <w:r>
            <w:rPr>
              <w:lang w:val="sv-FI"/>
            </w:rPr>
            <mc:AlternateContent>
              <mc:Choice Requires="wps">
                <w:drawing>
                  <wp:anchor distT="0" distB="0" distL="114300" distR="114300" simplePos="0" relativeHeight="251676927" behindDoc="0" locked="1" layoutInCell="1" allowOverlap="1" wp14:anchorId="4A742A82" wp14:editId="658FA1C8">
                    <wp:simplePos x="0" y="0"/>
                    <wp:positionH relativeFrom="page">
                      <wp:posOffset>-161925</wp:posOffset>
                    </wp:positionH>
                    <wp:positionV relativeFrom="page">
                      <wp:posOffset>-133985</wp:posOffset>
                    </wp:positionV>
                    <wp:extent cx="7308215" cy="0"/>
                    <wp:effectExtent l="9525" t="18415" r="16510"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8215" cy="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73583E7" id="_x0000_t32" coordsize="21600,21600" o:spt="32" o:oned="t" path="m,l21600,21600e" filled="f">
                    <v:path arrowok="t" fillok="f" o:connecttype="none"/>
                    <o:lock v:ext="edit" shapetype="t"/>
                  </v:shapetype>
                  <v:shape id="AutoShape 6" o:spid="_x0000_s1026" type="#_x0000_t32" style="position:absolute;margin-left:-12.75pt;margin-top:-10.55pt;width:575.45pt;height:0;z-index:2516769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" strokecolor="black [3213]" strokeweight="1.5pt">
                    <w10:wrap anchorx="page" anchory="page"/>
                    <w10:anchorlock/>
                  </v:shape>
                </w:pict>
              </mc:Fallback>
            </mc:AlternateContent>
          </w:r>
          <w:r>
            <w:rPr>
              <w:lang w:val="sv-FI"/>
            </w:rPr>
            <w:t>Liikenne- ja viestintävirasto Traficom</w:t>
          </w:r>
        </w:p>
        <w:p w14:paraId="56BF1A3B" w14:textId="77777777" w:rsidR="00345558" w:rsidRPr="00F8548D" w:rsidRDefault="00345558" w:rsidP="00213E47">
          <w:pPr>
            <w:pStyle w:val="Alatunniste"/>
            <w:rPr>
              <w:lang w:val="sv-SE"/>
            </w:rPr>
          </w:pPr>
          <w:r>
            <w:rPr>
              <w:lang w:val="sv-FI"/>
            </w:rPr>
            <w:t>Transport- och kommunikationsverket Traficom</w:t>
          </w:r>
        </w:p>
        <w:p w14:paraId="7C5E340E" w14:textId="77777777" w:rsidR="005C795F" w:rsidRPr="00F8548D" w:rsidRDefault="00345558" w:rsidP="00213E47">
          <w:pPr>
            <w:pStyle w:val="Alatunniste"/>
            <w:rPr>
              <w:b/>
              <w:lang w:val="en-US"/>
            </w:rPr>
          </w:pPr>
          <w:r w:rsidRPr="00F8548D">
            <w:rPr>
              <w:lang w:val="en-US"/>
            </w:rPr>
            <w:t>Finnish Transport and Communications Agency Traficom</w:t>
          </w:r>
        </w:p>
      </w:tc>
      <w:tc>
        <w:tcPr>
          <w:tcW w:w="2126" w:type="dxa"/>
        </w:tcPr>
        <w:p w14:paraId="44FFE922" w14:textId="77777777" w:rsidR="00345558" w:rsidRPr="00F8548D" w:rsidRDefault="00345558" w:rsidP="00213E47">
          <w:pPr>
            <w:pStyle w:val="Alatunniste"/>
            <w:rPr>
              <w:lang w:val="sv-SE"/>
            </w:rPr>
          </w:pPr>
          <w:r>
            <w:rPr>
              <w:lang w:val="sv-FI"/>
            </w:rPr>
            <w:t>Kumpulantie 9, Helsinki</w:t>
          </w:r>
        </w:p>
        <w:p w14:paraId="289F947F" w14:textId="77777777" w:rsidR="005C795F" w:rsidRPr="00F8548D" w:rsidRDefault="005C795F" w:rsidP="00213E47">
          <w:pPr>
            <w:pStyle w:val="Alatunniste"/>
            <w:rPr>
              <w:lang w:val="sv-SE"/>
            </w:rPr>
          </w:pPr>
          <w:r>
            <w:rPr>
              <w:lang w:val="sv-FI"/>
            </w:rPr>
            <w:t>PL 320</w:t>
          </w:r>
        </w:p>
        <w:p w14:paraId="0D108922" w14:textId="77777777" w:rsidR="005C795F" w:rsidRPr="00F8548D" w:rsidRDefault="00345558" w:rsidP="009C5C38">
          <w:pPr>
            <w:pStyle w:val="Alatunniste"/>
            <w:ind w:right="280"/>
            <w:rPr>
              <w:lang w:val="sv-SE"/>
            </w:rPr>
          </w:pPr>
          <w:r>
            <w:rPr>
              <w:lang w:val="sv-FI"/>
            </w:rPr>
            <w:t>00059 TRAFICOM</w:t>
          </w:r>
        </w:p>
        <w:p w14:paraId="4E698B48" w14:textId="77777777" w:rsidR="005C795F" w:rsidRPr="00F8548D" w:rsidRDefault="00393C81" w:rsidP="00213E47">
          <w:pPr>
            <w:pStyle w:val="Alatunniste"/>
            <w:rPr>
              <w:lang w:val="sv-SE"/>
            </w:rPr>
          </w:pPr>
          <w:r>
            <w:rPr>
              <w:lang w:val="sv-FI"/>
            </w:rPr>
            <w:t>p. 0295 345 000</w:t>
          </w:r>
        </w:p>
        <w:p w14:paraId="42113042" w14:textId="77777777" w:rsidR="005C795F" w:rsidRPr="00F8548D" w:rsidRDefault="00345558" w:rsidP="00345558">
          <w:pPr>
            <w:pStyle w:val="Alatunniste"/>
            <w:rPr>
              <w:lang w:val="sv-SE"/>
            </w:rPr>
          </w:pPr>
          <w:r>
            <w:rPr>
              <w:lang w:val="sv-FI"/>
            </w:rPr>
            <w:t>traficom.fi</w:t>
          </w:r>
        </w:p>
      </w:tc>
      <w:tc>
        <w:tcPr>
          <w:tcW w:w="2693" w:type="dxa"/>
        </w:tcPr>
        <w:p w14:paraId="28752B6B" w14:textId="77777777" w:rsidR="00345558" w:rsidRPr="00F8548D" w:rsidRDefault="00345558" w:rsidP="00213E47">
          <w:pPr>
            <w:pStyle w:val="Alatunniste"/>
            <w:rPr>
              <w:lang w:val="sv-SE"/>
            </w:rPr>
          </w:pPr>
          <w:r>
            <w:rPr>
              <w:lang w:val="sv-FI"/>
            </w:rPr>
            <w:t>Gumtäktsvägen 9, Helsingfors</w:t>
          </w:r>
        </w:p>
        <w:p w14:paraId="320F80BD" w14:textId="77777777" w:rsidR="00825477" w:rsidRPr="00F8548D" w:rsidRDefault="005C795F" w:rsidP="00213E47">
          <w:pPr>
            <w:pStyle w:val="Alatunniste"/>
            <w:rPr>
              <w:lang w:val="sv-SE"/>
            </w:rPr>
          </w:pPr>
          <w:r>
            <w:rPr>
              <w:lang w:val="sv-FI"/>
            </w:rPr>
            <w:t xml:space="preserve">PB 320, FI-00059 </w:t>
          </w:r>
        </w:p>
        <w:p w14:paraId="17CA9679" w14:textId="77777777" w:rsidR="005C795F" w:rsidRPr="00F8548D" w:rsidRDefault="00424608" w:rsidP="00213E47">
          <w:pPr>
            <w:pStyle w:val="Alatunniste"/>
            <w:rPr>
              <w:lang w:val="sv-SE"/>
            </w:rPr>
          </w:pPr>
          <w:r>
            <w:rPr>
              <w:lang w:val="sv-FI"/>
            </w:rPr>
            <w:t>TRAFICOM, Finland</w:t>
          </w:r>
        </w:p>
        <w:p w14:paraId="51FB6231" w14:textId="77777777" w:rsidR="005C795F" w:rsidRPr="00E37C6F" w:rsidRDefault="00393C81" w:rsidP="00213E47">
          <w:pPr>
            <w:pStyle w:val="Alatunniste"/>
          </w:pPr>
          <w:r>
            <w:rPr>
              <w:lang w:val="sv-FI"/>
            </w:rPr>
            <w:t>tfn +358 295 345 000</w:t>
          </w:r>
        </w:p>
        <w:p w14:paraId="33F2E185" w14:textId="77777777" w:rsidR="005C795F" w:rsidRPr="00E37C6F" w:rsidRDefault="00345558" w:rsidP="00213E47">
          <w:pPr>
            <w:pStyle w:val="Alatunniste"/>
          </w:pPr>
          <w:r>
            <w:rPr>
              <w:lang w:val="sv-FI"/>
            </w:rPr>
            <w:t>traficom.fi</w:t>
          </w:r>
        </w:p>
      </w:tc>
      <w:tc>
        <w:tcPr>
          <w:tcW w:w="2551" w:type="dxa"/>
        </w:tcPr>
        <w:p w14:paraId="07C27E7E" w14:textId="77777777" w:rsidR="00345558" w:rsidRPr="005A28CB" w:rsidRDefault="00345558" w:rsidP="00213E47">
          <w:pPr>
            <w:pStyle w:val="Alatunniste"/>
          </w:pPr>
          <w:r w:rsidRPr="00F8548D">
            <w:t>Kumpulantie 9, Helsinki</w:t>
          </w:r>
        </w:p>
        <w:p w14:paraId="4B7B4CB6" w14:textId="77777777" w:rsidR="00825477" w:rsidRPr="005A28CB" w:rsidRDefault="005C795F" w:rsidP="00F86E16">
          <w:pPr>
            <w:pStyle w:val="Alatunniste"/>
            <w:ind w:left="290" w:hanging="290"/>
          </w:pPr>
          <w:r w:rsidRPr="00F8548D">
            <w:t>P.O. Box 320, FI-00059</w:t>
          </w:r>
        </w:p>
        <w:p w14:paraId="543AD103" w14:textId="77777777" w:rsidR="005C795F" w:rsidRPr="00F8548D" w:rsidRDefault="00424608" w:rsidP="00213E47">
          <w:pPr>
            <w:pStyle w:val="Alatunniste"/>
            <w:rPr>
              <w:lang w:val="sv-SE"/>
            </w:rPr>
          </w:pPr>
          <w:r>
            <w:rPr>
              <w:lang w:val="sv-FI"/>
            </w:rPr>
            <w:t>TRAFICOM, Finland</w:t>
          </w:r>
        </w:p>
        <w:p w14:paraId="6F713355" w14:textId="77777777" w:rsidR="005C795F" w:rsidRPr="00F8548D" w:rsidRDefault="00EE2B4D" w:rsidP="00213E47">
          <w:pPr>
            <w:pStyle w:val="Alatunniste"/>
            <w:rPr>
              <w:lang w:val="sv-SE"/>
            </w:rPr>
          </w:pPr>
          <w:r>
            <w:rPr>
              <w:lang w:val="sv-FI"/>
            </w:rPr>
            <w:t>Tel. +358 295 345 000</w:t>
          </w:r>
        </w:p>
        <w:p w14:paraId="64CB3C83" w14:textId="77777777" w:rsidR="005C795F" w:rsidRPr="00F8548D" w:rsidRDefault="00F86E16" w:rsidP="00213E47">
          <w:pPr>
            <w:pStyle w:val="Alatunniste"/>
            <w:rPr>
              <w:lang w:val="sv-SE"/>
            </w:rPr>
          </w:pPr>
          <w:r>
            <w:rPr>
              <w:lang w:val="sv-FI"/>
            </w:rPr>
            <w:t>traficom.fi</w:t>
          </w:r>
        </w:p>
      </w:tc>
    </w:tr>
  </w:tbl>
  <w:p w14:paraId="3D997B26" w14:textId="77777777" w:rsidR="00C02735" w:rsidRPr="00F8548D" w:rsidRDefault="00C02735" w:rsidP="005C795F">
    <w:pPr>
      <w:pStyle w:val="Alatunnist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75053" w14:textId="77777777" w:rsidR="00B24043" w:rsidRDefault="00B24043" w:rsidP="00261760">
      <w:r>
        <w:separator/>
      </w:r>
    </w:p>
  </w:footnote>
  <w:footnote w:type="continuationSeparator" w:id="0">
    <w:p w14:paraId="7D93E401" w14:textId="77777777" w:rsidR="00B24043" w:rsidRDefault="00B24043" w:rsidP="00261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9801" w:type="dxa"/>
      <w:tblLayout w:type="fixed"/>
      <w:tblCellMar>
        <w:left w:w="0" w:type="dxa"/>
        <w:right w:w="0" w:type="dxa"/>
      </w:tblCellMar>
      <w:tblLook w:val="04A0" w:firstRow="1" w:lastRow="0" w:firstColumn="1" w:lastColumn="0" w:noHBand="0" w:noVBand="1"/>
    </w:tblPr>
    <w:tblGrid>
      <w:gridCol w:w="5103"/>
      <w:gridCol w:w="993"/>
      <w:gridCol w:w="1842"/>
      <w:gridCol w:w="624"/>
      <w:gridCol w:w="1239"/>
    </w:tblGrid>
    <w:tr w:rsidR="00BE6857" w:rsidRPr="00EC3F4A" w14:paraId="07C0F024" w14:textId="77777777" w:rsidTr="004C2D61">
      <w:tc>
        <w:tcPr>
          <w:tcW w:w="5103" w:type="dxa"/>
          <w:vMerge w:val="restart"/>
        </w:tcPr>
        <w:p w14:paraId="7FF2B801" w14:textId="31F31A86" w:rsidR="00BE6857" w:rsidRPr="00EC3F4A" w:rsidRDefault="00F8548D" w:rsidP="00BE6857">
          <w:pPr>
            <w:pStyle w:val="Yltunniste"/>
          </w:pPr>
          <w:r w:rsidRPr="00F8548D">
            <w:rPr>
              <w:rFonts w:ascii="Verdana" w:eastAsia="Verdana" w:hAnsi="Verdana" w:cs="Verdana"/>
              <w:lang w:eastAsia="fi-FI"/>
            </w:rPr>
            <w:drawing>
              <wp:inline distT="0" distB="0" distL="0" distR="0" wp14:anchorId="564D4339" wp14:editId="6D18B28D">
                <wp:extent cx="2132444" cy="466361"/>
                <wp:effectExtent l="0" t="0" r="127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2444" cy="466361"/>
                        </a:xfrm>
                        <a:prstGeom prst="rect">
                          <a:avLst/>
                        </a:prstGeom>
                        <a:noFill/>
                        <a:ln>
                          <a:noFill/>
                        </a:ln>
                      </pic:spPr>
                    </pic:pic>
                  </a:graphicData>
                </a:graphic>
              </wp:inline>
            </w:drawing>
          </w:r>
        </w:p>
      </w:tc>
      <w:tc>
        <w:tcPr>
          <w:tcW w:w="2835" w:type="dxa"/>
          <w:gridSpan w:val="2"/>
        </w:tcPr>
        <w:p w14:paraId="34BEE862" w14:textId="2BE4CC00" w:rsidR="00BE6857" w:rsidRDefault="00B24043" w:rsidP="00177323">
          <w:pPr>
            <w:pStyle w:val="Yltunniste"/>
            <w:rPr>
              <w:b/>
            </w:rPr>
          </w:pPr>
          <w:r>
            <w:rPr>
              <w:b/>
              <w:bCs/>
              <w:lang w:val="sv-FI"/>
            </w:rPr>
            <w:t>MOTIVERINGS</w:t>
          </w:r>
          <w:r w:rsidR="00F8548D">
            <w:rPr>
              <w:b/>
              <w:bCs/>
              <w:lang w:val="sv-FI"/>
            </w:rPr>
            <w:t>-</w:t>
          </w:r>
          <w:r>
            <w:rPr>
              <w:b/>
              <w:bCs/>
              <w:lang w:val="sv-FI"/>
            </w:rPr>
            <w:t>PROMEMORIA</w:t>
          </w:r>
        </w:p>
        <w:p w14:paraId="1D8A0397" w14:textId="36F1B353" w:rsidR="0005190F" w:rsidRPr="00EC3F4A" w:rsidRDefault="0005190F" w:rsidP="00177323">
          <w:pPr>
            <w:pStyle w:val="Yltunniste"/>
          </w:pPr>
          <w:r>
            <w:rPr>
              <w:b/>
              <w:bCs/>
              <w:color w:val="FF0000"/>
              <w:lang w:val="sv-FI"/>
            </w:rPr>
            <w:t>UTKAST</w:t>
          </w:r>
        </w:p>
      </w:tc>
      <w:tc>
        <w:tcPr>
          <w:tcW w:w="1863" w:type="dxa"/>
          <w:gridSpan w:val="2"/>
        </w:tcPr>
        <w:p w14:paraId="52B869D5" w14:textId="3CBCB893" w:rsidR="00BE6857" w:rsidRPr="00EC3F4A" w:rsidRDefault="00BE6857" w:rsidP="00BE6857">
          <w:pPr>
            <w:pStyle w:val="Yltunniste"/>
            <w:jc w:val="right"/>
          </w:pPr>
          <w:r>
            <w:rPr>
              <w:lang w:val="sv-FI"/>
            </w:rPr>
            <w:fldChar w:fldCharType="begin"/>
          </w:r>
          <w:r>
            <w:rPr>
              <w:lang w:val="sv-FI"/>
            </w:rPr>
            <w:instrText xml:space="preserve"> PAGE   \* MERGEFORMAT </w:instrText>
          </w:r>
          <w:r>
            <w:rPr>
              <w:lang w:val="sv-FI"/>
            </w:rPr>
            <w:fldChar w:fldCharType="separate"/>
          </w:r>
          <w:r>
            <w:rPr>
              <w:lang w:val="sv-FI"/>
            </w:rPr>
            <w:t>1</w:t>
          </w:r>
          <w:r>
            <w:rPr>
              <w:lang w:val="sv-FI"/>
            </w:rPr>
            <w:fldChar w:fldCharType="end"/>
          </w:r>
          <w:r>
            <w:rPr>
              <w:lang w:val="sv-FI"/>
            </w:rPr>
            <w:t xml:space="preserve"> (</w:t>
          </w:r>
          <w:r w:rsidR="00A9789E">
            <w:fldChar w:fldCharType="begin"/>
          </w:r>
          <w:r w:rsidR="00A9789E">
            <w:instrText xml:space="preserve"> NUMPAGES   \* MERGEFORMAT </w:instrText>
          </w:r>
          <w:r w:rsidR="00A9789E">
            <w:fldChar w:fldCharType="separate"/>
          </w:r>
          <w:r>
            <w:rPr>
              <w:lang w:val="sv-FI"/>
            </w:rPr>
            <w:t>2</w:t>
          </w:r>
          <w:r w:rsidR="00A9789E">
            <w:rPr>
              <w:lang w:val="sv-FI"/>
            </w:rPr>
            <w:fldChar w:fldCharType="end"/>
          </w:r>
          <w:r>
            <w:rPr>
              <w:lang w:val="sv-FI"/>
            </w:rPr>
            <w:t>)</w:t>
          </w:r>
        </w:p>
      </w:tc>
    </w:tr>
    <w:tr w:rsidR="00BE6857" w:rsidRPr="00EC3F4A" w14:paraId="78949074" w14:textId="77777777" w:rsidTr="004C2D61">
      <w:trPr>
        <w:trHeight w:val="172"/>
      </w:trPr>
      <w:tc>
        <w:tcPr>
          <w:tcW w:w="5103" w:type="dxa"/>
          <w:vMerge/>
        </w:tcPr>
        <w:p w14:paraId="0FC94DCD" w14:textId="77777777" w:rsidR="00BE6857" w:rsidRPr="00EC3F4A" w:rsidRDefault="00BE6857" w:rsidP="00BE6857">
          <w:pPr>
            <w:pStyle w:val="Yltunniste"/>
          </w:pPr>
        </w:p>
      </w:tc>
      <w:tc>
        <w:tcPr>
          <w:tcW w:w="993" w:type="dxa"/>
        </w:tcPr>
        <w:p w14:paraId="38BA7835" w14:textId="77777777" w:rsidR="00BE6857" w:rsidRPr="00EC3F4A" w:rsidRDefault="00BE6857" w:rsidP="00BE6857">
          <w:pPr>
            <w:pStyle w:val="Yltunniste"/>
          </w:pPr>
        </w:p>
      </w:tc>
      <w:tc>
        <w:tcPr>
          <w:tcW w:w="2466" w:type="dxa"/>
          <w:gridSpan w:val="2"/>
        </w:tcPr>
        <w:p w14:paraId="64A24EB6" w14:textId="77777777" w:rsidR="00BE6857" w:rsidRPr="00EC3F4A" w:rsidRDefault="00BE6857" w:rsidP="00BE6857">
          <w:pPr>
            <w:pStyle w:val="Yltunniste"/>
          </w:pPr>
        </w:p>
      </w:tc>
      <w:tc>
        <w:tcPr>
          <w:tcW w:w="1239" w:type="dxa"/>
        </w:tcPr>
        <w:p w14:paraId="41B28491" w14:textId="77777777" w:rsidR="00BE6857" w:rsidRPr="00EC3F4A" w:rsidRDefault="00BE6857" w:rsidP="00BE6857">
          <w:pPr>
            <w:pStyle w:val="Yltunniste"/>
          </w:pPr>
        </w:p>
      </w:tc>
    </w:tr>
    <w:tr w:rsidR="00BE6857" w:rsidRPr="00EC3F4A" w14:paraId="4E203BBF" w14:textId="77777777" w:rsidTr="004C2D61">
      <w:trPr>
        <w:trHeight w:val="172"/>
      </w:trPr>
      <w:tc>
        <w:tcPr>
          <w:tcW w:w="5103" w:type="dxa"/>
          <w:vMerge/>
        </w:tcPr>
        <w:p w14:paraId="7676B3EA" w14:textId="77777777" w:rsidR="00BE6857" w:rsidRPr="00EC3F4A" w:rsidRDefault="00BE6857" w:rsidP="00BE6857">
          <w:pPr>
            <w:pStyle w:val="Yltunniste"/>
          </w:pPr>
        </w:p>
      </w:tc>
      <w:tc>
        <w:tcPr>
          <w:tcW w:w="4698" w:type="dxa"/>
          <w:gridSpan w:val="4"/>
        </w:tcPr>
        <w:p w14:paraId="42EC5F9C" w14:textId="77777777" w:rsidR="004C2D61" w:rsidRPr="004C2D61" w:rsidRDefault="00BE6857" w:rsidP="004C2D61">
          <w:pPr>
            <w:pStyle w:val="Yltunniste"/>
          </w:pPr>
          <w:r>
            <w:rPr>
              <w:lang w:val="sv-FI"/>
            </w:rPr>
            <w:t>Dnr TRAFICOM/117900/03.04.04.00/2022</w:t>
          </w:r>
        </w:p>
        <w:p w14:paraId="42E108ED" w14:textId="663CBB5A" w:rsidR="00BE6857" w:rsidRPr="00EC3F4A" w:rsidRDefault="00BE6857" w:rsidP="00BE6857">
          <w:pPr>
            <w:pStyle w:val="Yltunniste"/>
          </w:pPr>
        </w:p>
      </w:tc>
    </w:tr>
    <w:tr w:rsidR="00BE6857" w:rsidRPr="00EC3F4A" w14:paraId="155E8D74" w14:textId="77777777" w:rsidTr="004C2D61">
      <w:tc>
        <w:tcPr>
          <w:tcW w:w="5103" w:type="dxa"/>
        </w:tcPr>
        <w:p w14:paraId="45A0EB73" w14:textId="77777777" w:rsidR="00BE6857" w:rsidRPr="009D2B4A" w:rsidRDefault="00BE6857" w:rsidP="00BE6857">
          <w:pPr>
            <w:pStyle w:val="Yltunniste"/>
          </w:pPr>
        </w:p>
      </w:tc>
      <w:tc>
        <w:tcPr>
          <w:tcW w:w="993" w:type="dxa"/>
        </w:tcPr>
        <w:p w14:paraId="4975652E" w14:textId="77777777" w:rsidR="00BE6857" w:rsidRPr="009D2B4A" w:rsidRDefault="00BE6857" w:rsidP="00BE6857">
          <w:pPr>
            <w:pStyle w:val="Yltunniste"/>
          </w:pPr>
        </w:p>
      </w:tc>
      <w:tc>
        <w:tcPr>
          <w:tcW w:w="3705" w:type="dxa"/>
          <w:gridSpan w:val="3"/>
        </w:tcPr>
        <w:p w14:paraId="37B77DB6" w14:textId="6E010DDE" w:rsidR="00BE6857" w:rsidRPr="00EC3F4A" w:rsidRDefault="00A9789E" w:rsidP="00BE6857">
          <w:pPr>
            <w:pStyle w:val="Yltunniste"/>
            <w:jc w:val="right"/>
          </w:pPr>
          <w:r>
            <w:rPr>
              <w:lang w:val="sv-FI"/>
            </w:rPr>
            <w:t>7</w:t>
          </w:r>
          <w:r w:rsidR="00890714">
            <w:rPr>
              <w:lang w:val="sv-FI"/>
            </w:rPr>
            <w:t>.11</w:t>
          </w:r>
          <w:r w:rsidR="006D5DAF">
            <w:rPr>
              <w:lang w:val="sv-FI"/>
            </w:rPr>
            <w:t>.2023</w:t>
          </w:r>
        </w:p>
      </w:tc>
    </w:tr>
    <w:tr w:rsidR="00BE6857" w:rsidRPr="00EC3F4A" w14:paraId="3A6F2BDC" w14:textId="77777777" w:rsidTr="004C2D61">
      <w:tc>
        <w:tcPr>
          <w:tcW w:w="5103" w:type="dxa"/>
        </w:tcPr>
        <w:p w14:paraId="676568EA" w14:textId="77777777" w:rsidR="00BE6857" w:rsidRPr="00546123" w:rsidRDefault="00BE6857" w:rsidP="00BE6857">
          <w:pPr>
            <w:pStyle w:val="Yltunniste"/>
          </w:pPr>
        </w:p>
      </w:tc>
      <w:tc>
        <w:tcPr>
          <w:tcW w:w="993" w:type="dxa"/>
        </w:tcPr>
        <w:p w14:paraId="3876C7AD" w14:textId="77777777" w:rsidR="00BE6857" w:rsidRDefault="00BE6857" w:rsidP="00BE6857">
          <w:pPr>
            <w:pStyle w:val="Yltunniste"/>
          </w:pPr>
        </w:p>
      </w:tc>
      <w:tc>
        <w:tcPr>
          <w:tcW w:w="3705" w:type="dxa"/>
          <w:gridSpan w:val="3"/>
        </w:tcPr>
        <w:p w14:paraId="3FD71C8D" w14:textId="77777777" w:rsidR="00BE6857" w:rsidRPr="00EC3F4A" w:rsidRDefault="00BE6857" w:rsidP="00BE6857">
          <w:pPr>
            <w:pStyle w:val="Yltunniste"/>
          </w:pPr>
        </w:p>
      </w:tc>
    </w:tr>
  </w:tbl>
  <w:p w14:paraId="55F25A35" w14:textId="77777777" w:rsidR="003C7218" w:rsidRDefault="003C7218">
    <w:pPr>
      <w:pStyle w:val="Yltunniste"/>
    </w:pPr>
  </w:p>
  <w:p w14:paraId="4D7B8170" w14:textId="77777777" w:rsidR="000008C6" w:rsidRDefault="000008C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9891" w:type="dxa"/>
      <w:tblLayout w:type="fixed"/>
      <w:tblCellMar>
        <w:left w:w="0" w:type="dxa"/>
        <w:right w:w="0" w:type="dxa"/>
      </w:tblCellMar>
      <w:tblLook w:val="04A0" w:firstRow="1" w:lastRow="0" w:firstColumn="1" w:lastColumn="0" w:noHBand="0" w:noVBand="1"/>
    </w:tblPr>
    <w:tblGrid>
      <w:gridCol w:w="3969"/>
      <w:gridCol w:w="2694"/>
      <w:gridCol w:w="1842"/>
      <w:gridCol w:w="624"/>
      <w:gridCol w:w="762"/>
    </w:tblGrid>
    <w:tr w:rsidR="00170958" w:rsidRPr="00EC3F4A" w14:paraId="679A463D" w14:textId="77777777" w:rsidTr="00170958">
      <w:tc>
        <w:tcPr>
          <w:tcW w:w="3969" w:type="dxa"/>
          <w:vMerge w:val="restart"/>
        </w:tcPr>
        <w:p w14:paraId="4E078CCC" w14:textId="77777777" w:rsidR="00170958" w:rsidRPr="00EC3F4A" w:rsidRDefault="00170958" w:rsidP="00AE3482">
          <w:pPr>
            <w:pStyle w:val="Yltunniste"/>
          </w:pPr>
          <w:r>
            <w:rPr>
              <w:lang w:val="sv-FI"/>
            </w:rPr>
            <w:drawing>
              <wp:anchor distT="0" distB="0" distL="114300" distR="114300" simplePos="0" relativeHeight="251668480" behindDoc="0" locked="0" layoutInCell="1" allowOverlap="1" wp14:anchorId="19198535" wp14:editId="0317FDE7">
                <wp:simplePos x="0" y="0"/>
                <wp:positionH relativeFrom="page">
                  <wp:posOffset>0</wp:posOffset>
                </wp:positionH>
                <wp:positionV relativeFrom="page">
                  <wp:posOffset>0</wp:posOffset>
                </wp:positionV>
                <wp:extent cx="2160000" cy="474409"/>
                <wp:effectExtent l="0" t="0" r="0" b="1905"/>
                <wp:wrapNone/>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ficom su_ru RGB ei reunoja.png"/>
                        <pic:cNvPicPr/>
                      </pic:nvPicPr>
                      <pic:blipFill>
                        <a:blip r:embed="rId1">
                          <a:extLst>
                            <a:ext uri="{28A0092B-C50C-407E-A947-70E740481C1C}">
                              <a14:useLocalDpi xmlns:a14="http://schemas.microsoft.com/office/drawing/2010/main" val="0"/>
                            </a:ext>
                          </a:extLst>
                        </a:blip>
                        <a:stretch>
                          <a:fillRect/>
                        </a:stretch>
                      </pic:blipFill>
                      <pic:spPr>
                        <a:xfrm>
                          <a:off x="0" y="0"/>
                          <a:ext cx="2160000" cy="474409"/>
                        </a:xfrm>
                        <a:prstGeom prst="rect">
                          <a:avLst/>
                        </a:prstGeom>
                      </pic:spPr>
                    </pic:pic>
                  </a:graphicData>
                </a:graphic>
                <wp14:sizeRelH relativeFrom="margin">
                  <wp14:pctWidth>0</wp14:pctWidth>
                </wp14:sizeRelH>
                <wp14:sizeRelV relativeFrom="margin">
                  <wp14:pctHeight>0</wp14:pctHeight>
                </wp14:sizeRelV>
              </wp:anchor>
            </w:drawing>
          </w:r>
        </w:p>
      </w:tc>
      <w:tc>
        <w:tcPr>
          <w:tcW w:w="2694" w:type="dxa"/>
        </w:tcPr>
        <w:sdt>
          <w:sdtPr>
            <w:rPr>
              <w:b/>
            </w:rPr>
            <w:id w:val="3890719"/>
            <w:showingPlcHdr/>
            <w:comboBox>
              <w:listItem w:displayText=" " w:value="Tyhjä"/>
              <w:listItem w:displayText="Aloite" w:value="Aloite"/>
              <w:listItem w:displayText="Ehdotus" w:value="Ehdotus"/>
              <w:listItem w:displayText="Esitys" w:value="Esitys"/>
              <w:listItem w:displayText="Esityslista" w:value="Esityslista"/>
              <w:listItem w:displayText="Hakemus" w:value="Hakemus"/>
              <w:listItem w:displayText="Ilmoitus" w:value="Ilmoitus"/>
              <w:listItem w:displayText="Kannanotto" w:value="Kannanotto"/>
              <w:listItem w:displayText="Kirje" w:value="Kirje"/>
              <w:listItem w:displayText="Kutsu" w:value="Kutsu"/>
              <w:listItem w:displayText="Lausunto" w:value="Lausunto"/>
              <w:listItem w:displayText="Lausuntopyyntö" w:value="Lausuntopyyntö"/>
              <w:listItem w:displayText="Muistio" w:value="Muistio"/>
              <w:listItem w:displayText="Määräys" w:value="Määräys"/>
              <w:listItem w:displayText="Ohje" w:value="Ohje"/>
              <w:listItem w:displayText="Ohjelma" w:value="Ohjelma"/>
              <w:listItem w:displayText="Päätös" w:value="Päätös"/>
              <w:listItem w:displayText="Pöytäkirja" w:value="Pöytäkirja"/>
              <w:listItem w:displayText="Raportti" w:value="Raportti"/>
              <w:listItem w:displayText="Reklamaatio" w:value="Reklamaatio"/>
              <w:listItem w:displayText="Saate" w:value="Saate"/>
              <w:listItem w:displayText="Seloste" w:value="Seloste"/>
              <w:listItem w:displayText="Sopimus" w:value="Sopimus"/>
              <w:listItem w:displayText="Suositus" w:value="Suositus"/>
              <w:listItem w:displayText="Suunnitelma" w:value="Suunnitelma"/>
              <w:listItem w:displayText="Tarjouspyyntö" w:value="Tarjouspyyntö"/>
              <w:listItem w:displayText="Tiedoksianto" w:value="Tiedoksianto"/>
              <w:listItem w:displayText="Tiedote" w:value="Tiedote"/>
              <w:listItem w:displayText="Tiedustelu" w:value="Tiedustelu"/>
              <w:listItem w:displayText="Tilaus" w:value="Tilaus"/>
              <w:listItem w:displayText="Todistus" w:value="Todistus"/>
              <w:listItem w:displayText="Tulkinta" w:value="Tulkinta"/>
              <w:listItem w:displayText="Yhteenveto" w:value="Yhteenveto"/>
            </w:comboBox>
          </w:sdtPr>
          <w:sdtEndPr/>
          <w:sdtContent>
            <w:p w14:paraId="12B1488D" w14:textId="77777777" w:rsidR="00170958" w:rsidRPr="00F12499" w:rsidRDefault="00170958" w:rsidP="00AE3482">
              <w:pPr>
                <w:pStyle w:val="Yltunniste"/>
                <w:rPr>
                  <w:b/>
                  <w:noProof w:val="0"/>
                  <w:sz w:val="22"/>
                </w:rPr>
              </w:pPr>
              <w:r>
                <w:rPr>
                  <w:b/>
                  <w:bCs/>
                  <w:lang w:val="sv-FI"/>
                </w:rPr>
                <w:fldChar w:fldCharType="begin"/>
              </w:r>
              <w:r>
                <w:rPr>
                  <w:b/>
                  <w:bCs/>
                  <w:lang w:val="sv-FI"/>
                </w:rPr>
                <w:instrText xml:space="preserve"> MACROBUTTON NoMacro [Handlingstyp]</w:instrText>
              </w:r>
              <w:r>
                <w:rPr>
                  <w:b/>
                  <w:bCs/>
                  <w:lang w:val="sv-FI"/>
                </w:rPr>
                <w:fldChar w:fldCharType="end"/>
              </w:r>
            </w:p>
          </w:sdtContent>
        </w:sdt>
      </w:tc>
      <w:tc>
        <w:tcPr>
          <w:tcW w:w="1842" w:type="dxa"/>
        </w:tcPr>
        <w:p w14:paraId="36391161" w14:textId="77777777" w:rsidR="00170958" w:rsidRPr="00EC3F4A" w:rsidRDefault="00170958" w:rsidP="00170958">
          <w:pPr>
            <w:pStyle w:val="Yltunniste"/>
            <w:jc w:val="right"/>
          </w:pPr>
        </w:p>
      </w:tc>
      <w:tc>
        <w:tcPr>
          <w:tcW w:w="1386" w:type="dxa"/>
          <w:gridSpan w:val="2"/>
        </w:tcPr>
        <w:p w14:paraId="465C8D01" w14:textId="77777777" w:rsidR="00170958" w:rsidRPr="00EC3F4A" w:rsidRDefault="00170958" w:rsidP="00170958">
          <w:pPr>
            <w:pStyle w:val="Yltunniste"/>
            <w:jc w:val="right"/>
          </w:pPr>
          <w:r>
            <w:rPr>
              <w:lang w:val="sv-FI"/>
            </w:rPr>
            <w:fldChar w:fldCharType="begin"/>
          </w:r>
          <w:r>
            <w:rPr>
              <w:lang w:val="sv-FI"/>
            </w:rPr>
            <w:instrText xml:space="preserve"> PAGE   \* MERGEFORMAT </w:instrText>
          </w:r>
          <w:r>
            <w:rPr>
              <w:lang w:val="sv-FI"/>
            </w:rPr>
            <w:fldChar w:fldCharType="separate"/>
          </w:r>
          <w:r>
            <w:rPr>
              <w:lang w:val="sv-FI"/>
            </w:rPr>
            <w:t>1</w:t>
          </w:r>
          <w:r>
            <w:rPr>
              <w:lang w:val="sv-FI"/>
            </w:rPr>
            <w:fldChar w:fldCharType="end"/>
          </w:r>
          <w:r>
            <w:rPr>
              <w:lang w:val="sv-FI"/>
            </w:rPr>
            <w:t xml:space="preserve"> (</w:t>
          </w:r>
          <w:r w:rsidR="00A9789E">
            <w:fldChar w:fldCharType="begin"/>
          </w:r>
          <w:r w:rsidR="00A9789E">
            <w:instrText xml:space="preserve"> NUMPAGES   \* MERGEFORMAT </w:instrText>
          </w:r>
          <w:r w:rsidR="00A9789E">
            <w:fldChar w:fldCharType="separate"/>
          </w:r>
          <w:r>
            <w:rPr>
              <w:lang w:val="sv-FI"/>
            </w:rPr>
            <w:t>1</w:t>
          </w:r>
          <w:r w:rsidR="00A9789E">
            <w:rPr>
              <w:lang w:val="sv-FI"/>
            </w:rPr>
            <w:fldChar w:fldCharType="end"/>
          </w:r>
          <w:r>
            <w:rPr>
              <w:lang w:val="sv-FI"/>
            </w:rPr>
            <w:t>)</w:t>
          </w:r>
        </w:p>
      </w:tc>
    </w:tr>
    <w:tr w:rsidR="00170958" w:rsidRPr="00EC3F4A" w14:paraId="53FE93DD" w14:textId="77777777" w:rsidTr="00170958">
      <w:trPr>
        <w:trHeight w:val="172"/>
      </w:trPr>
      <w:tc>
        <w:tcPr>
          <w:tcW w:w="3969" w:type="dxa"/>
          <w:vMerge/>
        </w:tcPr>
        <w:p w14:paraId="24857B10" w14:textId="77777777" w:rsidR="00170958" w:rsidRPr="00EC3F4A" w:rsidRDefault="00170958" w:rsidP="00AE3482">
          <w:pPr>
            <w:pStyle w:val="Yltunniste"/>
          </w:pPr>
        </w:p>
      </w:tc>
      <w:tc>
        <w:tcPr>
          <w:tcW w:w="2694" w:type="dxa"/>
        </w:tcPr>
        <w:p w14:paraId="2FCED3AE" w14:textId="77777777" w:rsidR="00170958" w:rsidRPr="00EC3F4A" w:rsidRDefault="00170958" w:rsidP="00AE3482">
          <w:pPr>
            <w:pStyle w:val="Yltunniste"/>
          </w:pPr>
        </w:p>
      </w:tc>
      <w:tc>
        <w:tcPr>
          <w:tcW w:w="2466" w:type="dxa"/>
          <w:gridSpan w:val="2"/>
        </w:tcPr>
        <w:p w14:paraId="2C9B7CE6" w14:textId="77777777" w:rsidR="00170958" w:rsidRPr="00EC3F4A" w:rsidRDefault="00170958" w:rsidP="00AE3482">
          <w:pPr>
            <w:pStyle w:val="Yltunniste"/>
          </w:pPr>
        </w:p>
      </w:tc>
      <w:tc>
        <w:tcPr>
          <w:tcW w:w="762" w:type="dxa"/>
        </w:tcPr>
        <w:p w14:paraId="6413505B" w14:textId="77777777" w:rsidR="00170958" w:rsidRPr="00EC3F4A" w:rsidRDefault="00170958" w:rsidP="00AE3482">
          <w:pPr>
            <w:pStyle w:val="Yltunniste"/>
          </w:pPr>
        </w:p>
      </w:tc>
    </w:tr>
    <w:tr w:rsidR="00170958" w:rsidRPr="00EC3F4A" w14:paraId="7484CEF2" w14:textId="77777777" w:rsidTr="00094A14">
      <w:trPr>
        <w:trHeight w:val="172"/>
      </w:trPr>
      <w:tc>
        <w:tcPr>
          <w:tcW w:w="3969" w:type="dxa"/>
          <w:vMerge/>
        </w:tcPr>
        <w:p w14:paraId="687B7932" w14:textId="77777777" w:rsidR="00170958" w:rsidRPr="00EC3F4A" w:rsidRDefault="00170958" w:rsidP="00AE3482">
          <w:pPr>
            <w:pStyle w:val="Yltunniste"/>
          </w:pPr>
        </w:p>
      </w:tc>
      <w:tc>
        <w:tcPr>
          <w:tcW w:w="5922" w:type="dxa"/>
          <w:gridSpan w:val="4"/>
        </w:tcPr>
        <w:p w14:paraId="63E5734A" w14:textId="77777777" w:rsidR="00170958" w:rsidRPr="00EC3F4A" w:rsidRDefault="00170958" w:rsidP="00170958">
          <w:pPr>
            <w:pStyle w:val="Yltunniste"/>
            <w:jc w:val="right"/>
          </w:pPr>
          <w:r>
            <w:rPr>
              <w:lang w:val="sv-FI"/>
            </w:rPr>
            <w:t xml:space="preserve">Dnr </w:t>
          </w:r>
          <w:r>
            <w:rPr>
              <w:lang w:val="sv-FI"/>
            </w:rPr>
            <w:fldChar w:fldCharType="begin"/>
          </w:r>
          <w:r>
            <w:rPr>
              <w:lang w:val="sv-FI"/>
            </w:rPr>
            <w:instrText xml:space="preserve"> MACROBUTTON NoMacro [XXXX/XXXX/XXXX]</w:instrText>
          </w:r>
          <w:r>
            <w:rPr>
              <w:lang w:val="sv-FI"/>
            </w:rPr>
            <w:fldChar w:fldCharType="end"/>
          </w:r>
        </w:p>
      </w:tc>
    </w:tr>
    <w:tr w:rsidR="00546123" w:rsidRPr="00EC3F4A" w14:paraId="58FE881F" w14:textId="77777777" w:rsidTr="00910BA8">
      <w:tc>
        <w:tcPr>
          <w:tcW w:w="3969" w:type="dxa"/>
        </w:tcPr>
        <w:p w14:paraId="26041DCA" w14:textId="77777777" w:rsidR="00546123" w:rsidRPr="009D2B4A" w:rsidRDefault="00546123" w:rsidP="00AE3482">
          <w:pPr>
            <w:pStyle w:val="Yltunniste"/>
          </w:pPr>
        </w:p>
      </w:tc>
      <w:tc>
        <w:tcPr>
          <w:tcW w:w="2694" w:type="dxa"/>
        </w:tcPr>
        <w:p w14:paraId="06F79C3D" w14:textId="77777777" w:rsidR="00546123" w:rsidRPr="009D2B4A" w:rsidRDefault="000008C6" w:rsidP="00AE3482">
          <w:pPr>
            <w:pStyle w:val="Yltunniste"/>
          </w:pPr>
          <w:r>
            <w:rPr>
              <w:lang w:val="sv-FI"/>
            </w:rPr>
            <w:t>Bilaga 1</w:t>
          </w:r>
        </w:p>
      </w:tc>
      <w:tc>
        <w:tcPr>
          <w:tcW w:w="3228" w:type="dxa"/>
          <w:gridSpan w:val="3"/>
        </w:tcPr>
        <w:p w14:paraId="64317912" w14:textId="77777777" w:rsidR="00546123" w:rsidRPr="00EC3F4A" w:rsidRDefault="00170958" w:rsidP="00170958">
          <w:pPr>
            <w:pStyle w:val="Yltunniste"/>
            <w:jc w:val="right"/>
          </w:pPr>
          <w:r>
            <w:rPr>
              <w:lang w:val="sv-FI"/>
            </w:rPr>
            <w:fldChar w:fldCharType="begin"/>
          </w:r>
          <w:r>
            <w:rPr>
              <w:lang w:val="sv-FI"/>
            </w:rPr>
            <w:instrText xml:space="preserve"> MACROBUTTON NoMacro [Datum]</w:instrText>
          </w:r>
          <w:r>
            <w:rPr>
              <w:lang w:val="sv-FI"/>
            </w:rPr>
            <w:fldChar w:fldCharType="end"/>
          </w:r>
        </w:p>
      </w:tc>
    </w:tr>
    <w:tr w:rsidR="00546123" w:rsidRPr="00EC3F4A" w14:paraId="7755AD19" w14:textId="77777777" w:rsidTr="00910BA8">
      <w:tc>
        <w:tcPr>
          <w:tcW w:w="3969" w:type="dxa"/>
        </w:tcPr>
        <w:p w14:paraId="37B8EC46" w14:textId="77777777" w:rsidR="00546123" w:rsidRPr="00546123" w:rsidRDefault="00546123" w:rsidP="00AE3482">
          <w:pPr>
            <w:pStyle w:val="Yltunniste"/>
          </w:pPr>
        </w:p>
      </w:tc>
      <w:tc>
        <w:tcPr>
          <w:tcW w:w="2694" w:type="dxa"/>
        </w:tcPr>
        <w:p w14:paraId="4C4CF931" w14:textId="77777777" w:rsidR="00546123" w:rsidRDefault="00546123" w:rsidP="00AE3482">
          <w:pPr>
            <w:pStyle w:val="Yltunniste"/>
          </w:pPr>
        </w:p>
      </w:tc>
      <w:tc>
        <w:tcPr>
          <w:tcW w:w="3228" w:type="dxa"/>
          <w:gridSpan w:val="3"/>
        </w:tcPr>
        <w:p w14:paraId="4000BCBE" w14:textId="77777777" w:rsidR="00546123" w:rsidRPr="00EC3F4A" w:rsidRDefault="00546123" w:rsidP="00AE3482">
          <w:pPr>
            <w:pStyle w:val="Yltunniste"/>
          </w:pPr>
        </w:p>
      </w:tc>
    </w:tr>
  </w:tbl>
  <w:p w14:paraId="2CDE7D63" w14:textId="77777777" w:rsidR="00F12499" w:rsidRDefault="00F12499">
    <w:pPr>
      <w:pStyle w:val="Yltunniste"/>
    </w:pPr>
  </w:p>
  <w:p w14:paraId="6E7D089E" w14:textId="77777777" w:rsidR="000008C6" w:rsidRDefault="000008C6">
    <w:pPr>
      <w:pStyle w:val="Yltunniste"/>
    </w:pPr>
  </w:p>
  <w:p w14:paraId="4DC08471" w14:textId="77777777" w:rsidR="000008C6" w:rsidRDefault="000008C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D9EFDB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E602B9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267050"/>
    <w:multiLevelType w:val="multilevel"/>
    <w:tmpl w:val="79A88E14"/>
    <w:numStyleLink w:val="Luettelomerkit"/>
  </w:abstractNum>
  <w:abstractNum w:abstractNumId="3" w15:restartNumberingAfterBreak="0">
    <w:nsid w:val="25E15EBE"/>
    <w:multiLevelType w:val="multilevel"/>
    <w:tmpl w:val="FBD6CC3A"/>
    <w:numStyleLink w:val="Luettelonumerot"/>
  </w:abstractNum>
  <w:abstractNum w:abstractNumId="4" w15:restartNumberingAfterBreak="0">
    <w:nsid w:val="2E867EEC"/>
    <w:multiLevelType w:val="multilevel"/>
    <w:tmpl w:val="F4005D32"/>
    <w:styleLink w:val="Numeroituotsikointi"/>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5" w15:restartNumberingAfterBreak="0">
    <w:nsid w:val="3A701CD2"/>
    <w:multiLevelType w:val="hybridMultilevel"/>
    <w:tmpl w:val="0366A102"/>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D8741EC"/>
    <w:multiLevelType w:val="multilevel"/>
    <w:tmpl w:val="FBD6CC3A"/>
    <w:styleLink w:val="Luettelonumerot"/>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7" w15:restartNumberingAfterBreak="0">
    <w:nsid w:val="7F263A62"/>
    <w:multiLevelType w:val="multilevel"/>
    <w:tmpl w:val="79A88E14"/>
    <w:styleLink w:val="Luettelomerkit"/>
    <w:lvl w:ilvl="0">
      <w:start w:val="1"/>
      <w:numFmt w:val="bullet"/>
      <w:pStyle w:val="Merkittyluettelo"/>
      <w:lvlText w:val=""/>
      <w:lvlJc w:val="left"/>
      <w:pPr>
        <w:ind w:left="1701" w:hanging="397"/>
      </w:pPr>
      <w:rPr>
        <w:rFonts w:ascii="Symbol" w:hAnsi="Symbol"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num w:numId="1">
    <w:abstractNumId w:val="1"/>
  </w:num>
  <w:num w:numId="2">
    <w:abstractNumId w:val="0"/>
  </w:num>
  <w:num w:numId="3">
    <w:abstractNumId w:val="7"/>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7"/>
  </w:num>
  <w:num w:numId="15">
    <w:abstractNumId w:val="6"/>
  </w:num>
  <w:num w:numId="16">
    <w:abstractNumId w:val="6"/>
  </w:num>
  <w:num w:numId="17">
    <w:abstractNumId w:val="7"/>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7"/>
  </w:num>
  <w:num w:numId="29">
    <w:abstractNumId w:val="6"/>
  </w:num>
  <w:num w:numId="30">
    <w:abstractNumId w:val="6"/>
  </w:num>
  <w:num w:numId="31">
    <w:abstractNumId w:val="7"/>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7"/>
  </w:num>
  <w:num w:numId="43">
    <w:abstractNumId w:val="6"/>
  </w:num>
  <w:num w:numId="44">
    <w:abstractNumId w:val="6"/>
  </w:num>
  <w:num w:numId="45">
    <w:abstractNumId w:val="7"/>
  </w:num>
  <w:num w:numId="46">
    <w:abstractNumId w:val="4"/>
  </w:num>
  <w:num w:numId="47">
    <w:abstractNumId w:val="2"/>
  </w:num>
  <w:num w:numId="48">
    <w:abstractNumId w:val="3"/>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attachedTemplate r:id="rId1"/>
  <w:defaultTabStop w:val="1304"/>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043"/>
    <w:rsid w:val="0000057D"/>
    <w:rsid w:val="000008C6"/>
    <w:rsid w:val="00002DF7"/>
    <w:rsid w:val="000060C1"/>
    <w:rsid w:val="00014E30"/>
    <w:rsid w:val="0001699F"/>
    <w:rsid w:val="00022ECD"/>
    <w:rsid w:val="000238BF"/>
    <w:rsid w:val="00032708"/>
    <w:rsid w:val="00035282"/>
    <w:rsid w:val="00047EF7"/>
    <w:rsid w:val="0005190F"/>
    <w:rsid w:val="00053979"/>
    <w:rsid w:val="000553E2"/>
    <w:rsid w:val="0006062A"/>
    <w:rsid w:val="00063065"/>
    <w:rsid w:val="00067875"/>
    <w:rsid w:val="00072ADD"/>
    <w:rsid w:val="000750B1"/>
    <w:rsid w:val="00091D4D"/>
    <w:rsid w:val="0009698E"/>
    <w:rsid w:val="000A3DF3"/>
    <w:rsid w:val="000B0999"/>
    <w:rsid w:val="000B3357"/>
    <w:rsid w:val="000B3F1D"/>
    <w:rsid w:val="000C33AF"/>
    <w:rsid w:val="000C3F1D"/>
    <w:rsid w:val="000E4D27"/>
    <w:rsid w:val="000F174C"/>
    <w:rsid w:val="00101210"/>
    <w:rsid w:val="00101E5C"/>
    <w:rsid w:val="0011074D"/>
    <w:rsid w:val="001124B9"/>
    <w:rsid w:val="001127D3"/>
    <w:rsid w:val="001174E2"/>
    <w:rsid w:val="001223C1"/>
    <w:rsid w:val="00127935"/>
    <w:rsid w:val="00133496"/>
    <w:rsid w:val="00145792"/>
    <w:rsid w:val="00153FC9"/>
    <w:rsid w:val="00163BE0"/>
    <w:rsid w:val="001674B7"/>
    <w:rsid w:val="00167F67"/>
    <w:rsid w:val="00170958"/>
    <w:rsid w:val="00175AAA"/>
    <w:rsid w:val="00177323"/>
    <w:rsid w:val="00193233"/>
    <w:rsid w:val="0019752B"/>
    <w:rsid w:val="001A7F54"/>
    <w:rsid w:val="001E2770"/>
    <w:rsid w:val="001E3C20"/>
    <w:rsid w:val="001F0291"/>
    <w:rsid w:val="001F25C4"/>
    <w:rsid w:val="001F6A75"/>
    <w:rsid w:val="001F7FF9"/>
    <w:rsid w:val="00213E47"/>
    <w:rsid w:val="00217315"/>
    <w:rsid w:val="00223987"/>
    <w:rsid w:val="00226F85"/>
    <w:rsid w:val="002337C2"/>
    <w:rsid w:val="00240745"/>
    <w:rsid w:val="002461CF"/>
    <w:rsid w:val="002522F2"/>
    <w:rsid w:val="00261760"/>
    <w:rsid w:val="002627DD"/>
    <w:rsid w:val="00264FAF"/>
    <w:rsid w:val="00271722"/>
    <w:rsid w:val="00274F74"/>
    <w:rsid w:val="0029240F"/>
    <w:rsid w:val="00293F3E"/>
    <w:rsid w:val="002B5BC3"/>
    <w:rsid w:val="002C5731"/>
    <w:rsid w:val="002D0399"/>
    <w:rsid w:val="002D5C41"/>
    <w:rsid w:val="002E6377"/>
    <w:rsid w:val="002F6929"/>
    <w:rsid w:val="003030F4"/>
    <w:rsid w:val="00305757"/>
    <w:rsid w:val="0030655E"/>
    <w:rsid w:val="00332A43"/>
    <w:rsid w:val="00334DE8"/>
    <w:rsid w:val="003401A5"/>
    <w:rsid w:val="00345558"/>
    <w:rsid w:val="00350DB9"/>
    <w:rsid w:val="00357C8B"/>
    <w:rsid w:val="00382ACD"/>
    <w:rsid w:val="003916A6"/>
    <w:rsid w:val="003917E1"/>
    <w:rsid w:val="00393C81"/>
    <w:rsid w:val="00396F92"/>
    <w:rsid w:val="003A7045"/>
    <w:rsid w:val="003C7218"/>
    <w:rsid w:val="003E4B36"/>
    <w:rsid w:val="003E6880"/>
    <w:rsid w:val="003E69C2"/>
    <w:rsid w:val="003F27E5"/>
    <w:rsid w:val="00400957"/>
    <w:rsid w:val="00407C11"/>
    <w:rsid w:val="00424608"/>
    <w:rsid w:val="0043315B"/>
    <w:rsid w:val="00447286"/>
    <w:rsid w:val="004478DB"/>
    <w:rsid w:val="0045242D"/>
    <w:rsid w:val="00463133"/>
    <w:rsid w:val="004715F5"/>
    <w:rsid w:val="00492599"/>
    <w:rsid w:val="004A4AC8"/>
    <w:rsid w:val="004B62A4"/>
    <w:rsid w:val="004B7C81"/>
    <w:rsid w:val="004C2D61"/>
    <w:rsid w:val="004C56FF"/>
    <w:rsid w:val="004D022D"/>
    <w:rsid w:val="004D079E"/>
    <w:rsid w:val="004D1F42"/>
    <w:rsid w:val="004D5606"/>
    <w:rsid w:val="004D7F15"/>
    <w:rsid w:val="004E4045"/>
    <w:rsid w:val="004F4CC6"/>
    <w:rsid w:val="005018DF"/>
    <w:rsid w:val="0050773C"/>
    <w:rsid w:val="00512790"/>
    <w:rsid w:val="00514B54"/>
    <w:rsid w:val="0052177E"/>
    <w:rsid w:val="00535380"/>
    <w:rsid w:val="00546123"/>
    <w:rsid w:val="005531DA"/>
    <w:rsid w:val="00583EB8"/>
    <w:rsid w:val="00592100"/>
    <w:rsid w:val="00596083"/>
    <w:rsid w:val="005A10E1"/>
    <w:rsid w:val="005A28CB"/>
    <w:rsid w:val="005A6B87"/>
    <w:rsid w:val="005B374E"/>
    <w:rsid w:val="005B5649"/>
    <w:rsid w:val="005B6FC0"/>
    <w:rsid w:val="005C626F"/>
    <w:rsid w:val="005C795F"/>
    <w:rsid w:val="005F23B7"/>
    <w:rsid w:val="00612D32"/>
    <w:rsid w:val="00634C73"/>
    <w:rsid w:val="00645496"/>
    <w:rsid w:val="006539CD"/>
    <w:rsid w:val="00657CCA"/>
    <w:rsid w:val="00665A87"/>
    <w:rsid w:val="006700CD"/>
    <w:rsid w:val="00676109"/>
    <w:rsid w:val="0069005A"/>
    <w:rsid w:val="00697384"/>
    <w:rsid w:val="006A5316"/>
    <w:rsid w:val="006C1A1E"/>
    <w:rsid w:val="006C6235"/>
    <w:rsid w:val="006C7E27"/>
    <w:rsid w:val="006D31EA"/>
    <w:rsid w:val="006D3DA9"/>
    <w:rsid w:val="006D5022"/>
    <w:rsid w:val="006D5DAF"/>
    <w:rsid w:val="007022DC"/>
    <w:rsid w:val="007102B6"/>
    <w:rsid w:val="00710FF3"/>
    <w:rsid w:val="0072074B"/>
    <w:rsid w:val="00724778"/>
    <w:rsid w:val="00725063"/>
    <w:rsid w:val="00733B16"/>
    <w:rsid w:val="00736F2E"/>
    <w:rsid w:val="00745806"/>
    <w:rsid w:val="00745A0C"/>
    <w:rsid w:val="0074732A"/>
    <w:rsid w:val="007479F9"/>
    <w:rsid w:val="00753E35"/>
    <w:rsid w:val="0076030B"/>
    <w:rsid w:val="00761287"/>
    <w:rsid w:val="00766157"/>
    <w:rsid w:val="007664F3"/>
    <w:rsid w:val="00770934"/>
    <w:rsid w:val="007A3219"/>
    <w:rsid w:val="007A3D7B"/>
    <w:rsid w:val="007B27D9"/>
    <w:rsid w:val="007D10CC"/>
    <w:rsid w:val="007D2260"/>
    <w:rsid w:val="007D7B74"/>
    <w:rsid w:val="007E3C0A"/>
    <w:rsid w:val="007E6CEB"/>
    <w:rsid w:val="007F0683"/>
    <w:rsid w:val="00802183"/>
    <w:rsid w:val="008057A1"/>
    <w:rsid w:val="00813E3D"/>
    <w:rsid w:val="00825477"/>
    <w:rsid w:val="008279C6"/>
    <w:rsid w:val="00841638"/>
    <w:rsid w:val="00845C83"/>
    <w:rsid w:val="008615BD"/>
    <w:rsid w:val="00881BDD"/>
    <w:rsid w:val="00882275"/>
    <w:rsid w:val="00890714"/>
    <w:rsid w:val="0089181B"/>
    <w:rsid w:val="00896362"/>
    <w:rsid w:val="008B04C0"/>
    <w:rsid w:val="008B4E1C"/>
    <w:rsid w:val="008D10AF"/>
    <w:rsid w:val="008D30DD"/>
    <w:rsid w:val="008D4E9E"/>
    <w:rsid w:val="00902F5E"/>
    <w:rsid w:val="00903142"/>
    <w:rsid w:val="00910BA8"/>
    <w:rsid w:val="00927D74"/>
    <w:rsid w:val="009312AF"/>
    <w:rsid w:val="00931AC4"/>
    <w:rsid w:val="00943D46"/>
    <w:rsid w:val="009467A6"/>
    <w:rsid w:val="00955267"/>
    <w:rsid w:val="0096392E"/>
    <w:rsid w:val="009729AC"/>
    <w:rsid w:val="00975F66"/>
    <w:rsid w:val="00980DAB"/>
    <w:rsid w:val="0098106B"/>
    <w:rsid w:val="009B5A06"/>
    <w:rsid w:val="009C1E27"/>
    <w:rsid w:val="009C49F8"/>
    <w:rsid w:val="009C5C38"/>
    <w:rsid w:val="009C7290"/>
    <w:rsid w:val="009D2B4A"/>
    <w:rsid w:val="009E56AA"/>
    <w:rsid w:val="009F1864"/>
    <w:rsid w:val="009F74FE"/>
    <w:rsid w:val="00A03600"/>
    <w:rsid w:val="00A04CA2"/>
    <w:rsid w:val="00A149EF"/>
    <w:rsid w:val="00A31517"/>
    <w:rsid w:val="00A412D5"/>
    <w:rsid w:val="00A4492C"/>
    <w:rsid w:val="00A5386D"/>
    <w:rsid w:val="00A622B4"/>
    <w:rsid w:val="00A637D1"/>
    <w:rsid w:val="00A91104"/>
    <w:rsid w:val="00A96328"/>
    <w:rsid w:val="00A9789E"/>
    <w:rsid w:val="00AA1231"/>
    <w:rsid w:val="00AA7E36"/>
    <w:rsid w:val="00AC0A55"/>
    <w:rsid w:val="00AC5327"/>
    <w:rsid w:val="00AE45AF"/>
    <w:rsid w:val="00B00D18"/>
    <w:rsid w:val="00B07128"/>
    <w:rsid w:val="00B12394"/>
    <w:rsid w:val="00B133D8"/>
    <w:rsid w:val="00B222AC"/>
    <w:rsid w:val="00B24043"/>
    <w:rsid w:val="00B3558F"/>
    <w:rsid w:val="00B45749"/>
    <w:rsid w:val="00B56AB9"/>
    <w:rsid w:val="00B65359"/>
    <w:rsid w:val="00B65462"/>
    <w:rsid w:val="00B717A3"/>
    <w:rsid w:val="00B77CE9"/>
    <w:rsid w:val="00B80759"/>
    <w:rsid w:val="00B83234"/>
    <w:rsid w:val="00B848C0"/>
    <w:rsid w:val="00B93B24"/>
    <w:rsid w:val="00B94C70"/>
    <w:rsid w:val="00BA536C"/>
    <w:rsid w:val="00BA5905"/>
    <w:rsid w:val="00BC1E89"/>
    <w:rsid w:val="00BC37BF"/>
    <w:rsid w:val="00BC3CEB"/>
    <w:rsid w:val="00BE6857"/>
    <w:rsid w:val="00BF79C5"/>
    <w:rsid w:val="00C02735"/>
    <w:rsid w:val="00C529E7"/>
    <w:rsid w:val="00C52FC4"/>
    <w:rsid w:val="00C61606"/>
    <w:rsid w:val="00C62A18"/>
    <w:rsid w:val="00C65992"/>
    <w:rsid w:val="00C70DDA"/>
    <w:rsid w:val="00C76CF3"/>
    <w:rsid w:val="00C86D83"/>
    <w:rsid w:val="00C9048C"/>
    <w:rsid w:val="00C91803"/>
    <w:rsid w:val="00CA4655"/>
    <w:rsid w:val="00CC4D07"/>
    <w:rsid w:val="00CD313B"/>
    <w:rsid w:val="00CD551C"/>
    <w:rsid w:val="00CD6DC6"/>
    <w:rsid w:val="00CE49C3"/>
    <w:rsid w:val="00CF3721"/>
    <w:rsid w:val="00D03D0D"/>
    <w:rsid w:val="00D136B9"/>
    <w:rsid w:val="00D20E9C"/>
    <w:rsid w:val="00D31CFD"/>
    <w:rsid w:val="00D35DD0"/>
    <w:rsid w:val="00D41B18"/>
    <w:rsid w:val="00D5347F"/>
    <w:rsid w:val="00D55908"/>
    <w:rsid w:val="00D63FDE"/>
    <w:rsid w:val="00D80E8D"/>
    <w:rsid w:val="00D810BD"/>
    <w:rsid w:val="00DA071C"/>
    <w:rsid w:val="00DA2889"/>
    <w:rsid w:val="00DA4228"/>
    <w:rsid w:val="00DC4BB7"/>
    <w:rsid w:val="00DF0E85"/>
    <w:rsid w:val="00DF4AFA"/>
    <w:rsid w:val="00DF7FEE"/>
    <w:rsid w:val="00E12F15"/>
    <w:rsid w:val="00E20BFD"/>
    <w:rsid w:val="00E355F9"/>
    <w:rsid w:val="00E37C6F"/>
    <w:rsid w:val="00E40DF1"/>
    <w:rsid w:val="00E41DCB"/>
    <w:rsid w:val="00E506B0"/>
    <w:rsid w:val="00E56F9B"/>
    <w:rsid w:val="00E8082B"/>
    <w:rsid w:val="00E93853"/>
    <w:rsid w:val="00EA2384"/>
    <w:rsid w:val="00EA5C3D"/>
    <w:rsid w:val="00EB505B"/>
    <w:rsid w:val="00EC3F4A"/>
    <w:rsid w:val="00EC7D70"/>
    <w:rsid w:val="00EE2B4D"/>
    <w:rsid w:val="00F05F9D"/>
    <w:rsid w:val="00F07EB5"/>
    <w:rsid w:val="00F11E23"/>
    <w:rsid w:val="00F12499"/>
    <w:rsid w:val="00F15CB8"/>
    <w:rsid w:val="00F16CEE"/>
    <w:rsid w:val="00F360DF"/>
    <w:rsid w:val="00F363B0"/>
    <w:rsid w:val="00F5251F"/>
    <w:rsid w:val="00F74674"/>
    <w:rsid w:val="00F77EB3"/>
    <w:rsid w:val="00F8548D"/>
    <w:rsid w:val="00F86E16"/>
    <w:rsid w:val="00F8710D"/>
    <w:rsid w:val="00F93854"/>
    <w:rsid w:val="00FB4D05"/>
    <w:rsid w:val="00FC3C1E"/>
    <w:rsid w:val="00FD0A07"/>
    <w:rsid w:val="00FD0F6C"/>
    <w:rsid w:val="00FF3EAB"/>
    <w:rsid w:val="427D4FC2"/>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D90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D313B"/>
    <w:rPr>
      <w:sz w:val="20"/>
    </w:rPr>
  </w:style>
  <w:style w:type="paragraph" w:styleId="Otsikko1">
    <w:name w:val="heading 1"/>
    <w:basedOn w:val="Normaali"/>
    <w:next w:val="Leipteksti"/>
    <w:link w:val="Otsikko1Char"/>
    <w:uiPriority w:val="9"/>
    <w:qFormat/>
    <w:rsid w:val="00CD313B"/>
    <w:pPr>
      <w:keepNext/>
      <w:keepLines/>
      <w:spacing w:after="220"/>
      <w:outlineLvl w:val="0"/>
    </w:pPr>
    <w:rPr>
      <w:rFonts w:asciiTheme="majorHAnsi" w:eastAsiaTheme="majorEastAsia" w:hAnsiTheme="majorHAnsi" w:cstheme="majorHAnsi"/>
      <w:b/>
      <w:bCs/>
      <w:sz w:val="22"/>
      <w:szCs w:val="28"/>
    </w:rPr>
  </w:style>
  <w:style w:type="paragraph" w:styleId="Otsikko2">
    <w:name w:val="heading 2"/>
    <w:basedOn w:val="Normaali"/>
    <w:next w:val="Leipteksti"/>
    <w:link w:val="Otsikko2Char"/>
    <w:uiPriority w:val="9"/>
    <w:qFormat/>
    <w:rsid w:val="00B00D18"/>
    <w:pPr>
      <w:keepNext/>
      <w:keepLines/>
      <w:spacing w:after="22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B00D18"/>
    <w:pPr>
      <w:keepNext/>
      <w:keepLines/>
      <w:spacing w:after="22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B00D18"/>
    <w:pPr>
      <w:keepNext/>
      <w:keepLines/>
      <w:spacing w:after="22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B00D18"/>
    <w:pPr>
      <w:keepNext/>
      <w:keepLines/>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B00D18"/>
    <w:pPr>
      <w:keepNext/>
      <w:keepLines/>
      <w:spacing w:after="22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B00D18"/>
    <w:pPr>
      <w:keepNext/>
      <w:keepLines/>
      <w:spacing w:after="22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B00D18"/>
    <w:pPr>
      <w:keepNext/>
      <w:keepLines/>
      <w:spacing w:after="22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B00D18"/>
    <w:pPr>
      <w:keepNext/>
      <w:keepLines/>
      <w:spacing w:after="22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9729AC"/>
    <w:rPr>
      <w:noProof/>
    </w:rPr>
  </w:style>
  <w:style w:type="character" w:customStyle="1" w:styleId="YltunnisteChar">
    <w:name w:val="Ylätunniste Char"/>
    <w:basedOn w:val="Kappaleenoletusfontti"/>
    <w:link w:val="Yltunniste"/>
    <w:uiPriority w:val="99"/>
    <w:rsid w:val="00697384"/>
    <w:rPr>
      <w:noProof/>
      <w:sz w:val="20"/>
    </w:rPr>
  </w:style>
  <w:style w:type="paragraph" w:styleId="Alatunniste">
    <w:name w:val="footer"/>
    <w:basedOn w:val="Normaali"/>
    <w:link w:val="AlatunnisteChar"/>
    <w:uiPriority w:val="99"/>
    <w:rsid w:val="000008C6"/>
    <w:rPr>
      <w:noProof/>
      <w:sz w:val="16"/>
    </w:rPr>
  </w:style>
  <w:style w:type="character" w:customStyle="1" w:styleId="AlatunnisteChar">
    <w:name w:val="Alatunniste Char"/>
    <w:basedOn w:val="Kappaleenoletusfontti"/>
    <w:link w:val="Alatunniste"/>
    <w:uiPriority w:val="99"/>
    <w:rsid w:val="000008C6"/>
    <w:rPr>
      <w:noProof/>
      <w:sz w:val="16"/>
    </w:rPr>
  </w:style>
  <w:style w:type="paragraph" w:styleId="Seliteteksti">
    <w:name w:val="Balloon Text"/>
    <w:basedOn w:val="Normaali"/>
    <w:link w:val="SelitetekstiChar"/>
    <w:uiPriority w:val="99"/>
    <w:semiHidden/>
    <w:unhideWhenUsed/>
    <w:rsid w:val="009729AC"/>
    <w:rPr>
      <w:rFonts w:ascii="Tahoma" w:hAnsi="Tahoma" w:cs="Tahoma"/>
      <w:sz w:val="16"/>
      <w:szCs w:val="16"/>
    </w:rPr>
  </w:style>
  <w:style w:type="character" w:customStyle="1" w:styleId="SelitetekstiChar">
    <w:name w:val="Seliteteksti Char"/>
    <w:basedOn w:val="Kappaleenoletusfontti"/>
    <w:link w:val="Seliteteksti"/>
    <w:uiPriority w:val="99"/>
    <w:semiHidden/>
    <w:rsid w:val="00261760"/>
    <w:rPr>
      <w:rFonts w:ascii="Tahoma" w:hAnsi="Tahoma" w:cs="Tahoma"/>
      <w:sz w:val="16"/>
      <w:szCs w:val="16"/>
    </w:rPr>
  </w:style>
  <w:style w:type="table" w:styleId="TaulukkoRuudukko">
    <w:name w:val="Table Grid"/>
    <w:basedOn w:val="Normaalitaulukko"/>
    <w:uiPriority w:val="59"/>
    <w:rsid w:val="009729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Eireunaviivaa">
    <w:name w:val="Ei reunaviivaa"/>
    <w:basedOn w:val="Normaalitaulukko"/>
    <w:uiPriority w:val="99"/>
    <w:qFormat/>
    <w:rsid w:val="009729AC"/>
    <w:tblPr/>
  </w:style>
  <w:style w:type="character" w:styleId="Paikkamerkkiteksti">
    <w:name w:val="Placeholder Text"/>
    <w:basedOn w:val="Kappaleenoletusfontti"/>
    <w:uiPriority w:val="99"/>
    <w:rsid w:val="00CD313B"/>
    <w:rPr>
      <w:color w:val="auto"/>
      <w:bdr w:val="none" w:sz="0" w:space="0" w:color="auto"/>
      <w:shd w:val="clear" w:color="auto" w:fill="002B74" w:themeFill="accent1"/>
    </w:rPr>
  </w:style>
  <w:style w:type="character" w:customStyle="1" w:styleId="Otsikko7Char">
    <w:name w:val="Otsikko 7 Char"/>
    <w:basedOn w:val="Kappaleenoletusfontti"/>
    <w:link w:val="Otsikko7"/>
    <w:uiPriority w:val="9"/>
    <w:rsid w:val="0069005A"/>
    <w:rPr>
      <w:rFonts w:asciiTheme="majorHAnsi" w:eastAsiaTheme="majorEastAsia" w:hAnsiTheme="majorHAnsi" w:cstheme="majorBidi"/>
      <w:iCs/>
    </w:rPr>
  </w:style>
  <w:style w:type="paragraph" w:styleId="Leipteksti">
    <w:name w:val="Body Text"/>
    <w:basedOn w:val="Normaali"/>
    <w:link w:val="LeiptekstiChar"/>
    <w:uiPriority w:val="1"/>
    <w:qFormat/>
    <w:rsid w:val="00CD313B"/>
    <w:pPr>
      <w:spacing w:after="200"/>
      <w:ind w:left="1304"/>
    </w:pPr>
  </w:style>
  <w:style w:type="character" w:customStyle="1" w:styleId="LeiptekstiChar">
    <w:name w:val="Leipäteksti Char"/>
    <w:basedOn w:val="Kappaleenoletusfontti"/>
    <w:link w:val="Leipteksti"/>
    <w:uiPriority w:val="1"/>
    <w:rsid w:val="00CD313B"/>
    <w:rPr>
      <w:sz w:val="20"/>
    </w:rPr>
  </w:style>
  <w:style w:type="paragraph" w:styleId="Eivli">
    <w:name w:val="No Spacing"/>
    <w:uiPriority w:val="2"/>
    <w:qFormat/>
    <w:rsid w:val="00032708"/>
    <w:pPr>
      <w:ind w:left="1304"/>
    </w:pPr>
    <w:rPr>
      <w:sz w:val="20"/>
    </w:rPr>
  </w:style>
  <w:style w:type="paragraph" w:styleId="Numeroituluettelo">
    <w:name w:val="List Number"/>
    <w:basedOn w:val="Normaali"/>
    <w:uiPriority w:val="99"/>
    <w:qFormat/>
    <w:rsid w:val="005A10E1"/>
    <w:pPr>
      <w:numPr>
        <w:numId w:val="48"/>
      </w:numPr>
      <w:spacing w:after="200"/>
      <w:contextualSpacing/>
    </w:pPr>
  </w:style>
  <w:style w:type="paragraph" w:styleId="Merkittyluettelo">
    <w:name w:val="List Bullet"/>
    <w:basedOn w:val="Normaali"/>
    <w:uiPriority w:val="99"/>
    <w:qFormat/>
    <w:rsid w:val="005A10E1"/>
    <w:pPr>
      <w:numPr>
        <w:numId w:val="47"/>
      </w:numPr>
      <w:spacing w:after="200"/>
      <w:contextualSpacing/>
    </w:pPr>
  </w:style>
  <w:style w:type="character" w:customStyle="1" w:styleId="Otsikko1Char">
    <w:name w:val="Otsikko 1 Char"/>
    <w:basedOn w:val="Kappaleenoletusfontti"/>
    <w:link w:val="Otsikko1"/>
    <w:uiPriority w:val="9"/>
    <w:rsid w:val="00CD313B"/>
    <w:rPr>
      <w:rFonts w:asciiTheme="majorHAnsi" w:eastAsiaTheme="majorEastAsia" w:hAnsiTheme="majorHAnsi" w:cstheme="majorHAnsi"/>
      <w:b/>
      <w:bCs/>
      <w:szCs w:val="28"/>
    </w:rPr>
  </w:style>
  <w:style w:type="paragraph" w:styleId="Otsikko">
    <w:name w:val="Title"/>
    <w:basedOn w:val="Normaali"/>
    <w:next w:val="Leipteksti"/>
    <w:link w:val="OtsikkoChar"/>
    <w:uiPriority w:val="10"/>
    <w:qFormat/>
    <w:rsid w:val="000008C6"/>
    <w:pPr>
      <w:spacing w:after="220"/>
      <w:contextualSpacing/>
    </w:pPr>
    <w:rPr>
      <w:rFonts w:asciiTheme="majorHAnsi" w:eastAsiaTheme="majorEastAsia" w:hAnsiTheme="majorHAnsi" w:cstheme="majorHAnsi"/>
      <w:b/>
      <w:kern w:val="22"/>
      <w:sz w:val="30"/>
      <w:szCs w:val="52"/>
    </w:rPr>
  </w:style>
  <w:style w:type="character" w:customStyle="1" w:styleId="OtsikkoChar">
    <w:name w:val="Otsikko Char"/>
    <w:basedOn w:val="Kappaleenoletusfontti"/>
    <w:link w:val="Otsikko"/>
    <w:uiPriority w:val="10"/>
    <w:rsid w:val="000008C6"/>
    <w:rPr>
      <w:rFonts w:asciiTheme="majorHAnsi" w:eastAsiaTheme="majorEastAsia" w:hAnsiTheme="majorHAnsi" w:cstheme="majorHAnsi"/>
      <w:b/>
      <w:kern w:val="22"/>
      <w:sz w:val="30"/>
      <w:szCs w:val="52"/>
    </w:rPr>
  </w:style>
  <w:style w:type="paragraph" w:styleId="Sisllysluettelonotsikko">
    <w:name w:val="TOC Heading"/>
    <w:next w:val="Normaali"/>
    <w:uiPriority w:val="39"/>
    <w:rsid w:val="00CD313B"/>
    <w:pPr>
      <w:spacing w:after="220"/>
    </w:pPr>
    <w:rPr>
      <w:rFonts w:asciiTheme="majorHAnsi" w:eastAsiaTheme="majorEastAsia" w:hAnsiTheme="majorHAnsi" w:cstheme="majorBidi"/>
      <w:b/>
      <w:bCs/>
      <w:szCs w:val="28"/>
    </w:rPr>
  </w:style>
  <w:style w:type="character" w:customStyle="1" w:styleId="Otsikko2Char">
    <w:name w:val="Otsikko 2 Char"/>
    <w:basedOn w:val="Kappaleenoletusfontti"/>
    <w:link w:val="Otsikko2"/>
    <w:uiPriority w:val="9"/>
    <w:rsid w:val="0069005A"/>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69005A"/>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69005A"/>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69005A"/>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69005A"/>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69005A"/>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rsid w:val="0069005A"/>
    <w:rPr>
      <w:rFonts w:asciiTheme="majorHAnsi" w:eastAsiaTheme="majorEastAsia" w:hAnsiTheme="majorHAnsi" w:cstheme="majorBidi"/>
      <w:iCs/>
      <w:szCs w:val="20"/>
    </w:rPr>
  </w:style>
  <w:style w:type="numbering" w:customStyle="1" w:styleId="Luettelomerkit">
    <w:name w:val="Luettelomerkit"/>
    <w:uiPriority w:val="99"/>
    <w:rsid w:val="005A10E1"/>
    <w:pPr>
      <w:numPr>
        <w:numId w:val="3"/>
      </w:numPr>
    </w:pPr>
  </w:style>
  <w:style w:type="numbering" w:customStyle="1" w:styleId="Luettelonumerot">
    <w:name w:val="Luettelo numerot"/>
    <w:uiPriority w:val="99"/>
    <w:rsid w:val="005A10E1"/>
    <w:pPr>
      <w:numPr>
        <w:numId w:val="4"/>
      </w:numPr>
    </w:pPr>
  </w:style>
  <w:style w:type="paragraph" w:customStyle="1" w:styleId="Ohje">
    <w:name w:val="Ohje"/>
    <w:basedOn w:val="Leipteksti"/>
    <w:uiPriority w:val="99"/>
    <w:rsid w:val="009729AC"/>
    <w:pPr>
      <w:shd w:val="clear" w:color="auto" w:fill="FFFF00"/>
    </w:pPr>
  </w:style>
  <w:style w:type="character" w:styleId="Hyperlinkki">
    <w:name w:val="Hyperlink"/>
    <w:basedOn w:val="Kappaleenoletusfontti"/>
    <w:uiPriority w:val="99"/>
    <w:unhideWhenUsed/>
    <w:rsid w:val="009729AC"/>
    <w:rPr>
      <w:color w:val="00AEB2" w:themeColor="hyperlink"/>
      <w:u w:val="single"/>
    </w:rPr>
  </w:style>
  <w:style w:type="numbering" w:customStyle="1" w:styleId="Numeroituotsikointi">
    <w:name w:val="Numeroitu otsikointi"/>
    <w:uiPriority w:val="99"/>
    <w:rsid w:val="009729AC"/>
    <w:pPr>
      <w:numPr>
        <w:numId w:val="5"/>
      </w:numPr>
    </w:pPr>
  </w:style>
  <w:style w:type="paragraph" w:customStyle="1" w:styleId="Taulukkootsikko">
    <w:name w:val="Taulukko_otsikko"/>
    <w:basedOn w:val="Normaali"/>
    <w:next w:val="Normaali"/>
    <w:rsid w:val="009729AC"/>
    <w:pPr>
      <w:spacing w:after="120"/>
      <w:jc w:val="both"/>
    </w:pPr>
    <w:rPr>
      <w:rFonts w:ascii="Verdana" w:eastAsia="Times New Roman" w:hAnsi="Verdana" w:cs="Arial"/>
      <w:b/>
    </w:rPr>
  </w:style>
  <w:style w:type="paragraph" w:customStyle="1" w:styleId="Taulukkoteksti">
    <w:name w:val="Taulukkoteksti"/>
    <w:basedOn w:val="Normaali"/>
    <w:rsid w:val="009729AC"/>
    <w:pPr>
      <w:spacing w:after="120"/>
      <w:jc w:val="both"/>
    </w:pPr>
    <w:rPr>
      <w:rFonts w:ascii="Verdana" w:eastAsia="Times New Roman" w:hAnsi="Verdana" w:cs="Arial"/>
    </w:rPr>
  </w:style>
  <w:style w:type="paragraph" w:styleId="Sisluet1">
    <w:name w:val="toc 1"/>
    <w:next w:val="Normaali"/>
    <w:autoRedefine/>
    <w:uiPriority w:val="39"/>
    <w:rsid w:val="00CD313B"/>
    <w:pPr>
      <w:tabs>
        <w:tab w:val="right" w:leader="dot" w:pos="9741"/>
      </w:tabs>
      <w:spacing w:before="240" w:after="120"/>
      <w:ind w:left="567" w:hanging="567"/>
    </w:pPr>
    <w:rPr>
      <w:rFonts w:asciiTheme="majorHAnsi" w:eastAsiaTheme="majorEastAsia" w:hAnsiTheme="majorHAnsi" w:cstheme="majorHAnsi"/>
      <w:b/>
      <w:sz w:val="20"/>
      <w:szCs w:val="20"/>
    </w:rPr>
  </w:style>
  <w:style w:type="paragraph" w:styleId="Sisluet2">
    <w:name w:val="toc 2"/>
    <w:next w:val="Normaali"/>
    <w:autoRedefine/>
    <w:uiPriority w:val="39"/>
    <w:rsid w:val="00CD313B"/>
    <w:pPr>
      <w:tabs>
        <w:tab w:val="right" w:leader="dot" w:pos="9741"/>
      </w:tabs>
      <w:spacing w:before="120"/>
      <w:ind w:left="1418" w:hanging="851"/>
    </w:pPr>
    <w:rPr>
      <w:rFonts w:asciiTheme="majorHAnsi" w:eastAsiaTheme="majorEastAsia" w:hAnsiTheme="majorHAnsi" w:cstheme="majorBidi"/>
      <w:bCs/>
      <w:iCs/>
      <w:sz w:val="20"/>
      <w:szCs w:val="20"/>
    </w:rPr>
  </w:style>
  <w:style w:type="paragraph" w:styleId="Sisluet3">
    <w:name w:val="toc 3"/>
    <w:next w:val="Normaali"/>
    <w:autoRedefine/>
    <w:uiPriority w:val="39"/>
    <w:rsid w:val="00CD313B"/>
    <w:pPr>
      <w:tabs>
        <w:tab w:val="right" w:leader="dot" w:pos="9741"/>
      </w:tabs>
      <w:ind w:left="2552" w:hanging="1134"/>
    </w:pPr>
    <w:rPr>
      <w:rFonts w:asciiTheme="majorHAnsi" w:eastAsiaTheme="majorEastAsia" w:hAnsiTheme="majorHAnsi" w:cstheme="majorBidi"/>
      <w:bCs/>
      <w:sz w:val="20"/>
      <w:szCs w:val="20"/>
    </w:rPr>
  </w:style>
  <w:style w:type="paragraph" w:styleId="Sisluet4">
    <w:name w:val="toc 4"/>
    <w:basedOn w:val="Normaali"/>
    <w:next w:val="Normaali"/>
    <w:autoRedefine/>
    <w:uiPriority w:val="39"/>
    <w:rsid w:val="009729AC"/>
    <w:pPr>
      <w:ind w:left="660"/>
    </w:pPr>
    <w:rPr>
      <w:szCs w:val="20"/>
    </w:rPr>
  </w:style>
  <w:style w:type="paragraph" w:styleId="Sisluet5">
    <w:name w:val="toc 5"/>
    <w:basedOn w:val="Normaali"/>
    <w:next w:val="Normaali"/>
    <w:autoRedefine/>
    <w:uiPriority w:val="39"/>
    <w:rsid w:val="009729AC"/>
    <w:pPr>
      <w:ind w:left="880"/>
    </w:pPr>
    <w:rPr>
      <w:szCs w:val="20"/>
    </w:rPr>
  </w:style>
  <w:style w:type="paragraph" w:styleId="Sisluet6">
    <w:name w:val="toc 6"/>
    <w:basedOn w:val="Normaali"/>
    <w:next w:val="Normaali"/>
    <w:autoRedefine/>
    <w:uiPriority w:val="39"/>
    <w:rsid w:val="009729AC"/>
    <w:pPr>
      <w:ind w:left="1100"/>
    </w:pPr>
    <w:rPr>
      <w:szCs w:val="20"/>
    </w:rPr>
  </w:style>
  <w:style w:type="paragraph" w:styleId="Sisluet7">
    <w:name w:val="toc 7"/>
    <w:basedOn w:val="Normaali"/>
    <w:next w:val="Normaali"/>
    <w:autoRedefine/>
    <w:uiPriority w:val="39"/>
    <w:rsid w:val="009729AC"/>
    <w:pPr>
      <w:ind w:left="1320"/>
    </w:pPr>
    <w:rPr>
      <w:szCs w:val="20"/>
    </w:rPr>
  </w:style>
  <w:style w:type="paragraph" w:styleId="Sisluet8">
    <w:name w:val="toc 8"/>
    <w:basedOn w:val="Normaali"/>
    <w:next w:val="Normaali"/>
    <w:autoRedefine/>
    <w:uiPriority w:val="39"/>
    <w:rsid w:val="009729AC"/>
    <w:pPr>
      <w:ind w:left="1540"/>
    </w:pPr>
    <w:rPr>
      <w:szCs w:val="20"/>
    </w:rPr>
  </w:style>
  <w:style w:type="paragraph" w:styleId="Sisluet9">
    <w:name w:val="toc 9"/>
    <w:basedOn w:val="Normaali"/>
    <w:next w:val="Normaali"/>
    <w:autoRedefine/>
    <w:uiPriority w:val="39"/>
    <w:rsid w:val="009729AC"/>
    <w:pPr>
      <w:ind w:left="1760"/>
    </w:pPr>
    <w:rPr>
      <w:szCs w:val="20"/>
    </w:rPr>
  </w:style>
  <w:style w:type="table" w:customStyle="1" w:styleId="Traficomtaulukko">
    <w:name w:val="Traficom taulukko"/>
    <w:basedOn w:val="Normaalitaulukko"/>
    <w:uiPriority w:val="99"/>
    <w:qFormat/>
    <w:rsid w:val="002E6377"/>
    <w:tblPr>
      <w:tblBorders>
        <w:top w:val="single" w:sz="4" w:space="0" w:color="002B74" w:themeColor="accent1"/>
        <w:left w:val="single" w:sz="4" w:space="0" w:color="002B74" w:themeColor="accent1"/>
        <w:bottom w:val="single" w:sz="4" w:space="0" w:color="002B74" w:themeColor="accent1"/>
        <w:right w:val="single" w:sz="4" w:space="0" w:color="002B74" w:themeColor="accent1"/>
        <w:insideH w:val="single" w:sz="4" w:space="0" w:color="002B74" w:themeColor="accent1"/>
        <w:insideV w:val="single" w:sz="4" w:space="0" w:color="002B74" w:themeColor="accent1"/>
      </w:tblBorders>
    </w:tblPr>
    <w:tcPr>
      <w:shd w:val="clear" w:color="auto" w:fill="auto"/>
    </w:tcPr>
    <w:tblStylePr w:type="firstRow">
      <w:rPr>
        <w:b/>
        <w:color w:val="FFFFFF" w:themeColor="background1"/>
      </w:rPr>
      <w:tblPr/>
      <w:tcPr>
        <w:shd w:val="clear" w:color="auto" w:fill="002B74" w:themeFill="accent1"/>
      </w:tcPr>
    </w:tblStylePr>
  </w:style>
  <w:style w:type="paragraph" w:styleId="Kuvaotsikko">
    <w:name w:val="caption"/>
    <w:basedOn w:val="Normaali"/>
    <w:next w:val="Normaali"/>
    <w:uiPriority w:val="35"/>
    <w:unhideWhenUsed/>
    <w:qFormat/>
    <w:rsid w:val="00F5251F"/>
    <w:pPr>
      <w:spacing w:after="200"/>
    </w:pPr>
    <w:rPr>
      <w:i/>
      <w:iCs/>
      <w:color w:val="002B74" w:themeColor="text2"/>
      <w:sz w:val="18"/>
      <w:szCs w:val="18"/>
    </w:rPr>
  </w:style>
  <w:style w:type="character" w:styleId="Kommentinviite">
    <w:name w:val="annotation reference"/>
    <w:basedOn w:val="Kappaleenoletusfontti"/>
    <w:uiPriority w:val="99"/>
    <w:semiHidden/>
    <w:unhideWhenUsed/>
    <w:rsid w:val="0074732A"/>
    <w:rPr>
      <w:sz w:val="16"/>
      <w:szCs w:val="16"/>
    </w:rPr>
  </w:style>
  <w:style w:type="paragraph" w:styleId="Kommentinteksti">
    <w:name w:val="annotation text"/>
    <w:basedOn w:val="Normaali"/>
    <w:link w:val="KommentintekstiChar"/>
    <w:uiPriority w:val="99"/>
    <w:semiHidden/>
    <w:unhideWhenUsed/>
    <w:rsid w:val="0074732A"/>
    <w:rPr>
      <w:szCs w:val="20"/>
    </w:rPr>
  </w:style>
  <w:style w:type="character" w:customStyle="1" w:styleId="KommentintekstiChar">
    <w:name w:val="Kommentin teksti Char"/>
    <w:basedOn w:val="Kappaleenoletusfontti"/>
    <w:link w:val="Kommentinteksti"/>
    <w:uiPriority w:val="99"/>
    <w:semiHidden/>
    <w:rsid w:val="0074732A"/>
    <w:rPr>
      <w:sz w:val="20"/>
      <w:szCs w:val="20"/>
    </w:rPr>
  </w:style>
  <w:style w:type="paragraph" w:styleId="Kommentinotsikko">
    <w:name w:val="annotation subject"/>
    <w:basedOn w:val="Kommentinteksti"/>
    <w:next w:val="Kommentinteksti"/>
    <w:link w:val="KommentinotsikkoChar"/>
    <w:uiPriority w:val="99"/>
    <w:semiHidden/>
    <w:unhideWhenUsed/>
    <w:rsid w:val="0074732A"/>
    <w:rPr>
      <w:b/>
      <w:bCs/>
    </w:rPr>
  </w:style>
  <w:style w:type="character" w:customStyle="1" w:styleId="KommentinotsikkoChar">
    <w:name w:val="Kommentin otsikko Char"/>
    <w:basedOn w:val="KommentintekstiChar"/>
    <w:link w:val="Kommentinotsikko"/>
    <w:uiPriority w:val="99"/>
    <w:semiHidden/>
    <w:rsid w:val="0074732A"/>
    <w:rPr>
      <w:b/>
      <w:bCs/>
      <w:sz w:val="20"/>
      <w:szCs w:val="20"/>
    </w:rPr>
  </w:style>
  <w:style w:type="paragraph" w:styleId="Muutos">
    <w:name w:val="Revision"/>
    <w:hidden/>
    <w:uiPriority w:val="99"/>
    <w:semiHidden/>
    <w:rsid w:val="009C729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raficom\WorkgroupTemplates\A)%20Peruspohjat\C%20Lausunto%201%20FI.dotx" TargetMode="External"/></Relationships>
</file>

<file path=word/theme/theme1.xml><?xml version="1.0" encoding="utf-8"?>
<a:theme xmlns:a="http://schemas.openxmlformats.org/drawingml/2006/main" name="Traficom">
  <a:themeElements>
    <a:clrScheme name="Traficom 22">
      <a:dk1>
        <a:srgbClr val="000000"/>
      </a:dk1>
      <a:lt1>
        <a:srgbClr val="FFFFFF"/>
      </a:lt1>
      <a:dk2>
        <a:srgbClr val="002B74"/>
      </a:dk2>
      <a:lt2>
        <a:srgbClr val="0058B1"/>
      </a:lt2>
      <a:accent1>
        <a:srgbClr val="002B74"/>
      </a:accent1>
      <a:accent2>
        <a:srgbClr val="EC017F"/>
      </a:accent2>
      <a:accent3>
        <a:srgbClr val="669BD0"/>
      </a:accent3>
      <a:accent4>
        <a:srgbClr val="81D600"/>
      </a:accent4>
      <a:accent5>
        <a:srgbClr val="00AEB2"/>
      </a:accent5>
      <a:accent6>
        <a:srgbClr val="0058B1"/>
      </a:accent6>
      <a:hlink>
        <a:srgbClr val="00AEB2"/>
      </a:hlink>
      <a:folHlink>
        <a:srgbClr val="820083"/>
      </a:folHlink>
    </a:clrScheme>
    <a:fontScheme name="Mukautettu 1">
      <a:majorFont>
        <a:latin typeface="Verdana"/>
        <a:ea typeface=""/>
        <a:cs typeface=""/>
      </a:majorFont>
      <a:minorFont>
        <a:latin typeface="Verdana"/>
        <a:ea typeface=""/>
        <a:cs typeface=""/>
      </a:minorFont>
    </a:fontScheme>
    <a:fmtScheme name="Office-te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solidFill>
            <a:schemeClr val="accent1"/>
          </a:solidFill>
        </a:ln>
      </a:spPr>
      <a:bodyPr rtlCol="0" anchor="t"/>
      <a:lstStyle/>
      <a:style>
        <a:lnRef idx="2">
          <a:schemeClr val="accent1">
            <a:shade val="50000"/>
          </a:schemeClr>
        </a:lnRef>
        <a:fillRef idx="1">
          <a:schemeClr val="accent1"/>
        </a:fillRef>
        <a:effectRef idx="0">
          <a:schemeClr val="accent1"/>
        </a:effectRef>
        <a:fontRef idx="minor">
          <a:schemeClr val="lt1"/>
        </a:fontRef>
      </a:style>
    </a:spDef>
    <a:lnDef>
      <a:spPr>
        <a:ln w="31750">
          <a:solidFill>
            <a:srgbClr val="00AEB2"/>
          </a:solidFill>
        </a:ln>
      </a:spPr>
      <a:bodyPr/>
      <a:lstStyle/>
      <a:style>
        <a:lnRef idx="1">
          <a:schemeClr val="accent1"/>
        </a:lnRef>
        <a:fillRef idx="0">
          <a:schemeClr val="accent1"/>
        </a:fillRef>
        <a:effectRef idx="0">
          <a:schemeClr val="accent1"/>
        </a:effectRef>
        <a:fontRef idx="minor">
          <a:schemeClr val="tx1"/>
        </a:fontRef>
      </a:style>
    </a:lnDef>
    <a:txDef>
      <a:spPr>
        <a:solidFill>
          <a:srgbClr val="00AEB2"/>
        </a:solidFill>
      </a:spPr>
      <a:bodyPr wrap="none" rtlCol="0">
        <a:spAutoFit/>
      </a:bodyPr>
      <a:lstStyle>
        <a:defPPr algn="l">
          <a:defRPr dirty="0" err="1" smtClean="0">
            <a:solidFill>
              <a:schemeClr val="bg1"/>
            </a:solidFill>
          </a:defRPr>
        </a:defPPr>
      </a:lstStyle>
    </a:txDef>
  </a:objectDefaults>
  <a:extraClrSchemeLst/>
  <a:custClrLst>
    <a:custClr name="Traficom 1">
      <a:srgbClr val="00AEB2"/>
    </a:custClr>
    <a:custClr name="Traficom 2">
      <a:srgbClr val="018285"/>
    </a:custClr>
    <a:custClr name="Traficom 3">
      <a:srgbClr val="0058B1"/>
    </a:custClr>
    <a:custClr name="Traficom 4">
      <a:srgbClr val="159637"/>
    </a:custClr>
    <a:custClr name="Traficom 5">
      <a:srgbClr val="81D600"/>
    </a:custClr>
    <a:custClr name="Traficom 6">
      <a:srgbClr val="009EFF"/>
    </a:custClr>
    <a:custClr name="Traficom 7">
      <a:srgbClr val="0066CC"/>
    </a:custClr>
    <a:custClr name="Traficom 8">
      <a:srgbClr val="EC017F"/>
    </a:custClr>
    <a:custClr name="Traficom 9">
      <a:srgbClr val="E90008"/>
    </a:custClr>
    <a:custClr name="Traficom 10">
      <a:srgbClr val="FF7D00"/>
    </a:custClr>
    <a:custClr name="Traficom 11">
      <a:srgbClr val="FFD400"/>
    </a:custClr>
    <a:custClr name="Traficom 12">
      <a:srgbClr val="056805"/>
    </a:custClr>
    <a:custClr name="Traficom 13">
      <a:srgbClr val="026273"/>
    </a:custClr>
    <a:custClr name="Traficom 14">
      <a:srgbClr val="002C74"/>
    </a:custClr>
    <a:custClr name="Traficom 15">
      <a:srgbClr val="820084"/>
    </a:custClr>
    <a:custClr name="Traficom 16">
      <a:srgbClr val="9E003B"/>
    </a:custClr>
  </a:custClrLst>
  <a:extLst>
    <a:ext uri="{05A4C25C-085E-4340-85A3-A5531E510DB2}">
      <thm15:themeFamily xmlns:thm15="http://schemas.microsoft.com/office/thememl/2012/main" name="Traficom" id="{76EC8A14-2307-4287-9843-1668F8215E47}" vid="{B002C68D-12CF-4CCB-A622-FDE0DB82E9E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3AB1AC-3FE3-4946-AC29-9F73FBD155DD}">
  <ds:schemaRefs>
    <ds:schemaRef ds:uri="Microsoft.SharePoint.Taxonomy.ContentTypeSync"/>
  </ds:schemaRefs>
</ds:datastoreItem>
</file>

<file path=customXml/itemProps3.xml><?xml version="1.0" encoding="utf-8"?>
<ds:datastoreItem xmlns:ds="http://schemas.openxmlformats.org/officeDocument/2006/customXml" ds:itemID="{106AE830-6EF7-4FFA-8BD3-8564AF91C1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 Lausunto 1 FI.dotx</Template>
  <TotalTime>0</TotalTime>
  <Pages>6</Pages>
  <Words>1643</Words>
  <Characters>13310</Characters>
  <Application>Microsoft Office Word</Application>
  <DocSecurity>0</DocSecurity>
  <Lines>110</Lines>
  <Paragraphs>29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2023-10-12T05:50:00Z</dcterms:created>
  <dcterms:modified xsi:type="dcterms:W3CDTF">2023-11-07T09:59:00Z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82ff796f8549e7b48b0e43c70930a6">
    <vt:lpwstr>Suomi|88d960e6-e76c-48a2-b607-f1600797b640</vt:lpwstr>
  </property>
  <property fmtid="{D5CDD505-2E9C-101B-9397-08002B2CF9AE}" pid="3" name="SaTyDocumentQuartal">
    <vt:lpwstr/>
  </property>
  <property fmtid="{D5CDD505-2E9C-101B-9397-08002B2CF9AE}" pid="4" name="ContentTypeId">
    <vt:lpwstr>0x0101000EC482A17D284AEE8290D09FC0D2D6D200C589622A2BFC49F09A63EB8A04006250008385406997B0594A97759F85F275BB7F</vt:lpwstr>
  </property>
  <property fmtid="{D5CDD505-2E9C-101B-9397-08002B2CF9AE}" pid="5" name="eb88049090c34051aae092bae2056bc2">
    <vt:lpwstr/>
  </property>
  <property fmtid="{D5CDD505-2E9C-101B-9397-08002B2CF9AE}" pid="6" name="SaTyTosKeywords">
    <vt:lpwstr/>
  </property>
  <property fmtid="{D5CDD505-2E9C-101B-9397-08002B2CF9AE}" pid="7" name="SaTyDocumentLanguage">
    <vt:lpwstr>1;#Suomi|88d960e6-e76c-48a2-b607-f1600797b640</vt:lpwstr>
  </property>
  <property fmtid="{D5CDD505-2E9C-101B-9397-08002B2CF9AE}" pid="8" name="SaTyDocumentOtherTag">
    <vt:lpwstr/>
  </property>
  <property fmtid="{D5CDD505-2E9C-101B-9397-08002B2CF9AE}" pid="9" name="SaTyDocumentOrganisation">
    <vt:lpwstr/>
  </property>
  <property fmtid="{D5CDD505-2E9C-101B-9397-08002B2CF9AE}" pid="10" name="SaTyDocumentMonth">
    <vt:lpwstr/>
  </property>
</Properties>
</file>