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B4E" w:rsidRPr="006E4C26" w:rsidRDefault="00177B4E" w:rsidP="00B72BB2">
      <w:pPr>
        <w:pStyle w:val="LLEsityksennimi"/>
        <w:spacing w:line="240" w:lineRule="auto"/>
        <w:jc w:val="left"/>
      </w:pPr>
      <w:r w:rsidRPr="006E4C26">
        <w:tab/>
      </w:r>
      <w:r w:rsidRPr="006E4C26">
        <w:tab/>
      </w:r>
      <w:r w:rsidRPr="006E4C26">
        <w:tab/>
      </w:r>
      <w:r w:rsidRPr="006E4C26">
        <w:tab/>
        <w:t xml:space="preserve">Luonnos </w:t>
      </w:r>
      <w:r w:rsidR="00ED11F6">
        <w:t>12</w:t>
      </w:r>
      <w:r w:rsidR="00C6646A" w:rsidRPr="006E4C26">
        <w:t>.</w:t>
      </w:r>
      <w:r w:rsidR="00FF42F7" w:rsidRPr="006E4C26">
        <w:t>9</w:t>
      </w:r>
      <w:r w:rsidR="00C6646A" w:rsidRPr="006E4C26">
        <w:t>.</w:t>
      </w:r>
      <w:r w:rsidR="0068147C" w:rsidRPr="006E4C26">
        <w:t>2019</w:t>
      </w:r>
      <w:r w:rsidR="00B46DF4" w:rsidRPr="006E4C26">
        <w:t xml:space="preserve"> </w:t>
      </w:r>
    </w:p>
    <w:p w:rsidR="00F743F0" w:rsidRPr="006E4C26" w:rsidRDefault="00F743F0" w:rsidP="00B72BB2">
      <w:pPr>
        <w:pStyle w:val="LLEsityksennimi"/>
        <w:spacing w:line="240" w:lineRule="auto"/>
        <w:jc w:val="left"/>
        <w:rPr>
          <w:sz w:val="24"/>
        </w:rPr>
      </w:pPr>
      <w:r w:rsidRPr="006E4C26">
        <w:rPr>
          <w:sz w:val="24"/>
        </w:rPr>
        <w:t xml:space="preserve">Hallituksen esitys eduskunnalle </w:t>
      </w:r>
      <w:r w:rsidR="000D4BFA" w:rsidRPr="006E4C26">
        <w:rPr>
          <w:sz w:val="24"/>
        </w:rPr>
        <w:t>laei</w:t>
      </w:r>
      <w:r w:rsidR="009B2BA6" w:rsidRPr="006E4C26">
        <w:rPr>
          <w:sz w:val="24"/>
        </w:rPr>
        <w:t xml:space="preserve">ksi </w:t>
      </w:r>
      <w:r w:rsidR="00524481" w:rsidRPr="006E4C26">
        <w:rPr>
          <w:sz w:val="24"/>
        </w:rPr>
        <w:t>nestemäisten polttoaineiden valmisteverosta annetun lain liitteen verotaulukon ja valmisteverotuslain 5 §:n muuttamisesta</w:t>
      </w:r>
    </w:p>
    <w:p w:rsidR="00F743F0" w:rsidRPr="006E4C26" w:rsidRDefault="00F743F0" w:rsidP="00B72BB2">
      <w:pPr>
        <w:pStyle w:val="LLPasiallinensislt"/>
        <w:spacing w:line="240" w:lineRule="auto"/>
        <w:rPr>
          <w:sz w:val="24"/>
        </w:rPr>
      </w:pPr>
      <w:bookmarkStart w:id="0" w:name="_Toc19201140"/>
      <w:r w:rsidRPr="006E4C26">
        <w:rPr>
          <w:sz w:val="24"/>
        </w:rPr>
        <w:t>esityksen pääasiallinen sisältö</w:t>
      </w:r>
      <w:bookmarkEnd w:id="0"/>
    </w:p>
    <w:p w:rsidR="00641BA2" w:rsidRPr="006E4C26" w:rsidRDefault="00A63FFB" w:rsidP="00B72BB2">
      <w:pPr>
        <w:pStyle w:val="LLPerustelujenkappalejako"/>
        <w:spacing w:line="240" w:lineRule="auto"/>
        <w:jc w:val="left"/>
        <w:rPr>
          <w:sz w:val="24"/>
        </w:rPr>
      </w:pPr>
      <w:r w:rsidRPr="006E4C26">
        <w:rPr>
          <w:sz w:val="24"/>
        </w:rPr>
        <w:t>Esityksessä ehdotetaan muutett</w:t>
      </w:r>
      <w:r w:rsidR="004D4CB5">
        <w:rPr>
          <w:sz w:val="24"/>
        </w:rPr>
        <w:t>avi</w:t>
      </w:r>
      <w:r w:rsidRPr="006E4C26">
        <w:rPr>
          <w:sz w:val="24"/>
        </w:rPr>
        <w:t>ksi nestemäisten polttoaineiden valmisteverosta annet</w:t>
      </w:r>
      <w:r w:rsidR="00FB2F6C" w:rsidRPr="006E4C26">
        <w:rPr>
          <w:sz w:val="24"/>
        </w:rPr>
        <w:t>tua</w:t>
      </w:r>
      <w:r w:rsidR="00524481" w:rsidRPr="006E4C26">
        <w:rPr>
          <w:sz w:val="24"/>
        </w:rPr>
        <w:t xml:space="preserve"> la</w:t>
      </w:r>
      <w:r w:rsidR="00FB2F6C" w:rsidRPr="006E4C26">
        <w:rPr>
          <w:sz w:val="24"/>
        </w:rPr>
        <w:t>kia</w:t>
      </w:r>
      <w:r w:rsidR="007E0128" w:rsidRPr="006E4C26">
        <w:rPr>
          <w:sz w:val="24"/>
        </w:rPr>
        <w:t xml:space="preserve"> ja valmisteverotuslakia</w:t>
      </w:r>
      <w:r w:rsidR="00524481" w:rsidRPr="006E4C26">
        <w:rPr>
          <w:sz w:val="24"/>
        </w:rPr>
        <w:t>.</w:t>
      </w:r>
      <w:r w:rsidRPr="006E4C26">
        <w:rPr>
          <w:sz w:val="24"/>
        </w:rPr>
        <w:t xml:space="preserve"> </w:t>
      </w:r>
    </w:p>
    <w:p w:rsidR="00641BA2" w:rsidRPr="006E4C26" w:rsidRDefault="00641BA2" w:rsidP="00322C1C">
      <w:pPr>
        <w:pStyle w:val="LLPerustelujenkappalejako"/>
        <w:spacing w:line="240" w:lineRule="auto"/>
        <w:jc w:val="left"/>
        <w:rPr>
          <w:sz w:val="24"/>
        </w:rPr>
      </w:pPr>
      <w:r w:rsidRPr="006E4C26">
        <w:rPr>
          <w:sz w:val="24"/>
        </w:rPr>
        <w:t xml:space="preserve">Nestemäisten polttoaineiden valmisteverosta annetun lain liitteen verotaulukkoa muutettaisiin siten, että liikennepolttonesteiden kuten moottoribensiinin, dieselöljyn ja niitä korvaavien biopolttoaineiden </w:t>
      </w:r>
      <w:r w:rsidR="00BF3DE1" w:rsidRPr="006E4C26">
        <w:rPr>
          <w:sz w:val="24"/>
        </w:rPr>
        <w:t>valmiste</w:t>
      </w:r>
      <w:r w:rsidRPr="006E4C26">
        <w:rPr>
          <w:sz w:val="24"/>
        </w:rPr>
        <w:t>vero</w:t>
      </w:r>
      <w:r w:rsidR="00BF3DE1" w:rsidRPr="006E4C26">
        <w:rPr>
          <w:sz w:val="24"/>
        </w:rPr>
        <w:t>a</w:t>
      </w:r>
      <w:r w:rsidRPr="006E4C26">
        <w:rPr>
          <w:sz w:val="24"/>
        </w:rPr>
        <w:t xml:space="preserve"> korotettaisiin. Liikennepolttoaineiden energiasisältövero</w:t>
      </w:r>
      <w:r w:rsidR="00AF10A7" w:rsidRPr="006E4C26">
        <w:rPr>
          <w:sz w:val="24"/>
        </w:rPr>
        <w:t>a korotettaisiin 0,</w:t>
      </w:r>
      <w:r w:rsidR="008B4B3C" w:rsidRPr="006E4C26">
        <w:rPr>
          <w:sz w:val="24"/>
        </w:rPr>
        <w:t>0</w:t>
      </w:r>
      <w:r w:rsidR="00B04E54" w:rsidRPr="006E4C26">
        <w:rPr>
          <w:sz w:val="24"/>
        </w:rPr>
        <w:t>0</w:t>
      </w:r>
      <w:r w:rsidR="008B4B3C" w:rsidRPr="006E4C26">
        <w:rPr>
          <w:sz w:val="24"/>
        </w:rPr>
        <w:t>16</w:t>
      </w:r>
      <w:r w:rsidR="006B089D" w:rsidRPr="006E4C26">
        <w:rPr>
          <w:sz w:val="24"/>
        </w:rPr>
        <w:t>7</w:t>
      </w:r>
      <w:r w:rsidR="008B4B3C" w:rsidRPr="006E4C26">
        <w:rPr>
          <w:sz w:val="24"/>
        </w:rPr>
        <w:t xml:space="preserve"> </w:t>
      </w:r>
      <w:r w:rsidR="00AF10A7" w:rsidRPr="006E4C26">
        <w:rPr>
          <w:sz w:val="24"/>
        </w:rPr>
        <w:t>euroa megajoulelta</w:t>
      </w:r>
      <w:r w:rsidR="008B4B3C" w:rsidRPr="006E4C26">
        <w:rPr>
          <w:sz w:val="24"/>
        </w:rPr>
        <w:t xml:space="preserve"> ja hiilidioksidiveron </w:t>
      </w:r>
      <w:r w:rsidR="0023464A" w:rsidRPr="006E4C26">
        <w:rPr>
          <w:sz w:val="24"/>
        </w:rPr>
        <w:t xml:space="preserve">laskentaperusteita </w:t>
      </w:r>
      <w:r w:rsidR="008B4B3C" w:rsidRPr="006E4C26">
        <w:rPr>
          <w:sz w:val="24"/>
        </w:rPr>
        <w:t>päivitettäisiin vastaamaan vuoden 2019 alusta työkone- ja lämmityspolttoaineiden veromuutosten yhteydessä käyttöönotettuja uusia elinkaaripäästöarvoja</w:t>
      </w:r>
      <w:r w:rsidRPr="006E4C26">
        <w:rPr>
          <w:sz w:val="24"/>
        </w:rPr>
        <w:t xml:space="preserve">. Moottoribensiinin vero nousisi </w:t>
      </w:r>
      <w:r w:rsidR="008B4B3C" w:rsidRPr="006E4C26">
        <w:rPr>
          <w:sz w:val="24"/>
        </w:rPr>
        <w:t>5,</w:t>
      </w:r>
      <w:r w:rsidR="006B089D" w:rsidRPr="006E4C26">
        <w:rPr>
          <w:sz w:val="24"/>
        </w:rPr>
        <w:t xml:space="preserve">27 </w:t>
      </w:r>
      <w:r w:rsidRPr="006E4C26">
        <w:rPr>
          <w:sz w:val="24"/>
        </w:rPr>
        <w:t xml:space="preserve">senttiä litralta ja dieselöljyn </w:t>
      </w:r>
      <w:r w:rsidR="00535B71" w:rsidRPr="006E4C26">
        <w:rPr>
          <w:sz w:val="24"/>
        </w:rPr>
        <w:t>5,</w:t>
      </w:r>
      <w:r w:rsidR="006B089D" w:rsidRPr="006E4C26">
        <w:rPr>
          <w:sz w:val="24"/>
        </w:rPr>
        <w:t xml:space="preserve">89 </w:t>
      </w:r>
      <w:r w:rsidRPr="006E4C26">
        <w:rPr>
          <w:sz w:val="24"/>
        </w:rPr>
        <w:t xml:space="preserve">senttiä litralta. </w:t>
      </w:r>
      <w:r w:rsidR="00524481" w:rsidRPr="006E4C26">
        <w:rPr>
          <w:sz w:val="24"/>
        </w:rPr>
        <w:t>Muutos lisä</w:t>
      </w:r>
      <w:r w:rsidR="00FB2F6C" w:rsidRPr="006E4C26">
        <w:rPr>
          <w:sz w:val="24"/>
        </w:rPr>
        <w:t>i</w:t>
      </w:r>
      <w:r w:rsidR="00524481" w:rsidRPr="006E4C26">
        <w:rPr>
          <w:sz w:val="24"/>
        </w:rPr>
        <w:t xml:space="preserve">si </w:t>
      </w:r>
      <w:r w:rsidR="006E3F19" w:rsidRPr="006E4C26">
        <w:rPr>
          <w:sz w:val="24"/>
        </w:rPr>
        <w:t xml:space="preserve">liikennepolttoaineista saatavia </w:t>
      </w:r>
      <w:r w:rsidR="00FB2F6C" w:rsidRPr="006E4C26">
        <w:rPr>
          <w:sz w:val="24"/>
        </w:rPr>
        <w:t xml:space="preserve">vuotuisia </w:t>
      </w:r>
      <w:r w:rsidR="00AF3CF2" w:rsidRPr="006E4C26">
        <w:rPr>
          <w:sz w:val="24"/>
        </w:rPr>
        <w:t>verotu</w:t>
      </w:r>
      <w:r w:rsidR="00FB2F6C" w:rsidRPr="006E4C26">
        <w:rPr>
          <w:sz w:val="24"/>
        </w:rPr>
        <w:t>loja</w:t>
      </w:r>
      <w:r w:rsidR="00AF3CF2" w:rsidRPr="006E4C26">
        <w:rPr>
          <w:sz w:val="24"/>
        </w:rPr>
        <w:t xml:space="preserve"> 250 miljoonalla eurolla</w:t>
      </w:r>
      <w:r w:rsidR="00B04E54" w:rsidRPr="006E4C26">
        <w:rPr>
          <w:sz w:val="24"/>
        </w:rPr>
        <w:t xml:space="preserve">. </w:t>
      </w:r>
    </w:p>
    <w:p w:rsidR="006E3F19" w:rsidRPr="006E4C26" w:rsidRDefault="00FB2F6C" w:rsidP="00322C1C">
      <w:pPr>
        <w:pStyle w:val="LLPerustelujenkappalejako"/>
        <w:spacing w:line="240" w:lineRule="auto"/>
        <w:jc w:val="left"/>
        <w:rPr>
          <w:sz w:val="24"/>
        </w:rPr>
      </w:pPr>
      <w:r w:rsidRPr="006E4C26">
        <w:rPr>
          <w:sz w:val="24"/>
        </w:rPr>
        <w:t>V</w:t>
      </w:r>
      <w:r w:rsidR="009B2BA6" w:rsidRPr="006E4C26">
        <w:rPr>
          <w:sz w:val="24"/>
        </w:rPr>
        <w:t>almisteverotuslak</w:t>
      </w:r>
      <w:r w:rsidR="000D4BFA" w:rsidRPr="006E4C26">
        <w:rPr>
          <w:sz w:val="24"/>
        </w:rPr>
        <w:t>iin tehtäisiin teknisluonteinen muutos</w:t>
      </w:r>
      <w:r w:rsidR="0023464A" w:rsidRPr="006E4C26">
        <w:rPr>
          <w:sz w:val="24"/>
        </w:rPr>
        <w:t xml:space="preserve">. Sillä </w:t>
      </w:r>
      <w:r w:rsidRPr="006E4C26">
        <w:rPr>
          <w:sz w:val="24"/>
        </w:rPr>
        <w:t>pantaisiin täytäntöön</w:t>
      </w:r>
      <w:r w:rsidR="0023464A" w:rsidRPr="006E4C26">
        <w:rPr>
          <w:sz w:val="24"/>
        </w:rPr>
        <w:t xml:space="preserve"> EU:n lainsäädännön muutos, jolla </w:t>
      </w:r>
      <w:proofErr w:type="spellStart"/>
      <w:r w:rsidR="009B2BA6" w:rsidRPr="006E4C26">
        <w:rPr>
          <w:sz w:val="24"/>
        </w:rPr>
        <w:t>Campione</w:t>
      </w:r>
      <w:proofErr w:type="spellEnd"/>
      <w:r w:rsidR="009B2BA6" w:rsidRPr="006E4C26">
        <w:rPr>
          <w:sz w:val="24"/>
        </w:rPr>
        <w:t xml:space="preserve"> </w:t>
      </w:r>
      <w:proofErr w:type="spellStart"/>
      <w:r w:rsidR="009B2BA6" w:rsidRPr="006E4C26">
        <w:rPr>
          <w:sz w:val="24"/>
        </w:rPr>
        <w:t>d’Italian</w:t>
      </w:r>
      <w:proofErr w:type="spellEnd"/>
      <w:r w:rsidR="009B2BA6" w:rsidRPr="006E4C26">
        <w:rPr>
          <w:sz w:val="24"/>
        </w:rPr>
        <w:t xml:space="preserve"> sekä </w:t>
      </w:r>
      <w:proofErr w:type="spellStart"/>
      <w:r w:rsidR="009B2BA6" w:rsidRPr="006E4C26">
        <w:rPr>
          <w:sz w:val="24"/>
        </w:rPr>
        <w:t>Luganojärven</w:t>
      </w:r>
      <w:proofErr w:type="spellEnd"/>
      <w:r w:rsidR="009B2BA6" w:rsidRPr="006E4C26">
        <w:rPr>
          <w:sz w:val="24"/>
        </w:rPr>
        <w:t xml:space="preserve"> Italialle kuuluvat vesialueet</w:t>
      </w:r>
      <w:r w:rsidR="008A61CC" w:rsidRPr="006E4C26">
        <w:rPr>
          <w:sz w:val="24"/>
        </w:rPr>
        <w:t xml:space="preserve"> </w:t>
      </w:r>
      <w:r w:rsidR="0023464A" w:rsidRPr="006E4C26">
        <w:rPr>
          <w:sz w:val="24"/>
        </w:rPr>
        <w:t xml:space="preserve">on </w:t>
      </w:r>
      <w:r w:rsidR="008A61CC" w:rsidRPr="006E4C26">
        <w:rPr>
          <w:sz w:val="24"/>
        </w:rPr>
        <w:t>siirretty</w:t>
      </w:r>
      <w:r w:rsidR="000D4BFA" w:rsidRPr="006E4C26">
        <w:rPr>
          <w:sz w:val="24"/>
        </w:rPr>
        <w:t xml:space="preserve"> </w:t>
      </w:r>
      <w:r w:rsidR="009B2BA6" w:rsidRPr="006E4C26">
        <w:rPr>
          <w:sz w:val="24"/>
        </w:rPr>
        <w:t>unionin tulli</w:t>
      </w:r>
      <w:r w:rsidR="000D4BFA" w:rsidRPr="006E4C26">
        <w:rPr>
          <w:sz w:val="24"/>
        </w:rPr>
        <w:t>-</w:t>
      </w:r>
      <w:r w:rsidRPr="006E4C26">
        <w:rPr>
          <w:sz w:val="24"/>
        </w:rPr>
        <w:t xml:space="preserve"> </w:t>
      </w:r>
      <w:r w:rsidR="009B2BA6" w:rsidRPr="006E4C26">
        <w:rPr>
          <w:sz w:val="24"/>
        </w:rPr>
        <w:t xml:space="preserve">ja valmisteveroalueeseen. </w:t>
      </w:r>
    </w:p>
    <w:p w:rsidR="00F743F0" w:rsidRPr="006E4C26" w:rsidRDefault="00F743F0" w:rsidP="00B72BB2">
      <w:pPr>
        <w:pStyle w:val="LLPerustelujenkappalejako"/>
        <w:spacing w:line="240" w:lineRule="auto"/>
        <w:jc w:val="left"/>
        <w:rPr>
          <w:sz w:val="24"/>
        </w:rPr>
      </w:pPr>
      <w:r w:rsidRPr="006E4C26">
        <w:rPr>
          <w:sz w:val="24"/>
        </w:rPr>
        <w:t xml:space="preserve">Esitys liittyy valtion vuoden </w:t>
      </w:r>
      <w:r w:rsidR="007917D5" w:rsidRPr="006E4C26">
        <w:rPr>
          <w:sz w:val="24"/>
        </w:rPr>
        <w:t>2020</w:t>
      </w:r>
      <w:r w:rsidRPr="006E4C26">
        <w:rPr>
          <w:sz w:val="24"/>
        </w:rPr>
        <w:t xml:space="preserve"> talousarvioesitykseen ja on tarkoitettu käsiteltäväksi sen yhteydessä.</w:t>
      </w:r>
    </w:p>
    <w:p w:rsidR="00ED5B54" w:rsidRDefault="008A61CC" w:rsidP="00153658">
      <w:pPr>
        <w:pStyle w:val="LLPerustelujenkappalejako"/>
        <w:spacing w:line="240" w:lineRule="auto"/>
        <w:jc w:val="left"/>
        <w:rPr>
          <w:sz w:val="24"/>
        </w:rPr>
      </w:pPr>
      <w:r w:rsidRPr="006E4C26">
        <w:rPr>
          <w:sz w:val="24"/>
        </w:rPr>
        <w:t xml:space="preserve">Nestemäisten polttoaineiden valmisteverosta annetun lain muutos on tarkoitettu tulemaan voimaan 1.8.2020 ja valmisteverotuslain muutos </w:t>
      </w:r>
      <w:r w:rsidR="00F743F0" w:rsidRPr="006E4C26">
        <w:rPr>
          <w:sz w:val="24"/>
        </w:rPr>
        <w:t>1</w:t>
      </w:r>
      <w:r w:rsidR="000D4BFA" w:rsidRPr="006E4C26">
        <w:rPr>
          <w:sz w:val="24"/>
        </w:rPr>
        <w:t>.1.</w:t>
      </w:r>
      <w:r w:rsidR="007917D5" w:rsidRPr="006E4C26">
        <w:rPr>
          <w:sz w:val="24"/>
        </w:rPr>
        <w:t>2020</w:t>
      </w:r>
      <w:r w:rsidR="00630DDB" w:rsidRPr="006E4C26">
        <w:rPr>
          <w:sz w:val="24"/>
        </w:rPr>
        <w:t>.</w:t>
      </w:r>
    </w:p>
    <w:p w:rsidR="00ED5B54" w:rsidRDefault="00ED5B54" w:rsidP="00ED5B54">
      <w:pPr>
        <w:pStyle w:val="LLNormaali"/>
      </w:pPr>
      <w:r>
        <w:br w:type="page"/>
      </w:r>
    </w:p>
    <w:p w:rsidR="00153658" w:rsidRDefault="000026CD" w:rsidP="000026CD">
      <w:pPr>
        <w:pStyle w:val="LLSisllys"/>
      </w:pPr>
      <w:bookmarkStart w:id="1" w:name="_Toc19201141"/>
      <w:r>
        <w:lastRenderedPageBreak/>
        <w:t>Sisällys</w:t>
      </w:r>
      <w:bookmarkEnd w:id="1"/>
    </w:p>
    <w:p w:rsidR="00791715" w:rsidRDefault="000026CD">
      <w:pPr>
        <w:pStyle w:val="Sisluet1"/>
        <w:rPr>
          <w:rFonts w:asciiTheme="minorHAnsi" w:eastAsiaTheme="minorEastAsia" w:hAnsiTheme="minorHAnsi" w:cstheme="minorBidi"/>
          <w:bCs w:val="0"/>
          <w:caps w:val="0"/>
          <w:noProof/>
          <w:szCs w:val="22"/>
          <w:lang w:eastAsia="fi-FI"/>
        </w:rPr>
      </w:pPr>
      <w:r>
        <w:fldChar w:fldCharType="begin"/>
      </w:r>
      <w:r>
        <w:instrText xml:space="preserve"> TOC \o "1-3" \h \z \u </w:instrText>
      </w:r>
      <w:r>
        <w:fldChar w:fldCharType="separate"/>
      </w:r>
      <w:hyperlink w:anchor="_Toc19201140" w:history="1">
        <w:r w:rsidR="00791715" w:rsidRPr="00450667">
          <w:rPr>
            <w:rStyle w:val="Hyperlinkki"/>
            <w:noProof/>
          </w:rPr>
          <w:t>esityksen pääasiallinen sisältö</w:t>
        </w:r>
        <w:r w:rsidR="00791715">
          <w:rPr>
            <w:noProof/>
            <w:webHidden/>
          </w:rPr>
          <w:tab/>
        </w:r>
        <w:r w:rsidR="00791715">
          <w:rPr>
            <w:noProof/>
            <w:webHidden/>
          </w:rPr>
          <w:fldChar w:fldCharType="begin"/>
        </w:r>
        <w:r w:rsidR="00791715">
          <w:rPr>
            <w:noProof/>
            <w:webHidden/>
          </w:rPr>
          <w:instrText xml:space="preserve"> PAGEREF _Toc19201140 \h </w:instrText>
        </w:r>
        <w:r w:rsidR="00791715">
          <w:rPr>
            <w:noProof/>
            <w:webHidden/>
          </w:rPr>
        </w:r>
        <w:r w:rsidR="00791715">
          <w:rPr>
            <w:noProof/>
            <w:webHidden/>
          </w:rPr>
          <w:fldChar w:fldCharType="separate"/>
        </w:r>
        <w:r w:rsidR="00791715">
          <w:rPr>
            <w:noProof/>
            <w:webHidden/>
          </w:rPr>
          <w:t>1</w:t>
        </w:r>
        <w:r w:rsidR="00791715">
          <w:rPr>
            <w:noProof/>
            <w:webHidden/>
          </w:rPr>
          <w:fldChar w:fldCharType="end"/>
        </w:r>
      </w:hyperlink>
    </w:p>
    <w:p w:rsidR="00791715" w:rsidRDefault="00791715">
      <w:pPr>
        <w:pStyle w:val="Sisluet1"/>
        <w:rPr>
          <w:rFonts w:asciiTheme="minorHAnsi" w:eastAsiaTheme="minorEastAsia" w:hAnsiTheme="minorHAnsi" w:cstheme="minorBidi"/>
          <w:bCs w:val="0"/>
          <w:caps w:val="0"/>
          <w:noProof/>
          <w:szCs w:val="22"/>
          <w:lang w:eastAsia="fi-FI"/>
        </w:rPr>
      </w:pPr>
      <w:hyperlink w:anchor="_Toc19201141" w:history="1">
        <w:r w:rsidRPr="00450667">
          <w:rPr>
            <w:rStyle w:val="Hyperlinkki"/>
            <w:noProof/>
          </w:rPr>
          <w:t>Sisällys</w:t>
        </w:r>
        <w:r>
          <w:rPr>
            <w:noProof/>
            <w:webHidden/>
          </w:rPr>
          <w:tab/>
        </w:r>
        <w:r>
          <w:rPr>
            <w:noProof/>
            <w:webHidden/>
          </w:rPr>
          <w:fldChar w:fldCharType="begin"/>
        </w:r>
        <w:r>
          <w:rPr>
            <w:noProof/>
            <w:webHidden/>
          </w:rPr>
          <w:instrText xml:space="preserve"> PAGEREF _Toc19201141 \h </w:instrText>
        </w:r>
        <w:r>
          <w:rPr>
            <w:noProof/>
            <w:webHidden/>
          </w:rPr>
        </w:r>
        <w:r>
          <w:rPr>
            <w:noProof/>
            <w:webHidden/>
          </w:rPr>
          <w:fldChar w:fldCharType="separate"/>
        </w:r>
        <w:r>
          <w:rPr>
            <w:noProof/>
            <w:webHidden/>
          </w:rPr>
          <w:t>2</w:t>
        </w:r>
        <w:r>
          <w:rPr>
            <w:noProof/>
            <w:webHidden/>
          </w:rPr>
          <w:fldChar w:fldCharType="end"/>
        </w:r>
      </w:hyperlink>
    </w:p>
    <w:p w:rsidR="00791715" w:rsidRDefault="00791715">
      <w:pPr>
        <w:pStyle w:val="Sisluet1"/>
        <w:rPr>
          <w:rFonts w:asciiTheme="minorHAnsi" w:eastAsiaTheme="minorEastAsia" w:hAnsiTheme="minorHAnsi" w:cstheme="minorBidi"/>
          <w:bCs w:val="0"/>
          <w:caps w:val="0"/>
          <w:noProof/>
          <w:szCs w:val="22"/>
          <w:lang w:eastAsia="fi-FI"/>
        </w:rPr>
      </w:pPr>
      <w:hyperlink w:anchor="_Toc19201142" w:history="1">
        <w:r w:rsidRPr="00450667">
          <w:rPr>
            <w:rStyle w:val="Hyperlinkki"/>
            <w:noProof/>
          </w:rPr>
          <w:t>Perustelut</w:t>
        </w:r>
        <w:r>
          <w:rPr>
            <w:noProof/>
            <w:webHidden/>
          </w:rPr>
          <w:tab/>
        </w:r>
        <w:r>
          <w:rPr>
            <w:noProof/>
            <w:webHidden/>
          </w:rPr>
          <w:fldChar w:fldCharType="begin"/>
        </w:r>
        <w:r>
          <w:rPr>
            <w:noProof/>
            <w:webHidden/>
          </w:rPr>
          <w:instrText xml:space="preserve"> PAGEREF _Toc19201142 \h </w:instrText>
        </w:r>
        <w:r>
          <w:rPr>
            <w:noProof/>
            <w:webHidden/>
          </w:rPr>
        </w:r>
        <w:r>
          <w:rPr>
            <w:noProof/>
            <w:webHidden/>
          </w:rPr>
          <w:fldChar w:fldCharType="separate"/>
        </w:r>
        <w:r>
          <w:rPr>
            <w:noProof/>
            <w:webHidden/>
          </w:rPr>
          <w:t>3</w:t>
        </w:r>
        <w:r>
          <w:rPr>
            <w:noProof/>
            <w:webHidden/>
          </w:rPr>
          <w:fldChar w:fldCharType="end"/>
        </w:r>
      </w:hyperlink>
    </w:p>
    <w:p w:rsidR="00791715" w:rsidRDefault="00791715">
      <w:pPr>
        <w:pStyle w:val="Sisluet2"/>
        <w:rPr>
          <w:rFonts w:asciiTheme="minorHAnsi" w:eastAsiaTheme="minorEastAsia" w:hAnsiTheme="minorHAnsi" w:cstheme="minorBidi"/>
          <w:noProof/>
          <w:szCs w:val="22"/>
          <w:lang w:eastAsia="fi-FI"/>
        </w:rPr>
      </w:pPr>
      <w:hyperlink w:anchor="_Toc19201143" w:history="1">
        <w:r w:rsidRPr="00450667">
          <w:rPr>
            <w:rStyle w:val="Hyperlinkki"/>
            <w:noProof/>
          </w:rPr>
          <w:t>1</w:t>
        </w:r>
        <w:r>
          <w:rPr>
            <w:rFonts w:asciiTheme="minorHAnsi" w:eastAsiaTheme="minorEastAsia" w:hAnsiTheme="minorHAnsi" w:cstheme="minorBidi"/>
            <w:noProof/>
            <w:szCs w:val="22"/>
            <w:lang w:eastAsia="fi-FI"/>
          </w:rPr>
          <w:tab/>
        </w:r>
        <w:r w:rsidRPr="00450667">
          <w:rPr>
            <w:rStyle w:val="Hyperlinkki"/>
            <w:noProof/>
          </w:rPr>
          <w:t>Asian tausta ja valmistelu</w:t>
        </w:r>
        <w:r>
          <w:rPr>
            <w:noProof/>
            <w:webHidden/>
          </w:rPr>
          <w:tab/>
        </w:r>
        <w:r>
          <w:rPr>
            <w:noProof/>
            <w:webHidden/>
          </w:rPr>
          <w:fldChar w:fldCharType="begin"/>
        </w:r>
        <w:r>
          <w:rPr>
            <w:noProof/>
            <w:webHidden/>
          </w:rPr>
          <w:instrText xml:space="preserve"> PAGEREF _Toc19201143 \h </w:instrText>
        </w:r>
        <w:r>
          <w:rPr>
            <w:noProof/>
            <w:webHidden/>
          </w:rPr>
        </w:r>
        <w:r>
          <w:rPr>
            <w:noProof/>
            <w:webHidden/>
          </w:rPr>
          <w:fldChar w:fldCharType="separate"/>
        </w:r>
        <w:r>
          <w:rPr>
            <w:noProof/>
            <w:webHidden/>
          </w:rPr>
          <w:t>3</w:t>
        </w:r>
        <w:r>
          <w:rPr>
            <w:noProof/>
            <w:webHidden/>
          </w:rPr>
          <w:fldChar w:fldCharType="end"/>
        </w:r>
      </w:hyperlink>
    </w:p>
    <w:p w:rsidR="00791715" w:rsidRDefault="00791715">
      <w:pPr>
        <w:pStyle w:val="Sisluet3"/>
        <w:tabs>
          <w:tab w:val="left" w:pos="1200"/>
        </w:tabs>
        <w:rPr>
          <w:rFonts w:asciiTheme="minorHAnsi" w:eastAsiaTheme="minorEastAsia" w:hAnsiTheme="minorHAnsi" w:cstheme="minorBidi"/>
          <w:noProof/>
          <w:szCs w:val="22"/>
          <w:lang w:eastAsia="fi-FI"/>
        </w:rPr>
      </w:pPr>
      <w:hyperlink w:anchor="_Toc19201144" w:history="1">
        <w:r w:rsidRPr="00450667">
          <w:rPr>
            <w:rStyle w:val="Hyperlinkki"/>
            <w:noProof/>
          </w:rPr>
          <w:t>1.1</w:t>
        </w:r>
        <w:r>
          <w:rPr>
            <w:rFonts w:asciiTheme="minorHAnsi" w:eastAsiaTheme="minorEastAsia" w:hAnsiTheme="minorHAnsi" w:cstheme="minorBidi"/>
            <w:noProof/>
            <w:szCs w:val="22"/>
            <w:lang w:eastAsia="fi-FI"/>
          </w:rPr>
          <w:tab/>
        </w:r>
        <w:r w:rsidRPr="00450667">
          <w:rPr>
            <w:rStyle w:val="Hyperlinkki"/>
            <w:noProof/>
          </w:rPr>
          <w:t>Tausta</w:t>
        </w:r>
        <w:r>
          <w:rPr>
            <w:noProof/>
            <w:webHidden/>
          </w:rPr>
          <w:tab/>
        </w:r>
        <w:r>
          <w:rPr>
            <w:noProof/>
            <w:webHidden/>
          </w:rPr>
          <w:fldChar w:fldCharType="begin"/>
        </w:r>
        <w:r>
          <w:rPr>
            <w:noProof/>
            <w:webHidden/>
          </w:rPr>
          <w:instrText xml:space="preserve"> PAGEREF _Toc19201144 \h </w:instrText>
        </w:r>
        <w:r>
          <w:rPr>
            <w:noProof/>
            <w:webHidden/>
          </w:rPr>
        </w:r>
        <w:r>
          <w:rPr>
            <w:noProof/>
            <w:webHidden/>
          </w:rPr>
          <w:fldChar w:fldCharType="separate"/>
        </w:r>
        <w:r>
          <w:rPr>
            <w:noProof/>
            <w:webHidden/>
          </w:rPr>
          <w:t>3</w:t>
        </w:r>
        <w:r>
          <w:rPr>
            <w:noProof/>
            <w:webHidden/>
          </w:rPr>
          <w:fldChar w:fldCharType="end"/>
        </w:r>
      </w:hyperlink>
    </w:p>
    <w:p w:rsidR="00791715" w:rsidRDefault="00791715">
      <w:pPr>
        <w:pStyle w:val="Sisluet3"/>
        <w:tabs>
          <w:tab w:val="left" w:pos="1200"/>
        </w:tabs>
        <w:rPr>
          <w:rFonts w:asciiTheme="minorHAnsi" w:eastAsiaTheme="minorEastAsia" w:hAnsiTheme="minorHAnsi" w:cstheme="minorBidi"/>
          <w:noProof/>
          <w:szCs w:val="22"/>
          <w:lang w:eastAsia="fi-FI"/>
        </w:rPr>
      </w:pPr>
      <w:hyperlink w:anchor="_Toc19201145" w:history="1">
        <w:r w:rsidRPr="00450667">
          <w:rPr>
            <w:rStyle w:val="Hyperlinkki"/>
            <w:noProof/>
          </w:rPr>
          <w:t>1.2</w:t>
        </w:r>
        <w:r>
          <w:rPr>
            <w:rFonts w:asciiTheme="minorHAnsi" w:eastAsiaTheme="minorEastAsia" w:hAnsiTheme="minorHAnsi" w:cstheme="minorBidi"/>
            <w:noProof/>
            <w:szCs w:val="22"/>
            <w:lang w:eastAsia="fi-FI"/>
          </w:rPr>
          <w:tab/>
        </w:r>
        <w:r w:rsidRPr="00450667">
          <w:rPr>
            <w:rStyle w:val="Hyperlinkki"/>
            <w:noProof/>
          </w:rPr>
          <w:t>Valmistelu</w:t>
        </w:r>
        <w:r>
          <w:rPr>
            <w:noProof/>
            <w:webHidden/>
          </w:rPr>
          <w:tab/>
        </w:r>
        <w:r>
          <w:rPr>
            <w:noProof/>
            <w:webHidden/>
          </w:rPr>
          <w:fldChar w:fldCharType="begin"/>
        </w:r>
        <w:r>
          <w:rPr>
            <w:noProof/>
            <w:webHidden/>
          </w:rPr>
          <w:instrText xml:space="preserve"> PAGEREF _Toc19201145 \h </w:instrText>
        </w:r>
        <w:r>
          <w:rPr>
            <w:noProof/>
            <w:webHidden/>
          </w:rPr>
        </w:r>
        <w:r>
          <w:rPr>
            <w:noProof/>
            <w:webHidden/>
          </w:rPr>
          <w:fldChar w:fldCharType="separate"/>
        </w:r>
        <w:r>
          <w:rPr>
            <w:noProof/>
            <w:webHidden/>
          </w:rPr>
          <w:t>4</w:t>
        </w:r>
        <w:r>
          <w:rPr>
            <w:noProof/>
            <w:webHidden/>
          </w:rPr>
          <w:fldChar w:fldCharType="end"/>
        </w:r>
      </w:hyperlink>
    </w:p>
    <w:p w:rsidR="00791715" w:rsidRDefault="00791715">
      <w:pPr>
        <w:pStyle w:val="Sisluet2"/>
        <w:rPr>
          <w:rFonts w:asciiTheme="minorHAnsi" w:eastAsiaTheme="minorEastAsia" w:hAnsiTheme="minorHAnsi" w:cstheme="minorBidi"/>
          <w:noProof/>
          <w:szCs w:val="22"/>
          <w:lang w:eastAsia="fi-FI"/>
        </w:rPr>
      </w:pPr>
      <w:hyperlink w:anchor="_Toc19201146" w:history="1">
        <w:r w:rsidRPr="00450667">
          <w:rPr>
            <w:rStyle w:val="Hyperlinkki"/>
            <w:noProof/>
          </w:rPr>
          <w:t>2</w:t>
        </w:r>
        <w:r>
          <w:rPr>
            <w:rFonts w:asciiTheme="minorHAnsi" w:eastAsiaTheme="minorEastAsia" w:hAnsiTheme="minorHAnsi" w:cstheme="minorBidi"/>
            <w:noProof/>
            <w:szCs w:val="22"/>
            <w:lang w:eastAsia="fi-FI"/>
          </w:rPr>
          <w:tab/>
        </w:r>
        <w:r w:rsidRPr="00450667">
          <w:rPr>
            <w:rStyle w:val="Hyperlinkki"/>
            <w:noProof/>
          </w:rPr>
          <w:t>Nykytila ja sen arviointi</w:t>
        </w:r>
        <w:r>
          <w:rPr>
            <w:noProof/>
            <w:webHidden/>
          </w:rPr>
          <w:tab/>
        </w:r>
        <w:r>
          <w:rPr>
            <w:noProof/>
            <w:webHidden/>
          </w:rPr>
          <w:fldChar w:fldCharType="begin"/>
        </w:r>
        <w:r>
          <w:rPr>
            <w:noProof/>
            <w:webHidden/>
          </w:rPr>
          <w:instrText xml:space="preserve"> PAGEREF _Toc19201146 \h </w:instrText>
        </w:r>
        <w:r>
          <w:rPr>
            <w:noProof/>
            <w:webHidden/>
          </w:rPr>
        </w:r>
        <w:r>
          <w:rPr>
            <w:noProof/>
            <w:webHidden/>
          </w:rPr>
          <w:fldChar w:fldCharType="separate"/>
        </w:r>
        <w:r>
          <w:rPr>
            <w:noProof/>
            <w:webHidden/>
          </w:rPr>
          <w:t>4</w:t>
        </w:r>
        <w:r>
          <w:rPr>
            <w:noProof/>
            <w:webHidden/>
          </w:rPr>
          <w:fldChar w:fldCharType="end"/>
        </w:r>
      </w:hyperlink>
    </w:p>
    <w:p w:rsidR="00791715" w:rsidRDefault="00791715">
      <w:pPr>
        <w:pStyle w:val="Sisluet3"/>
        <w:tabs>
          <w:tab w:val="left" w:pos="1200"/>
        </w:tabs>
        <w:rPr>
          <w:rFonts w:asciiTheme="minorHAnsi" w:eastAsiaTheme="minorEastAsia" w:hAnsiTheme="minorHAnsi" w:cstheme="minorBidi"/>
          <w:noProof/>
          <w:szCs w:val="22"/>
          <w:lang w:eastAsia="fi-FI"/>
        </w:rPr>
      </w:pPr>
      <w:hyperlink w:anchor="_Toc19201147" w:history="1">
        <w:r w:rsidRPr="00450667">
          <w:rPr>
            <w:rStyle w:val="Hyperlinkki"/>
            <w:noProof/>
          </w:rPr>
          <w:t>2.1</w:t>
        </w:r>
        <w:r>
          <w:rPr>
            <w:rFonts w:asciiTheme="minorHAnsi" w:eastAsiaTheme="minorEastAsia" w:hAnsiTheme="minorHAnsi" w:cstheme="minorBidi"/>
            <w:noProof/>
            <w:szCs w:val="22"/>
            <w:lang w:eastAsia="fi-FI"/>
          </w:rPr>
          <w:tab/>
        </w:r>
        <w:r w:rsidRPr="00450667">
          <w:rPr>
            <w:rStyle w:val="Hyperlinkki"/>
            <w:noProof/>
          </w:rPr>
          <w:t>Lainsäädäntö</w:t>
        </w:r>
        <w:r>
          <w:rPr>
            <w:noProof/>
            <w:webHidden/>
          </w:rPr>
          <w:tab/>
        </w:r>
        <w:r>
          <w:rPr>
            <w:noProof/>
            <w:webHidden/>
          </w:rPr>
          <w:fldChar w:fldCharType="begin"/>
        </w:r>
        <w:r>
          <w:rPr>
            <w:noProof/>
            <w:webHidden/>
          </w:rPr>
          <w:instrText xml:space="preserve"> PAGEREF _Toc19201147 \h </w:instrText>
        </w:r>
        <w:r>
          <w:rPr>
            <w:noProof/>
            <w:webHidden/>
          </w:rPr>
        </w:r>
        <w:r>
          <w:rPr>
            <w:noProof/>
            <w:webHidden/>
          </w:rPr>
          <w:fldChar w:fldCharType="separate"/>
        </w:r>
        <w:r>
          <w:rPr>
            <w:noProof/>
            <w:webHidden/>
          </w:rPr>
          <w:t>4</w:t>
        </w:r>
        <w:r>
          <w:rPr>
            <w:noProof/>
            <w:webHidden/>
          </w:rPr>
          <w:fldChar w:fldCharType="end"/>
        </w:r>
      </w:hyperlink>
    </w:p>
    <w:p w:rsidR="00791715" w:rsidRDefault="00791715">
      <w:pPr>
        <w:pStyle w:val="Sisluet3"/>
        <w:tabs>
          <w:tab w:val="left" w:pos="1200"/>
        </w:tabs>
        <w:rPr>
          <w:rFonts w:asciiTheme="minorHAnsi" w:eastAsiaTheme="minorEastAsia" w:hAnsiTheme="minorHAnsi" w:cstheme="minorBidi"/>
          <w:noProof/>
          <w:szCs w:val="22"/>
          <w:lang w:eastAsia="fi-FI"/>
        </w:rPr>
      </w:pPr>
      <w:hyperlink w:anchor="_Toc19201148" w:history="1">
        <w:r w:rsidRPr="00450667">
          <w:rPr>
            <w:rStyle w:val="Hyperlinkki"/>
            <w:noProof/>
          </w:rPr>
          <w:t>2.2</w:t>
        </w:r>
        <w:r>
          <w:rPr>
            <w:rFonts w:asciiTheme="minorHAnsi" w:eastAsiaTheme="minorEastAsia" w:hAnsiTheme="minorHAnsi" w:cstheme="minorBidi"/>
            <w:noProof/>
            <w:szCs w:val="22"/>
            <w:lang w:eastAsia="fi-FI"/>
          </w:rPr>
          <w:tab/>
        </w:r>
        <w:r w:rsidRPr="00450667">
          <w:rPr>
            <w:rStyle w:val="Hyperlinkki"/>
            <w:noProof/>
          </w:rPr>
          <w:t>Nykytilan arviointi</w:t>
        </w:r>
        <w:r>
          <w:rPr>
            <w:noProof/>
            <w:webHidden/>
          </w:rPr>
          <w:tab/>
        </w:r>
        <w:r>
          <w:rPr>
            <w:noProof/>
            <w:webHidden/>
          </w:rPr>
          <w:fldChar w:fldCharType="begin"/>
        </w:r>
        <w:r>
          <w:rPr>
            <w:noProof/>
            <w:webHidden/>
          </w:rPr>
          <w:instrText xml:space="preserve"> PAGEREF _Toc19201148 \h </w:instrText>
        </w:r>
        <w:r>
          <w:rPr>
            <w:noProof/>
            <w:webHidden/>
          </w:rPr>
        </w:r>
        <w:r>
          <w:rPr>
            <w:noProof/>
            <w:webHidden/>
          </w:rPr>
          <w:fldChar w:fldCharType="separate"/>
        </w:r>
        <w:r>
          <w:rPr>
            <w:noProof/>
            <w:webHidden/>
          </w:rPr>
          <w:t>8</w:t>
        </w:r>
        <w:r>
          <w:rPr>
            <w:noProof/>
            <w:webHidden/>
          </w:rPr>
          <w:fldChar w:fldCharType="end"/>
        </w:r>
      </w:hyperlink>
    </w:p>
    <w:p w:rsidR="00791715" w:rsidRDefault="00791715">
      <w:pPr>
        <w:pStyle w:val="Sisluet2"/>
        <w:rPr>
          <w:rFonts w:asciiTheme="minorHAnsi" w:eastAsiaTheme="minorEastAsia" w:hAnsiTheme="minorHAnsi" w:cstheme="minorBidi"/>
          <w:noProof/>
          <w:szCs w:val="22"/>
          <w:lang w:eastAsia="fi-FI"/>
        </w:rPr>
      </w:pPr>
      <w:hyperlink w:anchor="_Toc19201149" w:history="1">
        <w:r w:rsidRPr="00450667">
          <w:rPr>
            <w:rStyle w:val="Hyperlinkki"/>
            <w:noProof/>
          </w:rPr>
          <w:t>3</w:t>
        </w:r>
        <w:r>
          <w:rPr>
            <w:rFonts w:asciiTheme="minorHAnsi" w:eastAsiaTheme="minorEastAsia" w:hAnsiTheme="minorHAnsi" w:cstheme="minorBidi"/>
            <w:noProof/>
            <w:szCs w:val="22"/>
            <w:lang w:eastAsia="fi-FI"/>
          </w:rPr>
          <w:tab/>
        </w:r>
        <w:r w:rsidRPr="00450667">
          <w:rPr>
            <w:rStyle w:val="Hyperlinkki"/>
            <w:noProof/>
          </w:rPr>
          <w:t>Tavoitteet</w:t>
        </w:r>
        <w:r>
          <w:rPr>
            <w:noProof/>
            <w:webHidden/>
          </w:rPr>
          <w:tab/>
        </w:r>
        <w:r>
          <w:rPr>
            <w:noProof/>
            <w:webHidden/>
          </w:rPr>
          <w:fldChar w:fldCharType="begin"/>
        </w:r>
        <w:r>
          <w:rPr>
            <w:noProof/>
            <w:webHidden/>
          </w:rPr>
          <w:instrText xml:space="preserve"> PAGEREF _Toc19201149 \h </w:instrText>
        </w:r>
        <w:r>
          <w:rPr>
            <w:noProof/>
            <w:webHidden/>
          </w:rPr>
        </w:r>
        <w:r>
          <w:rPr>
            <w:noProof/>
            <w:webHidden/>
          </w:rPr>
          <w:fldChar w:fldCharType="separate"/>
        </w:r>
        <w:r>
          <w:rPr>
            <w:noProof/>
            <w:webHidden/>
          </w:rPr>
          <w:t>11</w:t>
        </w:r>
        <w:r>
          <w:rPr>
            <w:noProof/>
            <w:webHidden/>
          </w:rPr>
          <w:fldChar w:fldCharType="end"/>
        </w:r>
      </w:hyperlink>
    </w:p>
    <w:p w:rsidR="00791715" w:rsidRDefault="00791715">
      <w:pPr>
        <w:pStyle w:val="Sisluet2"/>
        <w:rPr>
          <w:rFonts w:asciiTheme="minorHAnsi" w:eastAsiaTheme="minorEastAsia" w:hAnsiTheme="minorHAnsi" w:cstheme="minorBidi"/>
          <w:noProof/>
          <w:szCs w:val="22"/>
          <w:lang w:eastAsia="fi-FI"/>
        </w:rPr>
      </w:pPr>
      <w:hyperlink w:anchor="_Toc19201150" w:history="1">
        <w:r w:rsidRPr="00450667">
          <w:rPr>
            <w:rStyle w:val="Hyperlinkki"/>
            <w:noProof/>
          </w:rPr>
          <w:t>4</w:t>
        </w:r>
        <w:r>
          <w:rPr>
            <w:rFonts w:asciiTheme="minorHAnsi" w:eastAsiaTheme="minorEastAsia" w:hAnsiTheme="minorHAnsi" w:cstheme="minorBidi"/>
            <w:noProof/>
            <w:szCs w:val="22"/>
            <w:lang w:eastAsia="fi-FI"/>
          </w:rPr>
          <w:tab/>
        </w:r>
        <w:r w:rsidRPr="00450667">
          <w:rPr>
            <w:rStyle w:val="Hyperlinkki"/>
            <w:noProof/>
          </w:rPr>
          <w:t>Ehdotukset ja niiden vaikutukset</w:t>
        </w:r>
        <w:r>
          <w:rPr>
            <w:noProof/>
            <w:webHidden/>
          </w:rPr>
          <w:tab/>
        </w:r>
        <w:r>
          <w:rPr>
            <w:noProof/>
            <w:webHidden/>
          </w:rPr>
          <w:fldChar w:fldCharType="begin"/>
        </w:r>
        <w:r>
          <w:rPr>
            <w:noProof/>
            <w:webHidden/>
          </w:rPr>
          <w:instrText xml:space="preserve"> PAGEREF _Toc19201150 \h </w:instrText>
        </w:r>
        <w:r>
          <w:rPr>
            <w:noProof/>
            <w:webHidden/>
          </w:rPr>
        </w:r>
        <w:r>
          <w:rPr>
            <w:noProof/>
            <w:webHidden/>
          </w:rPr>
          <w:fldChar w:fldCharType="separate"/>
        </w:r>
        <w:r>
          <w:rPr>
            <w:noProof/>
            <w:webHidden/>
          </w:rPr>
          <w:t>11</w:t>
        </w:r>
        <w:r>
          <w:rPr>
            <w:noProof/>
            <w:webHidden/>
          </w:rPr>
          <w:fldChar w:fldCharType="end"/>
        </w:r>
      </w:hyperlink>
    </w:p>
    <w:p w:rsidR="00791715" w:rsidRDefault="00791715">
      <w:pPr>
        <w:pStyle w:val="Sisluet3"/>
        <w:tabs>
          <w:tab w:val="left" w:pos="1200"/>
        </w:tabs>
        <w:rPr>
          <w:rFonts w:asciiTheme="minorHAnsi" w:eastAsiaTheme="minorEastAsia" w:hAnsiTheme="minorHAnsi" w:cstheme="minorBidi"/>
          <w:noProof/>
          <w:szCs w:val="22"/>
          <w:lang w:eastAsia="fi-FI"/>
        </w:rPr>
      </w:pPr>
      <w:hyperlink w:anchor="_Toc19201151" w:history="1">
        <w:r w:rsidRPr="00450667">
          <w:rPr>
            <w:rStyle w:val="Hyperlinkki"/>
            <w:noProof/>
          </w:rPr>
          <w:t>4.1</w:t>
        </w:r>
        <w:r>
          <w:rPr>
            <w:rFonts w:asciiTheme="minorHAnsi" w:eastAsiaTheme="minorEastAsia" w:hAnsiTheme="minorHAnsi" w:cstheme="minorBidi"/>
            <w:noProof/>
            <w:szCs w:val="22"/>
            <w:lang w:eastAsia="fi-FI"/>
          </w:rPr>
          <w:tab/>
        </w:r>
        <w:r w:rsidRPr="00450667">
          <w:rPr>
            <w:rStyle w:val="Hyperlinkki"/>
            <w:noProof/>
          </w:rPr>
          <w:t>Pääasialliset vaikutukset</w:t>
        </w:r>
        <w:r>
          <w:rPr>
            <w:noProof/>
            <w:webHidden/>
          </w:rPr>
          <w:tab/>
        </w:r>
        <w:r>
          <w:rPr>
            <w:noProof/>
            <w:webHidden/>
          </w:rPr>
          <w:fldChar w:fldCharType="begin"/>
        </w:r>
        <w:r>
          <w:rPr>
            <w:noProof/>
            <w:webHidden/>
          </w:rPr>
          <w:instrText xml:space="preserve"> PAGEREF _Toc19201151 \h </w:instrText>
        </w:r>
        <w:r>
          <w:rPr>
            <w:noProof/>
            <w:webHidden/>
          </w:rPr>
        </w:r>
        <w:r>
          <w:rPr>
            <w:noProof/>
            <w:webHidden/>
          </w:rPr>
          <w:fldChar w:fldCharType="separate"/>
        </w:r>
        <w:r>
          <w:rPr>
            <w:noProof/>
            <w:webHidden/>
          </w:rPr>
          <w:t>12</w:t>
        </w:r>
        <w:r>
          <w:rPr>
            <w:noProof/>
            <w:webHidden/>
          </w:rPr>
          <w:fldChar w:fldCharType="end"/>
        </w:r>
      </w:hyperlink>
    </w:p>
    <w:p w:rsidR="00791715" w:rsidRDefault="00791715">
      <w:pPr>
        <w:pStyle w:val="Sisluet2"/>
        <w:rPr>
          <w:rFonts w:asciiTheme="minorHAnsi" w:eastAsiaTheme="minorEastAsia" w:hAnsiTheme="minorHAnsi" w:cstheme="minorBidi"/>
          <w:noProof/>
          <w:szCs w:val="22"/>
          <w:lang w:eastAsia="fi-FI"/>
        </w:rPr>
      </w:pPr>
      <w:hyperlink w:anchor="_Toc19201152" w:history="1">
        <w:r w:rsidRPr="00450667">
          <w:rPr>
            <w:rStyle w:val="Hyperlinkki"/>
            <w:noProof/>
          </w:rPr>
          <w:t>5</w:t>
        </w:r>
        <w:r>
          <w:rPr>
            <w:rFonts w:asciiTheme="minorHAnsi" w:eastAsiaTheme="minorEastAsia" w:hAnsiTheme="minorHAnsi" w:cstheme="minorBidi"/>
            <w:noProof/>
            <w:szCs w:val="22"/>
            <w:lang w:eastAsia="fi-FI"/>
          </w:rPr>
          <w:tab/>
        </w:r>
        <w:r w:rsidRPr="00450667">
          <w:rPr>
            <w:rStyle w:val="Hyperlinkki"/>
            <w:noProof/>
          </w:rPr>
          <w:t>Muut toteuttamisvaihtoehdot</w:t>
        </w:r>
        <w:r>
          <w:rPr>
            <w:noProof/>
            <w:webHidden/>
          </w:rPr>
          <w:tab/>
        </w:r>
        <w:r>
          <w:rPr>
            <w:noProof/>
            <w:webHidden/>
          </w:rPr>
          <w:fldChar w:fldCharType="begin"/>
        </w:r>
        <w:r>
          <w:rPr>
            <w:noProof/>
            <w:webHidden/>
          </w:rPr>
          <w:instrText xml:space="preserve"> PAGEREF _Toc19201152 \h </w:instrText>
        </w:r>
        <w:r>
          <w:rPr>
            <w:noProof/>
            <w:webHidden/>
          </w:rPr>
        </w:r>
        <w:r>
          <w:rPr>
            <w:noProof/>
            <w:webHidden/>
          </w:rPr>
          <w:fldChar w:fldCharType="separate"/>
        </w:r>
        <w:r>
          <w:rPr>
            <w:noProof/>
            <w:webHidden/>
          </w:rPr>
          <w:t>14</w:t>
        </w:r>
        <w:r>
          <w:rPr>
            <w:noProof/>
            <w:webHidden/>
          </w:rPr>
          <w:fldChar w:fldCharType="end"/>
        </w:r>
      </w:hyperlink>
    </w:p>
    <w:p w:rsidR="00791715" w:rsidRDefault="00791715">
      <w:pPr>
        <w:pStyle w:val="Sisluet2"/>
        <w:rPr>
          <w:rFonts w:asciiTheme="minorHAnsi" w:eastAsiaTheme="minorEastAsia" w:hAnsiTheme="minorHAnsi" w:cstheme="minorBidi"/>
          <w:noProof/>
          <w:szCs w:val="22"/>
          <w:lang w:eastAsia="fi-FI"/>
        </w:rPr>
      </w:pPr>
      <w:hyperlink w:anchor="_Toc19201153" w:history="1">
        <w:r w:rsidRPr="00450667">
          <w:rPr>
            <w:rStyle w:val="Hyperlinkki"/>
            <w:noProof/>
          </w:rPr>
          <w:t>6</w:t>
        </w:r>
        <w:r>
          <w:rPr>
            <w:rFonts w:asciiTheme="minorHAnsi" w:eastAsiaTheme="minorEastAsia" w:hAnsiTheme="minorHAnsi" w:cstheme="minorBidi"/>
            <w:noProof/>
            <w:szCs w:val="22"/>
            <w:lang w:eastAsia="fi-FI"/>
          </w:rPr>
          <w:tab/>
        </w:r>
        <w:r w:rsidRPr="00450667">
          <w:rPr>
            <w:rStyle w:val="Hyperlinkki"/>
            <w:noProof/>
          </w:rPr>
          <w:t>Lausuntopalaute</w:t>
        </w:r>
        <w:r>
          <w:rPr>
            <w:noProof/>
            <w:webHidden/>
          </w:rPr>
          <w:tab/>
        </w:r>
        <w:r>
          <w:rPr>
            <w:noProof/>
            <w:webHidden/>
          </w:rPr>
          <w:fldChar w:fldCharType="begin"/>
        </w:r>
        <w:r>
          <w:rPr>
            <w:noProof/>
            <w:webHidden/>
          </w:rPr>
          <w:instrText xml:space="preserve"> PAGEREF _Toc19201153 \h </w:instrText>
        </w:r>
        <w:r>
          <w:rPr>
            <w:noProof/>
            <w:webHidden/>
          </w:rPr>
        </w:r>
        <w:r>
          <w:rPr>
            <w:noProof/>
            <w:webHidden/>
          </w:rPr>
          <w:fldChar w:fldCharType="separate"/>
        </w:r>
        <w:r>
          <w:rPr>
            <w:noProof/>
            <w:webHidden/>
          </w:rPr>
          <w:t>15</w:t>
        </w:r>
        <w:r>
          <w:rPr>
            <w:noProof/>
            <w:webHidden/>
          </w:rPr>
          <w:fldChar w:fldCharType="end"/>
        </w:r>
      </w:hyperlink>
    </w:p>
    <w:p w:rsidR="00791715" w:rsidRDefault="00791715">
      <w:pPr>
        <w:pStyle w:val="Sisluet2"/>
        <w:rPr>
          <w:rFonts w:asciiTheme="minorHAnsi" w:eastAsiaTheme="minorEastAsia" w:hAnsiTheme="minorHAnsi" w:cstheme="minorBidi"/>
          <w:noProof/>
          <w:szCs w:val="22"/>
          <w:lang w:eastAsia="fi-FI"/>
        </w:rPr>
      </w:pPr>
      <w:hyperlink w:anchor="_Toc19201154" w:history="1">
        <w:r w:rsidRPr="00450667">
          <w:rPr>
            <w:rStyle w:val="Hyperlinkki"/>
            <w:noProof/>
          </w:rPr>
          <w:t>7</w:t>
        </w:r>
        <w:r>
          <w:rPr>
            <w:rFonts w:asciiTheme="minorHAnsi" w:eastAsiaTheme="minorEastAsia" w:hAnsiTheme="minorHAnsi" w:cstheme="minorBidi"/>
            <w:noProof/>
            <w:szCs w:val="22"/>
            <w:lang w:eastAsia="fi-FI"/>
          </w:rPr>
          <w:tab/>
        </w:r>
        <w:r w:rsidRPr="00450667">
          <w:rPr>
            <w:rStyle w:val="Hyperlinkki"/>
            <w:noProof/>
          </w:rPr>
          <w:t>Säännöskohtaiset perustelut</w:t>
        </w:r>
        <w:r>
          <w:rPr>
            <w:noProof/>
            <w:webHidden/>
          </w:rPr>
          <w:tab/>
        </w:r>
        <w:r>
          <w:rPr>
            <w:noProof/>
            <w:webHidden/>
          </w:rPr>
          <w:fldChar w:fldCharType="begin"/>
        </w:r>
        <w:r>
          <w:rPr>
            <w:noProof/>
            <w:webHidden/>
          </w:rPr>
          <w:instrText xml:space="preserve"> PAGEREF _Toc19201154 \h </w:instrText>
        </w:r>
        <w:r>
          <w:rPr>
            <w:noProof/>
            <w:webHidden/>
          </w:rPr>
        </w:r>
        <w:r>
          <w:rPr>
            <w:noProof/>
            <w:webHidden/>
          </w:rPr>
          <w:fldChar w:fldCharType="separate"/>
        </w:r>
        <w:r>
          <w:rPr>
            <w:noProof/>
            <w:webHidden/>
          </w:rPr>
          <w:t>15</w:t>
        </w:r>
        <w:r>
          <w:rPr>
            <w:noProof/>
            <w:webHidden/>
          </w:rPr>
          <w:fldChar w:fldCharType="end"/>
        </w:r>
      </w:hyperlink>
    </w:p>
    <w:p w:rsidR="00791715" w:rsidRDefault="00791715">
      <w:pPr>
        <w:pStyle w:val="Sisluet2"/>
        <w:rPr>
          <w:rFonts w:asciiTheme="minorHAnsi" w:eastAsiaTheme="minorEastAsia" w:hAnsiTheme="minorHAnsi" w:cstheme="minorBidi"/>
          <w:noProof/>
          <w:szCs w:val="22"/>
          <w:lang w:eastAsia="fi-FI"/>
        </w:rPr>
      </w:pPr>
      <w:hyperlink w:anchor="_Toc19201155" w:history="1">
        <w:r w:rsidRPr="00450667">
          <w:rPr>
            <w:rStyle w:val="Hyperlinkki"/>
            <w:noProof/>
          </w:rPr>
          <w:t>8</w:t>
        </w:r>
        <w:r>
          <w:rPr>
            <w:rFonts w:asciiTheme="minorHAnsi" w:eastAsiaTheme="minorEastAsia" w:hAnsiTheme="minorHAnsi" w:cstheme="minorBidi"/>
            <w:noProof/>
            <w:szCs w:val="22"/>
            <w:lang w:eastAsia="fi-FI"/>
          </w:rPr>
          <w:tab/>
        </w:r>
        <w:r w:rsidRPr="00450667">
          <w:rPr>
            <w:rStyle w:val="Hyperlinkki"/>
            <w:noProof/>
          </w:rPr>
          <w:t>Voimaantulo</w:t>
        </w:r>
        <w:r>
          <w:rPr>
            <w:noProof/>
            <w:webHidden/>
          </w:rPr>
          <w:tab/>
        </w:r>
        <w:r>
          <w:rPr>
            <w:noProof/>
            <w:webHidden/>
          </w:rPr>
          <w:fldChar w:fldCharType="begin"/>
        </w:r>
        <w:r>
          <w:rPr>
            <w:noProof/>
            <w:webHidden/>
          </w:rPr>
          <w:instrText xml:space="preserve"> PAGEREF _Toc19201155 \h </w:instrText>
        </w:r>
        <w:r>
          <w:rPr>
            <w:noProof/>
            <w:webHidden/>
          </w:rPr>
        </w:r>
        <w:r>
          <w:rPr>
            <w:noProof/>
            <w:webHidden/>
          </w:rPr>
          <w:fldChar w:fldCharType="separate"/>
        </w:r>
        <w:r>
          <w:rPr>
            <w:noProof/>
            <w:webHidden/>
          </w:rPr>
          <w:t>15</w:t>
        </w:r>
        <w:r>
          <w:rPr>
            <w:noProof/>
            <w:webHidden/>
          </w:rPr>
          <w:fldChar w:fldCharType="end"/>
        </w:r>
      </w:hyperlink>
    </w:p>
    <w:p w:rsidR="00791715" w:rsidRDefault="00791715">
      <w:pPr>
        <w:pStyle w:val="Sisluet2"/>
        <w:rPr>
          <w:rFonts w:asciiTheme="minorHAnsi" w:eastAsiaTheme="minorEastAsia" w:hAnsiTheme="minorHAnsi" w:cstheme="minorBidi"/>
          <w:noProof/>
          <w:szCs w:val="22"/>
          <w:lang w:eastAsia="fi-FI"/>
        </w:rPr>
      </w:pPr>
      <w:hyperlink w:anchor="_Toc19201156" w:history="1">
        <w:r w:rsidRPr="00450667">
          <w:rPr>
            <w:rStyle w:val="Hyperlinkki"/>
            <w:noProof/>
          </w:rPr>
          <w:t>9</w:t>
        </w:r>
        <w:r>
          <w:rPr>
            <w:rFonts w:asciiTheme="minorHAnsi" w:eastAsiaTheme="minorEastAsia" w:hAnsiTheme="minorHAnsi" w:cstheme="minorBidi"/>
            <w:noProof/>
            <w:szCs w:val="22"/>
            <w:lang w:eastAsia="fi-FI"/>
          </w:rPr>
          <w:tab/>
        </w:r>
        <w:r w:rsidRPr="00450667">
          <w:rPr>
            <w:rStyle w:val="Hyperlinkki"/>
            <w:noProof/>
          </w:rPr>
          <w:t>Suhde muihin esityksiin</w:t>
        </w:r>
        <w:r>
          <w:rPr>
            <w:noProof/>
            <w:webHidden/>
          </w:rPr>
          <w:tab/>
        </w:r>
        <w:r>
          <w:rPr>
            <w:noProof/>
            <w:webHidden/>
          </w:rPr>
          <w:fldChar w:fldCharType="begin"/>
        </w:r>
        <w:r>
          <w:rPr>
            <w:noProof/>
            <w:webHidden/>
          </w:rPr>
          <w:instrText xml:space="preserve"> PAGEREF _Toc19201156 \h </w:instrText>
        </w:r>
        <w:r>
          <w:rPr>
            <w:noProof/>
            <w:webHidden/>
          </w:rPr>
        </w:r>
        <w:r>
          <w:rPr>
            <w:noProof/>
            <w:webHidden/>
          </w:rPr>
          <w:fldChar w:fldCharType="separate"/>
        </w:r>
        <w:r>
          <w:rPr>
            <w:noProof/>
            <w:webHidden/>
          </w:rPr>
          <w:t>15</w:t>
        </w:r>
        <w:r>
          <w:rPr>
            <w:noProof/>
            <w:webHidden/>
          </w:rPr>
          <w:fldChar w:fldCharType="end"/>
        </w:r>
      </w:hyperlink>
    </w:p>
    <w:p w:rsidR="00791715" w:rsidRDefault="00791715">
      <w:pPr>
        <w:pStyle w:val="Sisluet1"/>
        <w:rPr>
          <w:rFonts w:asciiTheme="minorHAnsi" w:eastAsiaTheme="minorEastAsia" w:hAnsiTheme="minorHAnsi" w:cstheme="minorBidi"/>
          <w:bCs w:val="0"/>
          <w:caps w:val="0"/>
          <w:noProof/>
          <w:szCs w:val="22"/>
          <w:lang w:eastAsia="fi-FI"/>
        </w:rPr>
      </w:pPr>
      <w:hyperlink w:anchor="_Toc19201157" w:history="1">
        <w:r w:rsidRPr="00450667">
          <w:rPr>
            <w:rStyle w:val="Hyperlinkki"/>
            <w:noProof/>
          </w:rPr>
          <w:t>Lakiehdotukset</w:t>
        </w:r>
        <w:r>
          <w:rPr>
            <w:noProof/>
            <w:webHidden/>
          </w:rPr>
          <w:tab/>
        </w:r>
        <w:r>
          <w:rPr>
            <w:noProof/>
            <w:webHidden/>
          </w:rPr>
          <w:fldChar w:fldCharType="begin"/>
        </w:r>
        <w:r>
          <w:rPr>
            <w:noProof/>
            <w:webHidden/>
          </w:rPr>
          <w:instrText xml:space="preserve"> PAGEREF _Toc19201157 \h </w:instrText>
        </w:r>
        <w:r>
          <w:rPr>
            <w:noProof/>
            <w:webHidden/>
          </w:rPr>
        </w:r>
        <w:r>
          <w:rPr>
            <w:noProof/>
            <w:webHidden/>
          </w:rPr>
          <w:fldChar w:fldCharType="separate"/>
        </w:r>
        <w:r>
          <w:rPr>
            <w:noProof/>
            <w:webHidden/>
          </w:rPr>
          <w:t>16</w:t>
        </w:r>
        <w:r>
          <w:rPr>
            <w:noProof/>
            <w:webHidden/>
          </w:rPr>
          <w:fldChar w:fldCharType="end"/>
        </w:r>
      </w:hyperlink>
    </w:p>
    <w:p w:rsidR="00791715" w:rsidRDefault="00791715">
      <w:pPr>
        <w:pStyle w:val="Sisluet3"/>
        <w:rPr>
          <w:rFonts w:asciiTheme="minorHAnsi" w:eastAsiaTheme="minorEastAsia" w:hAnsiTheme="minorHAnsi" w:cstheme="minorBidi"/>
          <w:noProof/>
          <w:szCs w:val="22"/>
          <w:lang w:eastAsia="fi-FI"/>
        </w:rPr>
      </w:pPr>
      <w:hyperlink w:anchor="_Toc19201158" w:history="1">
        <w:r>
          <w:rPr>
            <w:rStyle w:val="Hyperlinkki"/>
            <w:noProof/>
          </w:rPr>
          <w:t>1. La</w:t>
        </w:r>
        <w:r w:rsidRPr="00450667">
          <w:rPr>
            <w:rStyle w:val="Hyperlinkki"/>
            <w:noProof/>
          </w:rPr>
          <w:t>ki nestemäisten polttoaineiden valmisteverosta annetun lain liitteen verotaulukon muuttamisesta</w:t>
        </w:r>
        <w:r>
          <w:rPr>
            <w:noProof/>
            <w:webHidden/>
          </w:rPr>
          <w:tab/>
        </w:r>
        <w:r>
          <w:rPr>
            <w:noProof/>
            <w:webHidden/>
          </w:rPr>
          <w:fldChar w:fldCharType="begin"/>
        </w:r>
        <w:r>
          <w:rPr>
            <w:noProof/>
            <w:webHidden/>
          </w:rPr>
          <w:instrText xml:space="preserve"> PAGEREF _Toc19201158 \h </w:instrText>
        </w:r>
        <w:r>
          <w:rPr>
            <w:noProof/>
            <w:webHidden/>
          </w:rPr>
        </w:r>
        <w:r>
          <w:rPr>
            <w:noProof/>
            <w:webHidden/>
          </w:rPr>
          <w:fldChar w:fldCharType="separate"/>
        </w:r>
        <w:r>
          <w:rPr>
            <w:noProof/>
            <w:webHidden/>
          </w:rPr>
          <w:t>16</w:t>
        </w:r>
        <w:r>
          <w:rPr>
            <w:noProof/>
            <w:webHidden/>
          </w:rPr>
          <w:fldChar w:fldCharType="end"/>
        </w:r>
      </w:hyperlink>
    </w:p>
    <w:p w:rsidR="00791715" w:rsidRDefault="00791715">
      <w:pPr>
        <w:pStyle w:val="Sisluet1"/>
        <w:rPr>
          <w:rFonts w:asciiTheme="minorHAnsi" w:eastAsiaTheme="minorEastAsia" w:hAnsiTheme="minorHAnsi" w:cstheme="minorBidi"/>
          <w:bCs w:val="0"/>
          <w:caps w:val="0"/>
          <w:noProof/>
          <w:szCs w:val="22"/>
          <w:lang w:eastAsia="fi-FI"/>
        </w:rPr>
      </w:pPr>
      <w:hyperlink w:anchor="_Toc19201159" w:history="1">
        <w:r w:rsidRPr="00450667">
          <w:rPr>
            <w:rStyle w:val="Hyperlinkki"/>
            <w:noProof/>
          </w:rPr>
          <w:t>Liite</w:t>
        </w:r>
        <w:r>
          <w:rPr>
            <w:noProof/>
            <w:webHidden/>
          </w:rPr>
          <w:tab/>
        </w:r>
        <w:r>
          <w:rPr>
            <w:noProof/>
            <w:webHidden/>
          </w:rPr>
          <w:fldChar w:fldCharType="begin"/>
        </w:r>
        <w:r>
          <w:rPr>
            <w:noProof/>
            <w:webHidden/>
          </w:rPr>
          <w:instrText xml:space="preserve"> PAGEREF _Toc19201159 \h </w:instrText>
        </w:r>
        <w:r>
          <w:rPr>
            <w:noProof/>
            <w:webHidden/>
          </w:rPr>
        </w:r>
        <w:r>
          <w:rPr>
            <w:noProof/>
            <w:webHidden/>
          </w:rPr>
          <w:fldChar w:fldCharType="separate"/>
        </w:r>
        <w:r>
          <w:rPr>
            <w:noProof/>
            <w:webHidden/>
          </w:rPr>
          <w:t>16</w:t>
        </w:r>
        <w:r>
          <w:rPr>
            <w:noProof/>
            <w:webHidden/>
          </w:rPr>
          <w:fldChar w:fldCharType="end"/>
        </w:r>
      </w:hyperlink>
    </w:p>
    <w:p w:rsidR="00791715" w:rsidRDefault="00791715">
      <w:pPr>
        <w:pStyle w:val="Sisluet3"/>
        <w:rPr>
          <w:rFonts w:asciiTheme="minorHAnsi" w:eastAsiaTheme="minorEastAsia" w:hAnsiTheme="minorHAnsi" w:cstheme="minorBidi"/>
          <w:noProof/>
          <w:szCs w:val="22"/>
          <w:lang w:eastAsia="fi-FI"/>
        </w:rPr>
      </w:pPr>
      <w:hyperlink w:anchor="_Toc19201160" w:history="1">
        <w:r>
          <w:rPr>
            <w:rStyle w:val="Hyperlinkki"/>
            <w:noProof/>
          </w:rPr>
          <w:t>2. Laki v</w:t>
        </w:r>
        <w:r w:rsidRPr="00450667">
          <w:rPr>
            <w:rStyle w:val="Hyperlinkki"/>
            <w:noProof/>
          </w:rPr>
          <w:t>almisteverotuslain 5 §:n muuttamisesta</w:t>
        </w:r>
        <w:r>
          <w:rPr>
            <w:noProof/>
            <w:webHidden/>
          </w:rPr>
          <w:tab/>
        </w:r>
        <w:r>
          <w:rPr>
            <w:noProof/>
            <w:webHidden/>
          </w:rPr>
          <w:fldChar w:fldCharType="begin"/>
        </w:r>
        <w:r>
          <w:rPr>
            <w:noProof/>
            <w:webHidden/>
          </w:rPr>
          <w:instrText xml:space="preserve"> PAGEREF _Toc19201160 \h </w:instrText>
        </w:r>
        <w:r>
          <w:rPr>
            <w:noProof/>
            <w:webHidden/>
          </w:rPr>
        </w:r>
        <w:r>
          <w:rPr>
            <w:noProof/>
            <w:webHidden/>
          </w:rPr>
          <w:fldChar w:fldCharType="separate"/>
        </w:r>
        <w:r>
          <w:rPr>
            <w:noProof/>
            <w:webHidden/>
          </w:rPr>
          <w:t>18</w:t>
        </w:r>
        <w:r>
          <w:rPr>
            <w:noProof/>
            <w:webHidden/>
          </w:rPr>
          <w:fldChar w:fldCharType="end"/>
        </w:r>
      </w:hyperlink>
    </w:p>
    <w:p w:rsidR="00791715" w:rsidRDefault="00791715">
      <w:pPr>
        <w:pStyle w:val="Sisluet1"/>
        <w:rPr>
          <w:rFonts w:asciiTheme="minorHAnsi" w:eastAsiaTheme="minorEastAsia" w:hAnsiTheme="minorHAnsi" w:cstheme="minorBidi"/>
          <w:bCs w:val="0"/>
          <w:caps w:val="0"/>
          <w:noProof/>
          <w:szCs w:val="22"/>
          <w:lang w:eastAsia="fi-FI"/>
        </w:rPr>
      </w:pPr>
      <w:hyperlink w:anchor="_Toc19201161" w:history="1">
        <w:r w:rsidRPr="00450667">
          <w:rPr>
            <w:rStyle w:val="Hyperlinkki"/>
            <w:noProof/>
          </w:rPr>
          <w:t>Rinnakkaistekstit</w:t>
        </w:r>
        <w:r>
          <w:rPr>
            <w:noProof/>
            <w:webHidden/>
          </w:rPr>
          <w:tab/>
        </w:r>
        <w:r>
          <w:rPr>
            <w:noProof/>
            <w:webHidden/>
          </w:rPr>
          <w:fldChar w:fldCharType="begin"/>
        </w:r>
        <w:r>
          <w:rPr>
            <w:noProof/>
            <w:webHidden/>
          </w:rPr>
          <w:instrText xml:space="preserve"> PAGEREF _Toc19201161 \h </w:instrText>
        </w:r>
        <w:r>
          <w:rPr>
            <w:noProof/>
            <w:webHidden/>
          </w:rPr>
        </w:r>
        <w:r>
          <w:rPr>
            <w:noProof/>
            <w:webHidden/>
          </w:rPr>
          <w:fldChar w:fldCharType="separate"/>
        </w:r>
        <w:r>
          <w:rPr>
            <w:noProof/>
            <w:webHidden/>
          </w:rPr>
          <w:t>19</w:t>
        </w:r>
        <w:r>
          <w:rPr>
            <w:noProof/>
            <w:webHidden/>
          </w:rPr>
          <w:fldChar w:fldCharType="end"/>
        </w:r>
      </w:hyperlink>
    </w:p>
    <w:p w:rsidR="00791715" w:rsidRDefault="00791715">
      <w:pPr>
        <w:pStyle w:val="Sisluet3"/>
        <w:rPr>
          <w:rFonts w:asciiTheme="minorHAnsi" w:eastAsiaTheme="minorEastAsia" w:hAnsiTheme="minorHAnsi" w:cstheme="minorBidi"/>
          <w:noProof/>
          <w:szCs w:val="22"/>
          <w:lang w:eastAsia="fi-FI"/>
        </w:rPr>
      </w:pPr>
      <w:hyperlink w:anchor="_Toc19201162" w:history="1">
        <w:r>
          <w:rPr>
            <w:rStyle w:val="Hyperlinkki"/>
            <w:noProof/>
          </w:rPr>
          <w:t>1. La</w:t>
        </w:r>
        <w:r w:rsidRPr="00450667">
          <w:rPr>
            <w:rStyle w:val="Hyperlinkki"/>
            <w:noProof/>
          </w:rPr>
          <w:t>ki nestemäisten polttoaineiden valmisteverosta annetun lain liitteen verotaulukon muuttamisesta</w:t>
        </w:r>
        <w:r>
          <w:rPr>
            <w:noProof/>
            <w:webHidden/>
          </w:rPr>
          <w:tab/>
        </w:r>
        <w:r>
          <w:rPr>
            <w:noProof/>
            <w:webHidden/>
          </w:rPr>
          <w:fldChar w:fldCharType="begin"/>
        </w:r>
        <w:r>
          <w:rPr>
            <w:noProof/>
            <w:webHidden/>
          </w:rPr>
          <w:instrText xml:space="preserve"> PAGEREF _Toc19201162 \h </w:instrText>
        </w:r>
        <w:r>
          <w:rPr>
            <w:noProof/>
            <w:webHidden/>
          </w:rPr>
        </w:r>
        <w:r>
          <w:rPr>
            <w:noProof/>
            <w:webHidden/>
          </w:rPr>
          <w:fldChar w:fldCharType="separate"/>
        </w:r>
        <w:r>
          <w:rPr>
            <w:noProof/>
            <w:webHidden/>
          </w:rPr>
          <w:t>19</w:t>
        </w:r>
        <w:r>
          <w:rPr>
            <w:noProof/>
            <w:webHidden/>
          </w:rPr>
          <w:fldChar w:fldCharType="end"/>
        </w:r>
      </w:hyperlink>
    </w:p>
    <w:p w:rsidR="00791715" w:rsidRDefault="00791715">
      <w:pPr>
        <w:pStyle w:val="Sisluet3"/>
        <w:rPr>
          <w:rFonts w:asciiTheme="minorHAnsi" w:eastAsiaTheme="minorEastAsia" w:hAnsiTheme="minorHAnsi" w:cstheme="minorBidi"/>
          <w:noProof/>
          <w:szCs w:val="22"/>
          <w:lang w:eastAsia="fi-FI"/>
        </w:rPr>
      </w:pPr>
      <w:r w:rsidRPr="00450667">
        <w:rPr>
          <w:rStyle w:val="Hyperlinkki"/>
          <w:noProof/>
        </w:rPr>
        <w:fldChar w:fldCharType="begin"/>
      </w:r>
      <w:r w:rsidRPr="00450667">
        <w:rPr>
          <w:rStyle w:val="Hyperlinkki"/>
          <w:noProof/>
        </w:rPr>
        <w:instrText xml:space="preserve"> </w:instrText>
      </w:r>
      <w:r>
        <w:rPr>
          <w:noProof/>
        </w:rPr>
        <w:instrText>HYPERLINK \l "_Toc19201163"</w:instrText>
      </w:r>
      <w:r w:rsidRPr="00450667">
        <w:rPr>
          <w:rStyle w:val="Hyperlinkki"/>
          <w:noProof/>
        </w:rPr>
        <w:instrText xml:space="preserve"> </w:instrText>
      </w:r>
      <w:r w:rsidRPr="00450667">
        <w:rPr>
          <w:rStyle w:val="Hyperlinkki"/>
          <w:noProof/>
        </w:rPr>
      </w:r>
      <w:r w:rsidRPr="00450667">
        <w:rPr>
          <w:rStyle w:val="Hyperlinkki"/>
          <w:noProof/>
        </w:rPr>
        <w:fldChar w:fldCharType="separate"/>
      </w:r>
      <w:bookmarkStart w:id="2" w:name="_GoBack"/>
      <w:bookmarkEnd w:id="2"/>
      <w:r>
        <w:rPr>
          <w:rStyle w:val="Hyperlinkki"/>
          <w:noProof/>
        </w:rPr>
        <w:t>2. Laki v</w:t>
      </w:r>
      <w:r w:rsidRPr="00450667">
        <w:rPr>
          <w:rStyle w:val="Hyperlinkki"/>
          <w:noProof/>
        </w:rPr>
        <w:t>almisteverotuslain 5 §:n muuttamisesta</w:t>
      </w:r>
      <w:r>
        <w:rPr>
          <w:noProof/>
          <w:webHidden/>
        </w:rPr>
        <w:tab/>
      </w:r>
      <w:r>
        <w:rPr>
          <w:noProof/>
          <w:webHidden/>
        </w:rPr>
        <w:fldChar w:fldCharType="begin"/>
      </w:r>
      <w:r>
        <w:rPr>
          <w:noProof/>
          <w:webHidden/>
        </w:rPr>
        <w:instrText xml:space="preserve"> PAGEREF _Toc19201163 \h </w:instrText>
      </w:r>
      <w:r>
        <w:rPr>
          <w:noProof/>
          <w:webHidden/>
        </w:rPr>
      </w:r>
      <w:r>
        <w:rPr>
          <w:noProof/>
          <w:webHidden/>
        </w:rPr>
        <w:fldChar w:fldCharType="separate"/>
      </w:r>
      <w:r>
        <w:rPr>
          <w:noProof/>
          <w:webHidden/>
        </w:rPr>
        <w:t>22</w:t>
      </w:r>
      <w:r>
        <w:rPr>
          <w:noProof/>
          <w:webHidden/>
        </w:rPr>
        <w:fldChar w:fldCharType="end"/>
      </w:r>
      <w:r w:rsidRPr="00450667">
        <w:rPr>
          <w:rStyle w:val="Hyperlinkki"/>
          <w:noProof/>
        </w:rPr>
        <w:fldChar w:fldCharType="end"/>
      </w:r>
    </w:p>
    <w:p w:rsidR="000026CD" w:rsidRPr="000026CD" w:rsidRDefault="000026CD" w:rsidP="000026CD">
      <w:pPr>
        <w:pStyle w:val="LLNormaali"/>
      </w:pPr>
      <w:r>
        <w:fldChar w:fldCharType="end"/>
      </w:r>
    </w:p>
    <w:p w:rsidR="00085925" w:rsidRPr="006E4C26" w:rsidRDefault="00085925" w:rsidP="00153658">
      <w:pPr>
        <w:pStyle w:val="LLPerustelujenkappalejako"/>
        <w:spacing w:line="240" w:lineRule="auto"/>
        <w:jc w:val="left"/>
      </w:pPr>
    </w:p>
    <w:p w:rsidR="00153658" w:rsidRPr="006E4C26" w:rsidRDefault="00153658">
      <w:pPr>
        <w:rPr>
          <w:b/>
          <w:caps/>
          <w:sz w:val="21"/>
          <w:szCs w:val="24"/>
          <w:lang w:eastAsia="fi-FI"/>
        </w:rPr>
      </w:pPr>
      <w:r w:rsidRPr="006E4C26">
        <w:br w:type="page"/>
      </w:r>
    </w:p>
    <w:p w:rsidR="00F743F0" w:rsidRDefault="00ED5B54" w:rsidP="00ED5B54">
      <w:pPr>
        <w:pStyle w:val="LLperustelut"/>
      </w:pPr>
      <w:bookmarkStart w:id="3" w:name="_Toc19201142"/>
      <w:r>
        <w:lastRenderedPageBreak/>
        <w:t>Perustelut</w:t>
      </w:r>
      <w:bookmarkEnd w:id="3"/>
    </w:p>
    <w:p w:rsidR="00920056" w:rsidRPr="006E4C26" w:rsidRDefault="005902AA" w:rsidP="00ED5B54">
      <w:pPr>
        <w:pStyle w:val="LLP1Otsikkotaso"/>
      </w:pPr>
      <w:bookmarkStart w:id="4" w:name="_Toc19201143"/>
      <w:r w:rsidRPr="006E4C26">
        <w:t>Asian tausta ja valmistelu</w:t>
      </w:r>
      <w:bookmarkEnd w:id="4"/>
    </w:p>
    <w:p w:rsidR="00276A6E" w:rsidRPr="006E4C26" w:rsidRDefault="00276A6E" w:rsidP="00ED5B54">
      <w:pPr>
        <w:pStyle w:val="LLP2Otsikkotaso"/>
      </w:pPr>
      <w:bookmarkStart w:id="5" w:name="_Toc19201144"/>
      <w:r w:rsidRPr="006E4C26">
        <w:t>Tausta</w:t>
      </w:r>
      <w:bookmarkEnd w:id="5"/>
    </w:p>
    <w:p w:rsidR="00030AC1" w:rsidRPr="006E4C26" w:rsidRDefault="005902AA" w:rsidP="00B72BB2">
      <w:r w:rsidRPr="006E4C26">
        <w:t xml:space="preserve">Pääministeri </w:t>
      </w:r>
      <w:r w:rsidR="00276A6E" w:rsidRPr="006E4C26">
        <w:t xml:space="preserve">Antti </w:t>
      </w:r>
      <w:r w:rsidRPr="006E4C26">
        <w:t>Rinte</w:t>
      </w:r>
      <w:r w:rsidR="00030AC1" w:rsidRPr="006E4C26">
        <w:t xml:space="preserve">en hallituksen hallitusohjelmassa on useita energiaverotuksen päästöohjauksen tehostamista ja energiaverojen korotuksia koskevia kirjauksia. </w:t>
      </w:r>
    </w:p>
    <w:p w:rsidR="00030AC1" w:rsidRPr="006E4C26" w:rsidRDefault="00030AC1" w:rsidP="00B72BB2"/>
    <w:p w:rsidR="00030AC1" w:rsidRPr="006E4C26" w:rsidRDefault="008B2705" w:rsidP="00B72BB2">
      <w:r w:rsidRPr="006E4C26">
        <w:t>Hallitusohjelman mukaan v</w:t>
      </w:r>
      <w:r w:rsidR="00030AC1" w:rsidRPr="006E4C26">
        <w:t>almistellaan hallituksen ilmastotavoitetta palvelemaan kestävän verotuksen tiekartta, jonka ensimmäinen vaihe valmistuu vuoden 2020 kehysriiheen mennessä. Kokonaisuuteen kuuluvat energiaverotuksen uudistus, liikenteen verotuksen uudistus</w:t>
      </w:r>
      <w:r w:rsidR="004F3ADF" w:rsidRPr="006E4C26">
        <w:t xml:space="preserve"> hallituskautta pidemmällä aikavälillä</w:t>
      </w:r>
      <w:r w:rsidR="00030AC1" w:rsidRPr="006E4C26">
        <w:t xml:space="preserve">, kiertotalouden edistäminen sekä päästöihin perustuvan kulutusverotuksen selvittäminen. </w:t>
      </w:r>
      <w:r w:rsidRPr="006E4C26">
        <w:t>Konkreettisemmin energiaverotuksen uudistuksista todetaan, että l</w:t>
      </w:r>
      <w:r w:rsidR="00030AC1" w:rsidRPr="006E4C26">
        <w:t>isätään energiantuotannon päästöohjausta poistamalla teollisuuden energiaveron palautusjärjestelmä ja alentamalla veroluokan II sähkövero kohti EU:n sallimaa minimitasoa kustannusneutraalisti siirtymäkauden kuluessa</w:t>
      </w:r>
      <w:r w:rsidRPr="006E4C26">
        <w:t xml:space="preserve"> ja että a</w:t>
      </w:r>
      <w:r w:rsidR="00030AC1" w:rsidRPr="006E4C26">
        <w:t>lennetaan verotukea yhdistetyssä sähkön ja lämmön tuotannossa sekä korotetaan lämmityspolttoainei</w:t>
      </w:r>
      <w:r w:rsidR="000D7D20" w:rsidRPr="006E4C26">
        <w:t>den verotasoa</w:t>
      </w:r>
      <w:r w:rsidR="00030AC1" w:rsidRPr="006E4C26">
        <w:t xml:space="preserve"> </w:t>
      </w:r>
      <w:r w:rsidR="000D7D20" w:rsidRPr="006E4C26">
        <w:t>siten</w:t>
      </w:r>
      <w:r w:rsidR="00030AC1" w:rsidRPr="006E4C26">
        <w:t>, että verotulot kasvavat yhteensä 100 milj</w:t>
      </w:r>
      <w:r w:rsidR="0054654C" w:rsidRPr="006E4C26">
        <w:t>oonalla</w:t>
      </w:r>
      <w:r w:rsidR="00030AC1" w:rsidRPr="006E4C26">
        <w:t xml:space="preserve"> euro</w:t>
      </w:r>
      <w:r w:rsidR="0054654C" w:rsidRPr="006E4C26">
        <w:t>lla</w:t>
      </w:r>
      <w:r w:rsidR="00030AC1" w:rsidRPr="006E4C26">
        <w:t xml:space="preserve"> vaalikauden aikana. </w:t>
      </w:r>
    </w:p>
    <w:p w:rsidR="00030AC1" w:rsidRPr="006E4C26" w:rsidRDefault="00030AC1" w:rsidP="00B72BB2"/>
    <w:p w:rsidR="00030AC1" w:rsidRPr="006E4C26" w:rsidRDefault="008B2705" w:rsidP="00B72BB2">
      <w:r w:rsidRPr="006E4C26">
        <w:t xml:space="preserve">Kaivostoiminnan energiaverotuksen osalta hallitusohjelmassa todetaan, että kaivokset siirretään sähköveroluokkaan I ja poistetaan ne energiaveroleikkurin piiristä. </w:t>
      </w:r>
      <w:r w:rsidR="000D7D20" w:rsidRPr="006E4C26">
        <w:t>Ohjelman mukaan</w:t>
      </w:r>
      <w:r w:rsidRPr="006E4C26">
        <w:t xml:space="preserve"> e</w:t>
      </w:r>
      <w:r w:rsidR="00030AC1" w:rsidRPr="006E4C26">
        <w:t>nergiaverotuksen kokonaisuudistuksen osana arvioidaan turpeen verotukseen tarvittavat muutokset, jotta turpeeseen liittyvä tavoite</w:t>
      </w:r>
      <w:r w:rsidRPr="006E4C26">
        <w:t xml:space="preserve">, </w:t>
      </w:r>
      <w:r w:rsidR="000D7D20" w:rsidRPr="006E4C26">
        <w:t xml:space="preserve">jonka mukaan </w:t>
      </w:r>
      <w:r w:rsidRPr="006E4C26">
        <w:t>turpeen energiakäyttö vähintään puolitetaan</w:t>
      </w:r>
      <w:r w:rsidR="00030AC1" w:rsidRPr="006E4C26">
        <w:t xml:space="preserve"> vuonna 2030</w:t>
      </w:r>
      <w:r w:rsidRPr="006E4C26">
        <w:t>,</w:t>
      </w:r>
      <w:r w:rsidR="00030AC1" w:rsidRPr="006E4C26">
        <w:t xml:space="preserve"> toteutuu. </w:t>
      </w:r>
      <w:r w:rsidRPr="006E4C26">
        <w:t>Lisäksi o</w:t>
      </w:r>
      <w:r w:rsidR="00030AC1" w:rsidRPr="006E4C26">
        <w:t>n pidettävä huolta siitä, ettei ainespuuta ohjaudu polttoon</w:t>
      </w:r>
      <w:r w:rsidRPr="006E4C26">
        <w:t>.</w:t>
      </w:r>
      <w:r w:rsidR="00031806" w:rsidRPr="006E4C26">
        <w:t xml:space="preserve"> </w:t>
      </w:r>
      <w:r w:rsidR="00031806" w:rsidRPr="006E4C26">
        <w:rPr>
          <w:szCs w:val="24"/>
        </w:rPr>
        <w:t>Hallitusohjelmassa energiaverotuksen muutoksilla tavoitellaan verotuottojen lisäämisen lisäksi entistä voimakkaampaa päästöjen vähentämistä.</w:t>
      </w:r>
    </w:p>
    <w:p w:rsidR="00030AC1" w:rsidRPr="006E4C26" w:rsidRDefault="00030AC1" w:rsidP="00B72BB2"/>
    <w:p w:rsidR="00030AC1" w:rsidRPr="006E4C26" w:rsidRDefault="00C243F4" w:rsidP="00B72BB2">
      <w:pPr>
        <w:rPr>
          <w:szCs w:val="24"/>
        </w:rPr>
      </w:pPr>
      <w:r w:rsidRPr="006E4C26">
        <w:rPr>
          <w:szCs w:val="24"/>
        </w:rPr>
        <w:t>Yhtenä o</w:t>
      </w:r>
      <w:r w:rsidR="008809F9" w:rsidRPr="006E4C26">
        <w:rPr>
          <w:szCs w:val="24"/>
        </w:rPr>
        <w:t xml:space="preserve">sana liikenteen verotusta </w:t>
      </w:r>
      <w:r w:rsidRPr="006E4C26">
        <w:rPr>
          <w:szCs w:val="24"/>
        </w:rPr>
        <w:t xml:space="preserve">koskevia kirjauksia hallitusohjelmassa todetaan, että </w:t>
      </w:r>
      <w:r w:rsidR="008809F9" w:rsidRPr="006E4C26">
        <w:rPr>
          <w:szCs w:val="24"/>
        </w:rPr>
        <w:t>liikenne</w:t>
      </w:r>
      <w:r w:rsidR="00030AC1" w:rsidRPr="006E4C26">
        <w:rPr>
          <w:szCs w:val="24"/>
        </w:rPr>
        <w:t>polttoaineiden verotusta korotetaan 250 milj</w:t>
      </w:r>
      <w:r w:rsidR="008809F9" w:rsidRPr="006E4C26">
        <w:rPr>
          <w:szCs w:val="24"/>
        </w:rPr>
        <w:t>oonalla</w:t>
      </w:r>
      <w:r w:rsidR="00030AC1" w:rsidRPr="006E4C26">
        <w:rPr>
          <w:szCs w:val="24"/>
        </w:rPr>
        <w:t xml:space="preserve"> eurolla vaalikauden aikana.</w:t>
      </w:r>
    </w:p>
    <w:p w:rsidR="00845162" w:rsidRPr="006E4C26" w:rsidRDefault="00845162" w:rsidP="00B72BB2">
      <w:pPr>
        <w:rPr>
          <w:sz w:val="22"/>
          <w:szCs w:val="22"/>
        </w:rPr>
      </w:pPr>
    </w:p>
    <w:p w:rsidR="005902AA" w:rsidRPr="006E4C26" w:rsidRDefault="00920056" w:rsidP="00B72BB2">
      <w:pPr>
        <w:pStyle w:val="LLPerustelujenkappalejako"/>
        <w:spacing w:line="240" w:lineRule="auto"/>
        <w:jc w:val="left"/>
        <w:rPr>
          <w:sz w:val="24"/>
        </w:rPr>
      </w:pPr>
      <w:r w:rsidRPr="006E4C26">
        <w:rPr>
          <w:sz w:val="24"/>
        </w:rPr>
        <w:t>Tä</w:t>
      </w:r>
      <w:r w:rsidR="00276A6E" w:rsidRPr="006E4C26">
        <w:rPr>
          <w:sz w:val="24"/>
        </w:rPr>
        <w:t>ss</w:t>
      </w:r>
      <w:r w:rsidRPr="006E4C26">
        <w:rPr>
          <w:sz w:val="24"/>
        </w:rPr>
        <w:t xml:space="preserve">ä </w:t>
      </w:r>
      <w:r w:rsidR="0073667A" w:rsidRPr="006E4C26">
        <w:rPr>
          <w:sz w:val="24"/>
        </w:rPr>
        <w:t xml:space="preserve">esityksessä ehdotettavilla </w:t>
      </w:r>
      <w:r w:rsidR="00031806" w:rsidRPr="006E4C26">
        <w:rPr>
          <w:sz w:val="24"/>
        </w:rPr>
        <w:t xml:space="preserve">polttoaineverojen </w:t>
      </w:r>
      <w:r w:rsidR="0073667A" w:rsidRPr="006E4C26">
        <w:rPr>
          <w:sz w:val="24"/>
        </w:rPr>
        <w:t xml:space="preserve">korotuksilla </w:t>
      </w:r>
      <w:r w:rsidRPr="006E4C26">
        <w:rPr>
          <w:sz w:val="24"/>
        </w:rPr>
        <w:t xml:space="preserve">toteutettaisiin </w:t>
      </w:r>
      <w:r w:rsidR="00031806" w:rsidRPr="006E4C26">
        <w:rPr>
          <w:sz w:val="24"/>
        </w:rPr>
        <w:t xml:space="preserve">hallitusohjelmassa mainittu liikennepolttoaineiden veronkorotus.  </w:t>
      </w:r>
    </w:p>
    <w:p w:rsidR="007701C1" w:rsidRPr="006E4C26" w:rsidRDefault="00FE2CC5" w:rsidP="00B72BB2">
      <w:pPr>
        <w:pStyle w:val="LLPerustelujenkappalejako"/>
        <w:spacing w:line="240" w:lineRule="auto"/>
        <w:jc w:val="left"/>
        <w:rPr>
          <w:sz w:val="24"/>
        </w:rPr>
      </w:pPr>
      <w:r w:rsidRPr="006E4C26">
        <w:rPr>
          <w:sz w:val="24"/>
        </w:rPr>
        <w:t>Valmisteverotuslain (182/2010) muutoksella pannaan täytäntöön neuvoston direktiivi</w:t>
      </w:r>
      <w:r w:rsidR="00460353" w:rsidRPr="006E4C26">
        <w:rPr>
          <w:sz w:val="24"/>
        </w:rPr>
        <w:t xml:space="preserve"> (EU) 2019/475</w:t>
      </w:r>
      <w:r w:rsidRPr="006E4C26">
        <w:rPr>
          <w:sz w:val="24"/>
        </w:rPr>
        <w:t>. Direktiivi on annettu</w:t>
      </w:r>
      <w:r w:rsidR="00460353" w:rsidRPr="006E4C26">
        <w:rPr>
          <w:sz w:val="24"/>
        </w:rPr>
        <w:t xml:space="preserve"> </w:t>
      </w:r>
      <w:r w:rsidR="007701C1" w:rsidRPr="006E4C26">
        <w:rPr>
          <w:sz w:val="24"/>
        </w:rPr>
        <w:t xml:space="preserve">direktiivien 2006/112/EY, jäljempänä </w:t>
      </w:r>
      <w:r w:rsidR="007701C1" w:rsidRPr="006E4C26">
        <w:rPr>
          <w:i/>
          <w:sz w:val="24"/>
        </w:rPr>
        <w:t>arvonlisäverodirektiivi</w:t>
      </w:r>
      <w:r w:rsidR="007701C1" w:rsidRPr="006E4C26">
        <w:rPr>
          <w:sz w:val="24"/>
        </w:rPr>
        <w:t xml:space="preserve">, ja direktiivi 2008/118/EY, jäljempänä </w:t>
      </w:r>
      <w:r w:rsidR="007701C1" w:rsidRPr="006E4C26">
        <w:rPr>
          <w:i/>
          <w:sz w:val="24"/>
        </w:rPr>
        <w:t>valmisteverodirektiivi,</w:t>
      </w:r>
      <w:r w:rsidR="007701C1" w:rsidRPr="006E4C26">
        <w:rPr>
          <w:sz w:val="24"/>
        </w:rPr>
        <w:t xml:space="preserve"> muuttam</w:t>
      </w:r>
      <w:r w:rsidR="00460353" w:rsidRPr="006E4C26">
        <w:rPr>
          <w:sz w:val="24"/>
        </w:rPr>
        <w:t xml:space="preserve">isesta </w:t>
      </w:r>
      <w:r w:rsidR="007701C1" w:rsidRPr="006E4C26">
        <w:rPr>
          <w:sz w:val="24"/>
        </w:rPr>
        <w:t xml:space="preserve">Italian kunnan </w:t>
      </w:r>
      <w:proofErr w:type="spellStart"/>
      <w:r w:rsidR="007701C1" w:rsidRPr="006E4C26">
        <w:rPr>
          <w:sz w:val="24"/>
        </w:rPr>
        <w:t>Campione</w:t>
      </w:r>
      <w:proofErr w:type="spellEnd"/>
      <w:r w:rsidR="007701C1" w:rsidRPr="006E4C26">
        <w:rPr>
          <w:sz w:val="24"/>
        </w:rPr>
        <w:t xml:space="preserve"> </w:t>
      </w:r>
      <w:proofErr w:type="spellStart"/>
      <w:r w:rsidR="007701C1" w:rsidRPr="006E4C26">
        <w:rPr>
          <w:sz w:val="24"/>
        </w:rPr>
        <w:t>d’Italian</w:t>
      </w:r>
      <w:proofErr w:type="spellEnd"/>
      <w:r w:rsidR="007701C1" w:rsidRPr="006E4C26">
        <w:rPr>
          <w:sz w:val="24"/>
        </w:rPr>
        <w:t xml:space="preserve"> sekä </w:t>
      </w:r>
      <w:proofErr w:type="spellStart"/>
      <w:r w:rsidR="007701C1" w:rsidRPr="006E4C26">
        <w:rPr>
          <w:sz w:val="24"/>
        </w:rPr>
        <w:t>Luganojärven</w:t>
      </w:r>
      <w:proofErr w:type="spellEnd"/>
      <w:r w:rsidR="007701C1" w:rsidRPr="006E4C26">
        <w:rPr>
          <w:sz w:val="24"/>
        </w:rPr>
        <w:t xml:space="preserve"> Italialle </w:t>
      </w:r>
      <w:r w:rsidRPr="006E4C26">
        <w:rPr>
          <w:sz w:val="24"/>
        </w:rPr>
        <w:t>kuuluvien</w:t>
      </w:r>
      <w:r w:rsidR="007701C1" w:rsidRPr="006E4C26">
        <w:rPr>
          <w:sz w:val="24"/>
        </w:rPr>
        <w:t xml:space="preserve"> v</w:t>
      </w:r>
      <w:r w:rsidRPr="006E4C26">
        <w:rPr>
          <w:sz w:val="24"/>
        </w:rPr>
        <w:t>esialueiden sisällyttämiseksi</w:t>
      </w:r>
      <w:r w:rsidR="007701C1" w:rsidRPr="006E4C26">
        <w:rPr>
          <w:sz w:val="24"/>
        </w:rPr>
        <w:t xml:space="preserve"> unionin tullialueeseen ja valmisteverodirektiiv</w:t>
      </w:r>
      <w:r w:rsidR="00460353" w:rsidRPr="006E4C26">
        <w:rPr>
          <w:sz w:val="24"/>
        </w:rPr>
        <w:t>in alueelli</w:t>
      </w:r>
      <w:r w:rsidR="00460353" w:rsidRPr="006E4C26">
        <w:rPr>
          <w:sz w:val="24"/>
        </w:rPr>
        <w:lastRenderedPageBreak/>
        <w:t>seen soveltamisalaan. Tästä</w:t>
      </w:r>
      <w:r w:rsidR="00275B67" w:rsidRPr="006E4C26">
        <w:t xml:space="preserve"> </w:t>
      </w:r>
      <w:r w:rsidR="00275B67" w:rsidRPr="006E4C26">
        <w:rPr>
          <w:sz w:val="24"/>
        </w:rPr>
        <w:t>johtuen</w:t>
      </w:r>
      <w:r w:rsidR="00275B67" w:rsidRPr="006E4C26">
        <w:t xml:space="preserve"> </w:t>
      </w:r>
      <w:r w:rsidR="00275B67" w:rsidRPr="006E4C26">
        <w:rPr>
          <w:sz w:val="24"/>
        </w:rPr>
        <w:t xml:space="preserve">valmisteverodirektiivin kolmannen alueen määritelmää koskevan 5 artiklan 3 kohdan f ja g alakohta kumottiin. </w:t>
      </w:r>
      <w:r w:rsidR="00460353" w:rsidRPr="006E4C26">
        <w:rPr>
          <w:sz w:val="24"/>
        </w:rPr>
        <w:t>Kyseiset alueet jätettiin arvonlisäverodirektiivin alueellisen soveltamisalan ulkopuolelle.</w:t>
      </w:r>
    </w:p>
    <w:p w:rsidR="00276A6E" w:rsidRPr="006E4C26" w:rsidRDefault="00276A6E" w:rsidP="00ED5B54">
      <w:pPr>
        <w:pStyle w:val="LLP2Otsikkotaso"/>
      </w:pPr>
      <w:bookmarkStart w:id="6" w:name="_Toc19201145"/>
      <w:r w:rsidRPr="006E4C26">
        <w:t>Valmistelu</w:t>
      </w:r>
      <w:bookmarkEnd w:id="6"/>
    </w:p>
    <w:p w:rsidR="00C6702C" w:rsidRPr="006E4C26" w:rsidRDefault="00C6702C" w:rsidP="00B72BB2">
      <w:pPr>
        <w:pStyle w:val="LLPerustelujenkappalejako"/>
        <w:spacing w:line="240" w:lineRule="auto"/>
        <w:jc w:val="left"/>
        <w:rPr>
          <w:sz w:val="24"/>
        </w:rPr>
      </w:pPr>
      <w:r w:rsidRPr="006E4C26">
        <w:rPr>
          <w:sz w:val="24"/>
        </w:rPr>
        <w:t>Esitys on valmisteltu valtiovarainministeriössä</w:t>
      </w:r>
      <w:r w:rsidR="00031806" w:rsidRPr="006E4C26">
        <w:rPr>
          <w:sz w:val="24"/>
        </w:rPr>
        <w:t>.</w:t>
      </w:r>
    </w:p>
    <w:p w:rsidR="00C6702C" w:rsidRPr="006E4C26" w:rsidRDefault="00C6702C" w:rsidP="00B72BB2">
      <w:pPr>
        <w:pStyle w:val="LLPerustelujenkappalejako"/>
        <w:spacing w:line="240" w:lineRule="auto"/>
        <w:jc w:val="left"/>
        <w:rPr>
          <w:sz w:val="24"/>
        </w:rPr>
      </w:pPr>
      <w:r w:rsidRPr="006E4C26">
        <w:rPr>
          <w:sz w:val="24"/>
        </w:rPr>
        <w:t xml:space="preserve">Esityksestä on </w:t>
      </w:r>
      <w:r w:rsidR="003369E6" w:rsidRPr="006E4C26">
        <w:rPr>
          <w:sz w:val="24"/>
        </w:rPr>
        <w:t>saatu</w:t>
      </w:r>
      <w:r w:rsidRPr="006E4C26">
        <w:rPr>
          <w:sz w:val="24"/>
        </w:rPr>
        <w:t xml:space="preserve"> </w:t>
      </w:r>
      <w:proofErr w:type="gramStart"/>
      <w:r w:rsidRPr="006E4C26">
        <w:rPr>
          <w:sz w:val="24"/>
        </w:rPr>
        <w:t>lausunto</w:t>
      </w:r>
      <w:r w:rsidR="00030AC1" w:rsidRPr="006E4C26">
        <w:rPr>
          <w:sz w:val="24"/>
        </w:rPr>
        <w:t>….</w:t>
      </w:r>
      <w:proofErr w:type="gramEnd"/>
      <w:r w:rsidR="00030AC1" w:rsidRPr="006E4C26">
        <w:rPr>
          <w:sz w:val="24"/>
        </w:rPr>
        <w:t>.</w:t>
      </w:r>
    </w:p>
    <w:p w:rsidR="00522A88" w:rsidRDefault="00522A88" w:rsidP="00522A88">
      <w:pPr>
        <w:pStyle w:val="LLPerustelujenkappalejako"/>
        <w:rPr>
          <w:sz w:val="24"/>
        </w:rPr>
      </w:pPr>
      <w:r w:rsidRPr="006E4C26">
        <w:rPr>
          <w:sz w:val="24"/>
        </w:rPr>
        <w:t xml:space="preserve">Valmisteverotuslain </w:t>
      </w:r>
      <w:r w:rsidR="00FE2CC5" w:rsidRPr="006E4C26">
        <w:rPr>
          <w:sz w:val="24"/>
        </w:rPr>
        <w:t>muutosta koskeva</w:t>
      </w:r>
      <w:r w:rsidR="004A2138" w:rsidRPr="006E4C26">
        <w:rPr>
          <w:sz w:val="24"/>
        </w:rPr>
        <w:t xml:space="preserve"> neuvoston</w:t>
      </w:r>
      <w:r w:rsidR="00FE2CC5" w:rsidRPr="006E4C26">
        <w:rPr>
          <w:sz w:val="24"/>
        </w:rPr>
        <w:t xml:space="preserve"> </w:t>
      </w:r>
      <w:r w:rsidRPr="006E4C26">
        <w:rPr>
          <w:sz w:val="24"/>
        </w:rPr>
        <w:t xml:space="preserve">direktiivi (EU) 2019/475, </w:t>
      </w:r>
      <w:r w:rsidR="00FE2CC5" w:rsidRPr="006E4C26">
        <w:rPr>
          <w:sz w:val="24"/>
        </w:rPr>
        <w:t xml:space="preserve">asiasta tehty </w:t>
      </w:r>
      <w:r w:rsidRPr="006E4C26">
        <w:rPr>
          <w:sz w:val="24"/>
        </w:rPr>
        <w:t>U-kirjelmä (U 36/2018 vp</w:t>
      </w:r>
      <w:r w:rsidR="00C16820">
        <w:rPr>
          <w:sz w:val="24"/>
        </w:rPr>
        <w:t xml:space="preserve">, </w:t>
      </w:r>
      <w:hyperlink r:id="rId8" w:history="1">
        <w:r w:rsidR="00C16820" w:rsidRPr="00A321B5">
          <w:rPr>
            <w:rStyle w:val="Hyperlinkki"/>
            <w:sz w:val="24"/>
          </w:rPr>
          <w:t>https://www.eduskunta.fi/FI/vaski/Kirjelma/Sivut/U_36+2018.aspx</w:t>
        </w:r>
      </w:hyperlink>
      <w:r w:rsidRPr="006E4C26">
        <w:rPr>
          <w:sz w:val="24"/>
        </w:rPr>
        <w:t>) ja s</w:t>
      </w:r>
      <w:r w:rsidR="00FE2CC5" w:rsidRPr="006E4C26">
        <w:rPr>
          <w:sz w:val="24"/>
        </w:rPr>
        <w:t xml:space="preserve">iihen annetut lausunnot ovat saatavilla </w:t>
      </w:r>
      <w:r w:rsidR="00FE2CC5" w:rsidRPr="00C16820">
        <w:rPr>
          <w:sz w:val="24"/>
        </w:rPr>
        <w:t>V</w:t>
      </w:r>
      <w:r w:rsidRPr="00C16820">
        <w:rPr>
          <w:sz w:val="24"/>
        </w:rPr>
        <w:t xml:space="preserve">altioneuvoston </w:t>
      </w:r>
      <w:r w:rsidR="009C3A00" w:rsidRPr="00C16820">
        <w:rPr>
          <w:sz w:val="24"/>
        </w:rPr>
        <w:t xml:space="preserve">hankeikkunassa osoitteessa </w:t>
      </w:r>
      <w:hyperlink r:id="rId9" w:history="1">
        <w:r w:rsidR="009C3A00" w:rsidRPr="00A321B5">
          <w:rPr>
            <w:rStyle w:val="Hyperlinkki"/>
            <w:sz w:val="24"/>
          </w:rPr>
          <w:t>https://vm.fi/hanke?tunnus=VM099:00/2019</w:t>
        </w:r>
      </w:hyperlink>
      <w:r w:rsidR="009C3A00">
        <w:rPr>
          <w:sz w:val="24"/>
        </w:rPr>
        <w:t>.</w:t>
      </w:r>
    </w:p>
    <w:p w:rsidR="00F743F0" w:rsidRPr="006E4C26" w:rsidRDefault="00F743F0" w:rsidP="00ED5B54">
      <w:pPr>
        <w:pStyle w:val="LLP1Otsikkotaso"/>
      </w:pPr>
      <w:bookmarkStart w:id="7" w:name="_Toc19201146"/>
      <w:r w:rsidRPr="006E4C26">
        <w:t>Nykytila</w:t>
      </w:r>
      <w:r w:rsidR="005902AA" w:rsidRPr="006E4C26">
        <w:t xml:space="preserve"> ja sen arviointi</w:t>
      </w:r>
      <w:bookmarkEnd w:id="7"/>
    </w:p>
    <w:p w:rsidR="00F743F0" w:rsidRPr="006E4C26" w:rsidRDefault="00F743F0" w:rsidP="00ED5B54">
      <w:pPr>
        <w:pStyle w:val="LLP2Otsikkotaso"/>
      </w:pPr>
      <w:r w:rsidRPr="006E4C26">
        <w:t xml:space="preserve"> </w:t>
      </w:r>
      <w:bookmarkStart w:id="8" w:name="_Toc19201147"/>
      <w:r w:rsidRPr="006E4C26">
        <w:t>Lainsäädäntö</w:t>
      </w:r>
      <w:bookmarkEnd w:id="8"/>
      <w:r w:rsidRPr="006E4C26">
        <w:t xml:space="preserve"> </w:t>
      </w:r>
    </w:p>
    <w:p w:rsidR="00F743F0" w:rsidRPr="006E4C26" w:rsidRDefault="00F743F0" w:rsidP="00B72BB2">
      <w:pPr>
        <w:pStyle w:val="LLNormaali"/>
        <w:spacing w:line="240" w:lineRule="auto"/>
        <w:rPr>
          <w:sz w:val="24"/>
        </w:rPr>
      </w:pPr>
      <w:r w:rsidRPr="006E4C26">
        <w:rPr>
          <w:sz w:val="24"/>
        </w:rPr>
        <w:t>Kansallinen lainsäädäntö</w:t>
      </w:r>
    </w:p>
    <w:p w:rsidR="00F743F0" w:rsidRPr="006E4C26" w:rsidRDefault="00F743F0" w:rsidP="00B72BB2">
      <w:pPr>
        <w:pStyle w:val="LLNormaali"/>
        <w:spacing w:line="240" w:lineRule="auto"/>
      </w:pPr>
    </w:p>
    <w:p w:rsidR="00EB493C" w:rsidRPr="006E4C26" w:rsidRDefault="00EB493C" w:rsidP="00B72BB2">
      <w:pPr>
        <w:shd w:val="clear" w:color="auto" w:fill="FFFFFF"/>
        <w:rPr>
          <w:szCs w:val="24"/>
          <w:lang w:eastAsia="fi-FI"/>
        </w:rPr>
      </w:pPr>
      <w:r w:rsidRPr="006E4C26">
        <w:rPr>
          <w:szCs w:val="24"/>
          <w:lang w:eastAsia="fi-FI"/>
        </w:rPr>
        <w:t>Nestemäisten polttoaineiden valmisteverosta annettua lakia (1472/1994), jäljempänä </w:t>
      </w:r>
      <w:r w:rsidRPr="006E4C26">
        <w:rPr>
          <w:i/>
          <w:iCs/>
          <w:szCs w:val="24"/>
          <w:lang w:eastAsia="fi-FI"/>
        </w:rPr>
        <w:t>polttoaineverolaki</w:t>
      </w:r>
      <w:r w:rsidRPr="006E4C26">
        <w:rPr>
          <w:szCs w:val="24"/>
          <w:lang w:eastAsia="fi-FI"/>
        </w:rPr>
        <w:t>, muutettiin energiaverouudistuksen yhteydessä lailla 1399/2010 vuoden 2011 alusta siten, että polttoaineiden litrapohjainen valmistevero muutettiin polttoaineen energiasisältöön eli lämpöarvoon perustuvaksi energiasisältöveroksi sekä poltosta syntyvään hiilidioksidin ominaispäästöön perustuvaksi hiilidioksidiveroksi. </w:t>
      </w:r>
    </w:p>
    <w:p w:rsidR="00833C54" w:rsidRPr="006E4C26" w:rsidRDefault="00833C54" w:rsidP="00B72BB2">
      <w:pPr>
        <w:shd w:val="clear" w:color="auto" w:fill="FFFFFF"/>
        <w:rPr>
          <w:szCs w:val="24"/>
          <w:lang w:eastAsia="fi-FI"/>
        </w:rPr>
      </w:pPr>
    </w:p>
    <w:p w:rsidR="003369E6" w:rsidRPr="006E4C26" w:rsidRDefault="00EB493C" w:rsidP="00B72BB2">
      <w:pPr>
        <w:shd w:val="clear" w:color="auto" w:fill="FFFFFF"/>
        <w:rPr>
          <w:szCs w:val="24"/>
          <w:lang w:eastAsia="fi-FI"/>
        </w:rPr>
      </w:pPr>
      <w:r w:rsidRPr="006E4C26">
        <w:rPr>
          <w:szCs w:val="24"/>
          <w:lang w:eastAsia="fi-FI"/>
        </w:rPr>
        <w:t xml:space="preserve">Nykyisin energiasisältöveron määrä on 0,01631 euroa megajoulelta ja hiilidioksidivero 62 euroa </w:t>
      </w:r>
      <w:r w:rsidR="000D6E55" w:rsidRPr="006E4C26">
        <w:rPr>
          <w:szCs w:val="24"/>
          <w:lang w:eastAsia="fi-FI"/>
        </w:rPr>
        <w:t>hiilidioksidiekvivalentti</w:t>
      </w:r>
      <w:r w:rsidRPr="006E4C26">
        <w:rPr>
          <w:szCs w:val="24"/>
          <w:lang w:eastAsia="fi-FI"/>
        </w:rPr>
        <w:t xml:space="preserve">tonnilta, joka esimerkiksi moottoribensiinille tarkoittaa hiilidioksidiverona 0,0051 euroa megajoulelta.  Polttoaineverolain liitteen verotaulukossa verojen määrä on selvyyden vuoksi muunnettu verotettavaan yksikköön polttoainekohtaisesti. Liikennepolttoaineista fossiilisen bensiinin energiasisältövero on 52,19 ja hiilidioksidivero 17,38 senttiä litralta. </w:t>
      </w:r>
    </w:p>
    <w:p w:rsidR="003369E6" w:rsidRPr="006E4C26" w:rsidRDefault="003369E6" w:rsidP="00B72BB2">
      <w:pPr>
        <w:shd w:val="clear" w:color="auto" w:fill="FFFFFF"/>
        <w:rPr>
          <w:szCs w:val="24"/>
          <w:lang w:eastAsia="fi-FI"/>
        </w:rPr>
      </w:pPr>
    </w:p>
    <w:p w:rsidR="00EB493C" w:rsidRPr="006E4C26" w:rsidRDefault="00EB493C" w:rsidP="00B72BB2">
      <w:pPr>
        <w:shd w:val="clear" w:color="auto" w:fill="FFFFFF"/>
        <w:rPr>
          <w:szCs w:val="24"/>
          <w:lang w:eastAsia="fi-FI"/>
        </w:rPr>
      </w:pPr>
      <w:r w:rsidRPr="006E4C26">
        <w:rPr>
          <w:szCs w:val="24"/>
          <w:lang w:eastAsia="fi-FI"/>
        </w:rPr>
        <w:t xml:space="preserve">Lähtökohtaisesti kaikilla fossiilisilla ja bioperäisillä liikennepolttoaineilla tulisi olla sama, bensiinin verotasoon sidottu energiasisältövero. Pääosin hyötyliikenteen kuluttaman fossiilisen ja bioperäisen dieselöljyn energiasisältöveron taso ei kuitenkaan ole yhtä korkea kuin pääosin henkilöautoliikenteessä käytettävän moottoribensiinin ja sitä korvaavien bioperäisten polttoaineiden. Dieselöljyn lievemmällä verotuksella on haluttu alentaa muun muassa kuorma-autoliikenteen ja sitä kautta vientiteollisuuden sekä linja-autoliikenteen kustannuksia. Tämä on toteutettu siten, että dieselöljyn ja sitä korvaavien polttoaineiden energiasisällölle annettua veroa alennetaan kiinteällä summalla </w:t>
      </w:r>
      <w:r w:rsidR="00833C54" w:rsidRPr="006E4C26">
        <w:rPr>
          <w:szCs w:val="24"/>
          <w:lang w:eastAsia="fi-FI"/>
        </w:rPr>
        <w:t>0,0072 euroa megajoulelta,</w:t>
      </w:r>
      <w:r w:rsidRPr="006E4C26">
        <w:rPr>
          <w:szCs w:val="24"/>
          <w:lang w:eastAsia="fi-FI"/>
        </w:rPr>
        <w:t xml:space="preserve"> joka tarkoittaa </w:t>
      </w:r>
      <w:r w:rsidR="00833C54" w:rsidRPr="006E4C26">
        <w:rPr>
          <w:szCs w:val="24"/>
          <w:lang w:eastAsia="fi-FI"/>
        </w:rPr>
        <w:t xml:space="preserve">perinteiselle fossiiliselle </w:t>
      </w:r>
      <w:r w:rsidRPr="006E4C26">
        <w:rPr>
          <w:szCs w:val="24"/>
          <w:lang w:eastAsia="fi-FI"/>
        </w:rPr>
        <w:t>dieselöljy</w:t>
      </w:r>
      <w:r w:rsidR="00E11380" w:rsidRPr="006E4C26">
        <w:rPr>
          <w:szCs w:val="24"/>
          <w:lang w:eastAsia="fi-FI"/>
        </w:rPr>
        <w:t>l</w:t>
      </w:r>
      <w:r w:rsidR="000D7D20" w:rsidRPr="006E4C26">
        <w:rPr>
          <w:szCs w:val="24"/>
          <w:lang w:eastAsia="fi-FI"/>
        </w:rPr>
        <w:t>itralle</w:t>
      </w:r>
      <w:r w:rsidR="00833C54" w:rsidRPr="006E4C26">
        <w:rPr>
          <w:szCs w:val="24"/>
          <w:lang w:eastAsia="fi-FI"/>
        </w:rPr>
        <w:t xml:space="preserve"> </w:t>
      </w:r>
      <w:r w:rsidR="00833C54" w:rsidRPr="006E4C26">
        <w:rPr>
          <w:szCs w:val="24"/>
          <w:lang w:eastAsia="fi-FI"/>
        </w:rPr>
        <w:lastRenderedPageBreak/>
        <w:t>25,95 sent</w:t>
      </w:r>
      <w:r w:rsidR="000D7D20" w:rsidRPr="006E4C26">
        <w:rPr>
          <w:szCs w:val="24"/>
          <w:lang w:eastAsia="fi-FI"/>
        </w:rPr>
        <w:t>in suuruista</w:t>
      </w:r>
      <w:r w:rsidR="00833C54" w:rsidRPr="006E4C26">
        <w:rPr>
          <w:szCs w:val="24"/>
          <w:lang w:eastAsia="fi-FI"/>
        </w:rPr>
        <w:t xml:space="preserve"> </w:t>
      </w:r>
      <w:r w:rsidRPr="006E4C26">
        <w:rPr>
          <w:szCs w:val="24"/>
          <w:lang w:eastAsia="fi-FI"/>
        </w:rPr>
        <w:t>veronalennusta veroperusteen edellyttämään tasoon. Verotaulukossa ilmoitettu fossiilisen dieselöljyn energiasisältövero on 32,77 senttiä litralta ja hiilidioksidivero 19,90 senttiä litralta. Koska dieselöljyn energiasisältövero (0,00911 euroa megajoulelta) on matalampi kuin veron ympäristöperusteet edellyttäisivät (0,01631 euroa megajoulelta) eikä dieselhenkilöautojen suosimiselle ole ympäristö- eikä muitakaan perusteita, dieselkäyttöisistä henkilöautoista kannetaan ajoneuvoveron käyttövoimaveroa, jolla täydennetään polttoaineverotusta ja yhtenäistetään bensiinin ja dieselöljyn erilaisesta verokohtelusta aiheutuvia kustannuseroja autoilijoille keskimääräisellä vuotuisella ajosuoritteella sekä varmistetaan valtiontukisääntelyn edellyttämä vaatimus neutraalista energiaverotuksesta. Käyttövoimaveroa kannetaan diesel</w:t>
      </w:r>
      <w:r w:rsidR="00776FE0" w:rsidRPr="006E4C26">
        <w:rPr>
          <w:szCs w:val="24"/>
          <w:lang w:eastAsia="fi-FI"/>
        </w:rPr>
        <w:t xml:space="preserve">käyttöisten henkilöautojen </w:t>
      </w:r>
      <w:r w:rsidRPr="006E4C26">
        <w:rPr>
          <w:szCs w:val="24"/>
          <w:lang w:eastAsia="fi-FI"/>
        </w:rPr>
        <w:t xml:space="preserve">lisäksi </w:t>
      </w:r>
      <w:r w:rsidR="00776FE0" w:rsidRPr="006E4C26">
        <w:rPr>
          <w:szCs w:val="24"/>
          <w:lang w:eastAsia="fi-FI"/>
        </w:rPr>
        <w:t xml:space="preserve">henkilöautoista, joiden käyttövoimana on jokin muu </w:t>
      </w:r>
      <w:r w:rsidRPr="006E4C26">
        <w:rPr>
          <w:szCs w:val="24"/>
          <w:lang w:eastAsia="fi-FI"/>
        </w:rPr>
        <w:t>bensiiniä lievemmi</w:t>
      </w:r>
      <w:r w:rsidR="00776FE0" w:rsidRPr="006E4C26">
        <w:rPr>
          <w:szCs w:val="24"/>
          <w:lang w:eastAsia="fi-FI"/>
        </w:rPr>
        <w:t>llä kriteereillä verotettu käyttövoima</w:t>
      </w:r>
      <w:r w:rsidRPr="006E4C26">
        <w:rPr>
          <w:szCs w:val="24"/>
          <w:lang w:eastAsia="fi-FI"/>
        </w:rPr>
        <w:t>, jotta myös niiden osalta täytettäisiin energiaverojärjestelmän luonteen mukainen ja valtiontukisääntelyn edellyttämä liikenteen käyttövoimien objektiivinen ja neutraali verotus.</w:t>
      </w:r>
    </w:p>
    <w:p w:rsidR="00EB493C" w:rsidRPr="006E4C26" w:rsidRDefault="00EB493C" w:rsidP="00B72BB2">
      <w:pPr>
        <w:shd w:val="clear" w:color="auto" w:fill="FFFFFF"/>
        <w:rPr>
          <w:szCs w:val="24"/>
          <w:lang w:eastAsia="fi-FI"/>
        </w:rPr>
      </w:pPr>
      <w:r w:rsidRPr="006E4C26">
        <w:rPr>
          <w:szCs w:val="24"/>
          <w:lang w:eastAsia="fi-FI"/>
        </w:rPr>
        <w:t> </w:t>
      </w:r>
    </w:p>
    <w:p w:rsidR="00EB493C" w:rsidRPr="006E4C26" w:rsidRDefault="00EB493C" w:rsidP="00B72BB2">
      <w:pPr>
        <w:shd w:val="clear" w:color="auto" w:fill="FFFFFF"/>
        <w:rPr>
          <w:szCs w:val="24"/>
          <w:lang w:eastAsia="fi-FI"/>
        </w:rPr>
      </w:pPr>
      <w:r w:rsidRPr="006E4C26">
        <w:rPr>
          <w:szCs w:val="24"/>
          <w:lang w:eastAsia="fi-FI"/>
        </w:rPr>
        <w:t>Koska myös bioperäisten bensiini- ja diesellaatujen energiasisältövero määräytyy niiden lämpöarvon perusteella, niiden litraperusteinen energiasisältövero on vastaavia fossiilisia polttoaineita matalampi. </w:t>
      </w:r>
    </w:p>
    <w:p w:rsidR="00EB493C" w:rsidRPr="006E4C26" w:rsidRDefault="00EB493C" w:rsidP="00B72BB2">
      <w:pPr>
        <w:shd w:val="clear" w:color="auto" w:fill="FFFFFF"/>
        <w:rPr>
          <w:szCs w:val="24"/>
          <w:lang w:eastAsia="fi-FI"/>
        </w:rPr>
      </w:pPr>
    </w:p>
    <w:p w:rsidR="00EB493C" w:rsidRPr="006E4C26" w:rsidRDefault="00EB493C" w:rsidP="00B72BB2">
      <w:pPr>
        <w:shd w:val="clear" w:color="auto" w:fill="FFFFFF"/>
        <w:rPr>
          <w:szCs w:val="24"/>
          <w:lang w:eastAsia="fi-FI"/>
        </w:rPr>
      </w:pPr>
      <w:r w:rsidRPr="006E4C26">
        <w:rPr>
          <w:szCs w:val="24"/>
          <w:lang w:eastAsia="fi-FI"/>
        </w:rPr>
        <w:t xml:space="preserve">Lähipäästöiltään perinteisiä fossiilisia polttoaineita parempien polttoainelaatujen energiasisältöverosta myönnetään alennus, joka vastaa </w:t>
      </w:r>
      <w:r w:rsidR="006B2FF9" w:rsidRPr="006E4C26">
        <w:rPr>
          <w:szCs w:val="24"/>
          <w:lang w:eastAsia="fi-FI"/>
        </w:rPr>
        <w:t xml:space="preserve">Valtion teknillisen tutkimuskeskuksen </w:t>
      </w:r>
      <w:r w:rsidR="00F726C9" w:rsidRPr="006E4C26">
        <w:rPr>
          <w:szCs w:val="24"/>
          <w:lang w:eastAsia="fi-FI"/>
        </w:rPr>
        <w:t xml:space="preserve">(VTT) </w:t>
      </w:r>
      <w:r w:rsidR="0050415F" w:rsidRPr="006E4C26">
        <w:rPr>
          <w:szCs w:val="24"/>
          <w:lang w:eastAsia="fi-FI"/>
        </w:rPr>
        <w:t xml:space="preserve">vuonna 2010 </w:t>
      </w:r>
      <w:r w:rsidR="006B2FF9" w:rsidRPr="006E4C26">
        <w:rPr>
          <w:szCs w:val="24"/>
          <w:lang w:eastAsia="fi-FI"/>
        </w:rPr>
        <w:t xml:space="preserve">arvioimaa </w:t>
      </w:r>
      <w:r w:rsidRPr="006E4C26">
        <w:rPr>
          <w:szCs w:val="24"/>
          <w:lang w:eastAsia="fi-FI"/>
        </w:rPr>
        <w:t>päästöhyödyn laskennallista arvoa</w:t>
      </w:r>
      <w:r w:rsidR="0050415F" w:rsidRPr="006E4C26">
        <w:rPr>
          <w:szCs w:val="24"/>
          <w:lang w:eastAsia="fi-FI"/>
        </w:rPr>
        <w:t xml:space="preserve">. </w:t>
      </w:r>
      <w:r w:rsidR="00644189" w:rsidRPr="006E4C26">
        <w:rPr>
          <w:szCs w:val="24"/>
          <w:lang w:eastAsia="fi-FI"/>
        </w:rPr>
        <w:t xml:space="preserve">Parafiiniselle dieselpolttoainelitralle myönnetään energiasisältöverosta viiden sentin alennus. </w:t>
      </w:r>
      <w:r w:rsidR="0050415F" w:rsidRPr="006E4C26">
        <w:rPr>
          <w:szCs w:val="24"/>
          <w:lang w:eastAsia="fi-FI"/>
        </w:rPr>
        <w:t xml:space="preserve">Päästöhyödyn arvon laskennassa </w:t>
      </w:r>
      <w:r w:rsidR="006B3597" w:rsidRPr="006E4C26">
        <w:rPr>
          <w:szCs w:val="24"/>
          <w:lang w:eastAsia="fi-FI"/>
        </w:rPr>
        <w:t xml:space="preserve">painotettiin EURO II luokan busseissa saavutettavia laskennallisia päästöhyötyjä soveltaen </w:t>
      </w:r>
      <w:r w:rsidR="00F726C9" w:rsidRPr="006E4C26">
        <w:rPr>
          <w:szCs w:val="24"/>
          <w:lang w:eastAsia="fi-FI"/>
        </w:rPr>
        <w:t>puhtaiden ja energiatehokkaiden ajoneuvojen edistämisestä annetun Euroopan parlamentin direktiivin (2009/33/EY) mukaisia korotettuja haitta-arvoja typpi- ja pienhiukkaspäästöille.</w:t>
      </w:r>
      <w:r w:rsidR="0050415F" w:rsidRPr="006E4C26">
        <w:rPr>
          <w:szCs w:val="24"/>
          <w:lang w:eastAsia="fi-FI"/>
        </w:rPr>
        <w:t xml:space="preserve"> </w:t>
      </w:r>
    </w:p>
    <w:p w:rsidR="00EB493C" w:rsidRPr="006E4C26" w:rsidRDefault="00EB493C" w:rsidP="00B72BB2">
      <w:pPr>
        <w:shd w:val="clear" w:color="auto" w:fill="FFFFFF"/>
        <w:rPr>
          <w:szCs w:val="24"/>
          <w:lang w:eastAsia="fi-FI"/>
        </w:rPr>
      </w:pPr>
    </w:p>
    <w:p w:rsidR="00EB493C" w:rsidRPr="006E4C26" w:rsidRDefault="004E3AD4" w:rsidP="00B72BB2">
      <w:pPr>
        <w:shd w:val="clear" w:color="auto" w:fill="FFFFFF"/>
        <w:rPr>
          <w:szCs w:val="24"/>
          <w:lang w:eastAsia="fi-FI"/>
        </w:rPr>
      </w:pPr>
      <w:r w:rsidRPr="006E4C26">
        <w:rPr>
          <w:szCs w:val="24"/>
          <w:lang w:eastAsia="fi-FI"/>
        </w:rPr>
        <w:t>L</w:t>
      </w:r>
      <w:r w:rsidR="00EB493C" w:rsidRPr="006E4C26">
        <w:rPr>
          <w:szCs w:val="24"/>
          <w:lang w:eastAsia="fi-FI"/>
        </w:rPr>
        <w:t xml:space="preserve">iikennepolttoaineiden hiilidioksidiveron määrän laskentaperuste on hiilidioksiditonnin arvo 62 euroa sekä jokaiselle </w:t>
      </w:r>
      <w:r w:rsidR="00E13BAC" w:rsidRPr="006E4C26">
        <w:rPr>
          <w:szCs w:val="24"/>
          <w:lang w:eastAsia="fi-FI"/>
        </w:rPr>
        <w:t xml:space="preserve">fossiiliselle </w:t>
      </w:r>
      <w:r w:rsidR="00EB493C" w:rsidRPr="006E4C26">
        <w:rPr>
          <w:szCs w:val="24"/>
          <w:lang w:eastAsia="fi-FI"/>
        </w:rPr>
        <w:t xml:space="preserve">tuotteelle ominainen hiilidioksidipäästökerroin. Sekä fossiilisten että bioperäisten polttoaineiden hiilidioksidivero on energiasisältöveron tavoin suhteutettu polttoaineen lämpöarvoon, jolloin bioperäisten polttoaineiden litrakohtainen vero on fossiilisia alempi. </w:t>
      </w:r>
    </w:p>
    <w:p w:rsidR="00EB493C" w:rsidRPr="006E4C26" w:rsidRDefault="00EB493C" w:rsidP="00B72BB2">
      <w:pPr>
        <w:shd w:val="clear" w:color="auto" w:fill="FFFFFF"/>
        <w:rPr>
          <w:szCs w:val="24"/>
          <w:lang w:eastAsia="fi-FI"/>
        </w:rPr>
      </w:pPr>
    </w:p>
    <w:p w:rsidR="00EB493C" w:rsidRPr="006E4C26" w:rsidRDefault="00EB493C" w:rsidP="00B72BB2">
      <w:pPr>
        <w:shd w:val="clear" w:color="auto" w:fill="FFFFFF"/>
        <w:rPr>
          <w:szCs w:val="24"/>
          <w:lang w:eastAsia="fi-FI"/>
        </w:rPr>
      </w:pPr>
      <w:r w:rsidRPr="006E4C26">
        <w:rPr>
          <w:szCs w:val="24"/>
          <w:lang w:eastAsia="fi-FI"/>
        </w:rPr>
        <w:t xml:space="preserve">Kestävyyskriteerit täyttävien biopolttoaineiden hiilidioksidiveroa alennetaan suhteessa vastaavan fossiilisen polttoaineen verotasoon, koska niillä katsotaan saavutettavan elinkaarenaikaista hiilidioksidipäästön vähenemää verrattuna vastaaviin fossiilisiin polttoaineisiin. Biopolttoaineiden kasvihuonekaasupäästöjen arvioinnissa on käytetty hyväksi EU:n kestävyyskriteerilainsäädännössä noudatettuja lähtökohtia. Kestävyyskriteereistä säädetään uusiutuvista energialähteistä peräisin olevan energian käytön edistämisestä sekä direktiivien 2001/77/EY ja 2003/30/EY muuttamisesta ja myöhemmästä kumoamisesta annetussa Euroopan parlamentin ja neuvoston direktiivissä </w:t>
      </w:r>
      <w:r w:rsidRPr="006E4C26">
        <w:rPr>
          <w:szCs w:val="24"/>
          <w:lang w:eastAsia="fi-FI"/>
        </w:rPr>
        <w:lastRenderedPageBreak/>
        <w:t>2009/28/EY, jäljempänä </w:t>
      </w:r>
      <w:proofErr w:type="spellStart"/>
      <w:r w:rsidRPr="006E4C26">
        <w:rPr>
          <w:i/>
          <w:iCs/>
          <w:szCs w:val="24"/>
          <w:lang w:eastAsia="fi-FI"/>
        </w:rPr>
        <w:t>RES</w:t>
      </w:r>
      <w:proofErr w:type="spellEnd"/>
      <w:r w:rsidRPr="006E4C26">
        <w:rPr>
          <w:i/>
          <w:iCs/>
          <w:szCs w:val="24"/>
          <w:lang w:eastAsia="fi-FI"/>
        </w:rPr>
        <w:t>-direktiivi</w:t>
      </w:r>
      <w:r w:rsidRPr="006E4C26">
        <w:rPr>
          <w:szCs w:val="24"/>
          <w:lang w:eastAsia="fi-FI"/>
        </w:rPr>
        <w:t xml:space="preserve">. Direktiivissä annetaan oletusarvoja siitä, millaisia elinkaarenaikaisia kasvihuonekaasupäästövähenemiä biopolttoaineilla voidaan saavuttaa suhteessa fossiilisten polttoaineiden elinkaarenaikaisiin kasvihuonekaasupäästön vähenemiin. </w:t>
      </w:r>
      <w:proofErr w:type="spellStart"/>
      <w:r w:rsidRPr="006E4C26">
        <w:rPr>
          <w:szCs w:val="24"/>
          <w:lang w:eastAsia="fi-FI"/>
        </w:rPr>
        <w:t>RES</w:t>
      </w:r>
      <w:proofErr w:type="spellEnd"/>
      <w:r w:rsidRPr="006E4C26">
        <w:rPr>
          <w:szCs w:val="24"/>
          <w:lang w:eastAsia="fi-FI"/>
        </w:rPr>
        <w:t xml:space="preserve">-direktiivin lähtökohta on, että direktiivin mukaisilla kestävillä biopolttoaineilla on saavutettava aluksi 35 ja myöhemmin vähintään 50 prosentin suuruinen kasvihuonekaasupäästöjen vähenemä vastaavaan fossiiliseen polttoaineeseen verrattuna. Mainitun direktiivin 21 artiklan 2 kohdassa tarkoitetut, jätteistä tai tähteistä taikka syötäväksi kelpaamattomasta selluloosasta tai </w:t>
      </w:r>
      <w:proofErr w:type="spellStart"/>
      <w:r w:rsidRPr="006E4C26">
        <w:rPr>
          <w:szCs w:val="24"/>
          <w:lang w:eastAsia="fi-FI"/>
        </w:rPr>
        <w:t>lignoselluloosasta</w:t>
      </w:r>
      <w:proofErr w:type="spellEnd"/>
      <w:r w:rsidRPr="006E4C26">
        <w:rPr>
          <w:szCs w:val="24"/>
          <w:lang w:eastAsia="fi-FI"/>
        </w:rPr>
        <w:t xml:space="preserve"> tuotetut biopolttoaineet, jäljempänä </w:t>
      </w:r>
      <w:r w:rsidRPr="006E4C26">
        <w:rPr>
          <w:i/>
          <w:iCs/>
          <w:szCs w:val="24"/>
          <w:lang w:eastAsia="fi-FI"/>
        </w:rPr>
        <w:t>tuplalaskettavat biopolttoaineet</w:t>
      </w:r>
      <w:r w:rsidRPr="006E4C26">
        <w:rPr>
          <w:szCs w:val="24"/>
          <w:lang w:eastAsia="fi-FI"/>
        </w:rPr>
        <w:t>, käsitellään siinä käytännössä lähes kasvihuonekaasuneutraaleina polttoaineina. </w:t>
      </w:r>
    </w:p>
    <w:p w:rsidR="00EB493C" w:rsidRPr="006E4C26" w:rsidRDefault="00EB493C" w:rsidP="00B72BB2">
      <w:pPr>
        <w:shd w:val="clear" w:color="auto" w:fill="FFFFFF"/>
        <w:rPr>
          <w:szCs w:val="24"/>
          <w:lang w:eastAsia="fi-FI"/>
        </w:rPr>
      </w:pPr>
    </w:p>
    <w:p w:rsidR="00EB493C" w:rsidRPr="006E4C26" w:rsidRDefault="00EB493C" w:rsidP="00B72BB2">
      <w:pPr>
        <w:shd w:val="clear" w:color="auto" w:fill="FFFFFF"/>
        <w:rPr>
          <w:szCs w:val="24"/>
          <w:lang w:eastAsia="fi-FI"/>
        </w:rPr>
      </w:pPr>
      <w:r w:rsidRPr="006E4C26">
        <w:rPr>
          <w:szCs w:val="24"/>
          <w:lang w:eastAsia="fi-FI"/>
        </w:rPr>
        <w:t>Kestävyyskriteerit täyttävien, niin sanottujen ensimmäisen sukupolven biopolttoaineiden, kuten maatalousperäisen etanolin ja biodieselin, hiilidioksidivero on puolitettu. Tuplalaskettavat, niin sanotut toisen sukupolven biopolttoaineet on vapautettu hiilidioksidiverosta, koska niiden voidaan katsoa olevan hiilidioksiditaseeltaan lähes neutraaleja polttoaineita ja koska niiden raaka-aineet ovat ruuantuotantoon soveltumattomia. </w:t>
      </w:r>
    </w:p>
    <w:p w:rsidR="00E944F4" w:rsidRPr="006E4C26" w:rsidRDefault="00E944F4" w:rsidP="00B72BB2">
      <w:pPr>
        <w:shd w:val="clear" w:color="auto" w:fill="FFFFFF"/>
        <w:rPr>
          <w:szCs w:val="24"/>
          <w:lang w:eastAsia="fi-FI"/>
        </w:rPr>
      </w:pPr>
    </w:p>
    <w:p w:rsidR="00403051" w:rsidRPr="006E4C26" w:rsidRDefault="00403051" w:rsidP="00403051">
      <w:pPr>
        <w:shd w:val="clear" w:color="auto" w:fill="FFFFFF"/>
        <w:rPr>
          <w:szCs w:val="24"/>
          <w:lang w:eastAsia="fi-FI"/>
        </w:rPr>
      </w:pPr>
      <w:r w:rsidRPr="006E4C26">
        <w:rPr>
          <w:szCs w:val="24"/>
          <w:lang w:eastAsia="fi-FI"/>
        </w:rPr>
        <w:t xml:space="preserve">Liikennepolttoaineiden hiilidioksidiveron laskentaperustetta täsmennettiin vuonna 2012 polttoaineverolain muuttamisesta annetulla lailla 256/2012 siten, että biopolttoaineiden lisäksi fossiilisen moottoribensiinin ja dieselöljyn hiilidioksidipäästössä otetaan huomioon polttoaineen elinkaarenaikainen keskimääräinen kasvihuonepäästö Euroopan unionin (EU) komission vaatimusten mukaisesti. Käytännössä tämä tarkoitti fossiilisten moottoribensiini- ja diesellaatujen hiilidioksidipäästökertoimen korottamista noin 20 prosentilla. Muutoksella ei ollut vaikutusta litrakohtaisiin </w:t>
      </w:r>
      <w:r w:rsidR="00925FD6" w:rsidRPr="006E4C26">
        <w:rPr>
          <w:szCs w:val="24"/>
          <w:lang w:eastAsia="fi-FI"/>
        </w:rPr>
        <w:t xml:space="preserve">kansallisiin </w:t>
      </w:r>
      <w:r w:rsidRPr="006E4C26">
        <w:rPr>
          <w:szCs w:val="24"/>
          <w:lang w:eastAsia="fi-FI"/>
        </w:rPr>
        <w:t>verotasoihin samanaikaisesti tehdyn hiilidioksiditonnille annetun arvon alentamisen takia. Muutoksella yhdenmukaistettiin fossiilisten ja bioperäisten liikennepolttoaineiden veroperusteet verotukseen liittyvien valtiontukiongelmien välttämiseksi. </w:t>
      </w:r>
    </w:p>
    <w:p w:rsidR="00403051" w:rsidRPr="006E4C26" w:rsidRDefault="00403051" w:rsidP="00B72BB2">
      <w:pPr>
        <w:shd w:val="clear" w:color="auto" w:fill="FFFFFF"/>
        <w:rPr>
          <w:szCs w:val="24"/>
          <w:lang w:eastAsia="fi-FI"/>
        </w:rPr>
      </w:pPr>
    </w:p>
    <w:p w:rsidR="0070452A" w:rsidRPr="006E4C26" w:rsidRDefault="002F0503" w:rsidP="00B72BB2">
      <w:pPr>
        <w:shd w:val="clear" w:color="auto" w:fill="FFFFFF"/>
        <w:rPr>
          <w:szCs w:val="24"/>
          <w:lang w:eastAsia="fi-FI"/>
        </w:rPr>
      </w:pPr>
      <w:r w:rsidRPr="006E4C26">
        <w:rPr>
          <w:szCs w:val="24"/>
          <w:lang w:eastAsia="fi-FI"/>
        </w:rPr>
        <w:t xml:space="preserve">Valtaosa Suomen markkinoilla olevista polttoaineista on useiden eri komponenttien seos, jonka kustakin komponentista </w:t>
      </w:r>
      <w:r w:rsidR="0070452A" w:rsidRPr="006E4C26">
        <w:rPr>
          <w:szCs w:val="24"/>
          <w:lang w:eastAsia="fi-FI"/>
        </w:rPr>
        <w:t xml:space="preserve">kannetaan veroa </w:t>
      </w:r>
      <w:r w:rsidRPr="006E4C26">
        <w:rPr>
          <w:szCs w:val="24"/>
          <w:lang w:eastAsia="fi-FI"/>
        </w:rPr>
        <w:t>verotaulukon mukaisesti</w:t>
      </w:r>
      <w:r w:rsidR="0070452A" w:rsidRPr="006E4C26">
        <w:rPr>
          <w:szCs w:val="24"/>
          <w:lang w:eastAsia="fi-FI"/>
        </w:rPr>
        <w:t xml:space="preserve">. </w:t>
      </w:r>
      <w:r w:rsidRPr="006E4C26">
        <w:rPr>
          <w:szCs w:val="24"/>
          <w:lang w:eastAsia="fi-FI"/>
        </w:rPr>
        <w:t xml:space="preserve">Markkinoilla on myös korkeaseoksisia biopolttoaineita, jotka on valmistettu pelkästään uusiutuvista raaka-aineista. </w:t>
      </w:r>
      <w:r w:rsidR="0070452A" w:rsidRPr="006E4C26">
        <w:rPr>
          <w:szCs w:val="24"/>
          <w:lang w:eastAsia="fi-FI"/>
        </w:rPr>
        <w:t xml:space="preserve">Jokaisesta markkinoille saatettavasta polttoainelitrasta on kuitenkin kannettava veroa vähintään EU-lainsäädännössä edellytetty vähimmäismäärä. </w:t>
      </w:r>
    </w:p>
    <w:p w:rsidR="002F0503" w:rsidRPr="006E4C26" w:rsidRDefault="002F0503" w:rsidP="00B72BB2">
      <w:pPr>
        <w:shd w:val="clear" w:color="auto" w:fill="FFFFFF"/>
        <w:rPr>
          <w:szCs w:val="24"/>
          <w:lang w:eastAsia="fi-FI"/>
        </w:rPr>
      </w:pPr>
    </w:p>
    <w:p w:rsidR="00EB493C" w:rsidRPr="006E4C26" w:rsidRDefault="00EB493C" w:rsidP="00B72BB2">
      <w:pPr>
        <w:shd w:val="clear" w:color="auto" w:fill="FFFFFF"/>
        <w:rPr>
          <w:szCs w:val="24"/>
          <w:lang w:eastAsia="fi-FI"/>
        </w:rPr>
      </w:pPr>
      <w:r w:rsidRPr="006E4C26">
        <w:rPr>
          <w:szCs w:val="24"/>
          <w:lang w:eastAsia="fi-FI"/>
        </w:rPr>
        <w:t>Sekä fossiilisista että bioperäisistä liikennepolttoaineista kannetaan valmisteverotuksen yhteydessä huoltovarmuusmaksua, joka tuloutetaan valtion talousarvion ulkopuoliseen rahastoon. </w:t>
      </w:r>
    </w:p>
    <w:p w:rsidR="00EB493C" w:rsidRPr="006E4C26" w:rsidRDefault="00EB493C" w:rsidP="00B72BB2">
      <w:pPr>
        <w:shd w:val="clear" w:color="auto" w:fill="FFFFFF"/>
        <w:rPr>
          <w:szCs w:val="24"/>
          <w:lang w:eastAsia="fi-FI"/>
        </w:rPr>
      </w:pPr>
    </w:p>
    <w:p w:rsidR="00EB493C" w:rsidRPr="006E4C26" w:rsidRDefault="00EB493C" w:rsidP="00B72BB2">
      <w:pPr>
        <w:shd w:val="clear" w:color="auto" w:fill="FFFFFF"/>
        <w:rPr>
          <w:szCs w:val="24"/>
          <w:lang w:eastAsia="fi-FI"/>
        </w:rPr>
      </w:pPr>
      <w:r w:rsidRPr="006E4C26">
        <w:rPr>
          <w:szCs w:val="24"/>
          <w:lang w:eastAsia="fi-FI"/>
        </w:rPr>
        <w:t xml:space="preserve">Suomessa liikenteen biopolttoaineiden käytön edistäminen perustuu polttoaineen jakelijoita koskevaan sitovaan velvoitteeseen toimittaa vuosittain liikennepolttoaineeksi </w:t>
      </w:r>
      <w:r w:rsidRPr="006E4C26">
        <w:rPr>
          <w:szCs w:val="24"/>
          <w:lang w:eastAsia="fi-FI"/>
        </w:rPr>
        <w:lastRenderedPageBreak/>
        <w:t>laissa säädetty osuus biopolttoaineita. Biopolttoaineiden jakeluvelvoitteesta säädetään biopolttoaineiden käytön edistämisestä liikenteessä annetussa laissa (446/2007). Polttoaineiden verotuksen tarkoituksena ei ole edistää biopolttoaineiden käyttöä, vaan verottaa kaikkia polttoaineita mahdollisimman objektiivisesti ja neutraalisti niiden energiasisällön, hiilidioksidipäästön ja lähipäästöjen perusteella. Verotus tukee ympäristön kannalta parhaimpien fossiilisten ja bioperäisten polttoaineiden käyttöä. </w:t>
      </w:r>
    </w:p>
    <w:p w:rsidR="00C93C7D" w:rsidRPr="006E4C26" w:rsidRDefault="00C93C7D" w:rsidP="00B72BB2">
      <w:pPr>
        <w:pStyle w:val="LLNormaali"/>
        <w:spacing w:line="240" w:lineRule="auto"/>
      </w:pPr>
    </w:p>
    <w:p w:rsidR="00F743F0" w:rsidRPr="006E4C26" w:rsidRDefault="00F743F0" w:rsidP="00B72BB2">
      <w:pPr>
        <w:pStyle w:val="LLNormaali"/>
        <w:spacing w:line="240" w:lineRule="auto"/>
        <w:rPr>
          <w:sz w:val="24"/>
        </w:rPr>
      </w:pPr>
      <w:r w:rsidRPr="006E4C26">
        <w:rPr>
          <w:sz w:val="24"/>
        </w:rPr>
        <w:t>EU:n lainsäädäntö</w:t>
      </w:r>
    </w:p>
    <w:p w:rsidR="008E3DDE" w:rsidRPr="006E4C26" w:rsidRDefault="008E3DDE" w:rsidP="00B72BB2">
      <w:pPr>
        <w:pStyle w:val="LLNormaali"/>
        <w:spacing w:line="240" w:lineRule="auto"/>
      </w:pPr>
    </w:p>
    <w:p w:rsidR="00DF29A0" w:rsidRPr="006E4C26" w:rsidRDefault="00DF29A0" w:rsidP="00B72BB2">
      <w:pPr>
        <w:pStyle w:val="LLNormaali"/>
        <w:spacing w:line="240" w:lineRule="auto"/>
        <w:rPr>
          <w:b/>
          <w:sz w:val="24"/>
        </w:rPr>
      </w:pPr>
      <w:r w:rsidRPr="006E4C26">
        <w:rPr>
          <w:b/>
          <w:sz w:val="24"/>
        </w:rPr>
        <w:t>Energiaverodirektiivi</w:t>
      </w:r>
    </w:p>
    <w:p w:rsidR="008E3DDE" w:rsidRPr="006E4C26" w:rsidRDefault="008E3DDE" w:rsidP="00B72BB2">
      <w:pPr>
        <w:pStyle w:val="LLNormaali"/>
        <w:spacing w:line="240" w:lineRule="auto"/>
      </w:pPr>
    </w:p>
    <w:p w:rsidR="00DF29A0" w:rsidRPr="006E4C26" w:rsidRDefault="00DF29A0" w:rsidP="00B72BB2">
      <w:pPr>
        <w:shd w:val="clear" w:color="auto" w:fill="FFFFFF"/>
        <w:rPr>
          <w:szCs w:val="24"/>
          <w:lang w:eastAsia="fi-FI"/>
        </w:rPr>
      </w:pPr>
      <w:r w:rsidRPr="006E4C26">
        <w:rPr>
          <w:szCs w:val="24"/>
          <w:lang w:eastAsia="fi-FI"/>
        </w:rPr>
        <w:t>Polttoaineiden ja sähkön verotus on yhdenmukaistettu energiatuotteiden ja sähkön verotusta koskevan yhteisön kehyksen uudistamisesta annetussa neuvoston direktiivissä 2003/96/EY, jäljempänä </w:t>
      </w:r>
      <w:r w:rsidRPr="006E4C26">
        <w:rPr>
          <w:i/>
          <w:iCs/>
          <w:szCs w:val="24"/>
          <w:lang w:eastAsia="fi-FI"/>
        </w:rPr>
        <w:t>energiaverodirektiivi</w:t>
      </w:r>
      <w:r w:rsidRPr="006E4C26">
        <w:rPr>
          <w:szCs w:val="24"/>
          <w:lang w:eastAsia="fi-FI"/>
        </w:rPr>
        <w:t>. Energiaverodirektiivissä tarkoitettuja energiatuotteita ovat muun muassa moottoribensiini, dieselöljy, biopolttonesteet, kevyt ja raskas polttoöljy, maakaasu, nestekaasu, kivihiili ja sähkö. </w:t>
      </w:r>
    </w:p>
    <w:p w:rsidR="00DF29A0" w:rsidRPr="006E4C26" w:rsidRDefault="00DF29A0" w:rsidP="00B72BB2">
      <w:pPr>
        <w:shd w:val="clear" w:color="auto" w:fill="FFFFFF"/>
        <w:rPr>
          <w:szCs w:val="24"/>
          <w:lang w:eastAsia="fi-FI"/>
        </w:rPr>
      </w:pPr>
    </w:p>
    <w:p w:rsidR="00DF29A0" w:rsidRPr="006E4C26" w:rsidRDefault="00DF29A0" w:rsidP="00B72BB2">
      <w:pPr>
        <w:shd w:val="clear" w:color="auto" w:fill="FFFFFF"/>
        <w:rPr>
          <w:szCs w:val="24"/>
          <w:lang w:eastAsia="fi-FI"/>
        </w:rPr>
      </w:pPr>
      <w:r w:rsidRPr="006E4C26">
        <w:rPr>
          <w:szCs w:val="24"/>
          <w:lang w:eastAsia="fi-FI"/>
        </w:rPr>
        <w:t>Energiaverodirektiivin mukaan kulutukseen luovutettavista energiatuotteista on kannettava vähimmäisvero, jonka jäsenvaltio voi halutessaan ylittää. Energiaverodirektiivissä säädetään myös verotuksen rakenteesta, minkä lisäksi direktiivin mukaan on mahdollista myöntää veronalennus esimerkiksi polttoaineille, jotka ovat ympäristöominaisuuksiltaan parempia kuin markkinoilla olevat muut tuotteet</w:t>
      </w:r>
      <w:r w:rsidR="00356D61" w:rsidRPr="006E4C26">
        <w:rPr>
          <w:szCs w:val="24"/>
          <w:lang w:eastAsia="fi-FI"/>
        </w:rPr>
        <w:t>.</w:t>
      </w:r>
      <w:r w:rsidRPr="006E4C26">
        <w:rPr>
          <w:szCs w:val="24"/>
          <w:lang w:eastAsia="fi-FI"/>
        </w:rPr>
        <w:t xml:space="preserve"> Alennuksen myöntämisen edellytyksenä on, että alennukseen oikeutetun tuotteen laatua tai käyttöä valvotaan niin, että veroviranomainen voi varmistua veronalennuksen edellytysten täyttymisestä. </w:t>
      </w:r>
    </w:p>
    <w:p w:rsidR="00BB5195" w:rsidRPr="006E4C26" w:rsidRDefault="00BB5195" w:rsidP="00B72BB2">
      <w:pPr>
        <w:shd w:val="clear" w:color="auto" w:fill="FFFFFF"/>
        <w:rPr>
          <w:szCs w:val="24"/>
          <w:lang w:eastAsia="fi-FI"/>
        </w:rPr>
      </w:pPr>
    </w:p>
    <w:p w:rsidR="00DF29A0" w:rsidRPr="006E4C26" w:rsidRDefault="00DF29A0" w:rsidP="00B72BB2">
      <w:pPr>
        <w:shd w:val="clear" w:color="auto" w:fill="FFFFFF"/>
        <w:rPr>
          <w:rFonts w:ascii="Arial" w:hAnsi="Arial" w:cs="Arial"/>
          <w:sz w:val="21"/>
          <w:szCs w:val="21"/>
          <w:lang w:eastAsia="fi-FI"/>
        </w:rPr>
      </w:pPr>
      <w:r w:rsidRPr="006E4C26">
        <w:rPr>
          <w:szCs w:val="24"/>
          <w:lang w:eastAsia="fi-FI"/>
        </w:rPr>
        <w:t xml:space="preserve">Energiaverodirektiivin mukaan myös erilaiset bioperäiset polttoaineet, kuten alkoholit ja rasvat, on verotettava samojen perusteiden mukaan kuin esimerkiksi fossiilinen moottoribensiini, dieselöljy tai kevyt polttoöljy. Direktiivin mukaan on mahdollista tietyin edellytyksin myöntää verottomuus tai veronalennus bioperäisille polttoaineille. Veronalennus voi koskea vain sitä osaa polttoaineesta tai polttoaineseoksesta, joka on kokonaan bioperäistä. Jos kysymyksessä on polttoaineseos, joka muodostuu biokomponentista ja fossiilisesta polttoaineesta, fossiilisen polttoaineen osuudesta on suoritettava normaali bensiinin tai dieselöljyn vero. </w:t>
      </w:r>
    </w:p>
    <w:p w:rsidR="00DF29A0" w:rsidRPr="006E4C26" w:rsidRDefault="00DF29A0" w:rsidP="00B72BB2">
      <w:pPr>
        <w:pStyle w:val="LLNormaali"/>
        <w:spacing w:line="240" w:lineRule="auto"/>
      </w:pPr>
    </w:p>
    <w:p w:rsidR="00DF29A0" w:rsidRPr="006E4C26" w:rsidRDefault="00DF29A0" w:rsidP="00B72BB2">
      <w:pPr>
        <w:pStyle w:val="LLNormaali"/>
        <w:spacing w:line="240" w:lineRule="auto"/>
        <w:rPr>
          <w:b/>
          <w:sz w:val="24"/>
        </w:rPr>
      </w:pPr>
      <w:r w:rsidRPr="006E4C26">
        <w:rPr>
          <w:b/>
          <w:sz w:val="24"/>
        </w:rPr>
        <w:t>Valtiontukimääräykset</w:t>
      </w:r>
    </w:p>
    <w:p w:rsidR="00F743F0" w:rsidRPr="006E4C26" w:rsidRDefault="00F743F0" w:rsidP="00B72BB2">
      <w:pPr>
        <w:pStyle w:val="LLNormaali"/>
        <w:spacing w:line="240" w:lineRule="auto"/>
      </w:pPr>
    </w:p>
    <w:p w:rsidR="00644189" w:rsidRPr="006E4C26" w:rsidRDefault="00644189" w:rsidP="00644189">
      <w:pPr>
        <w:shd w:val="clear" w:color="auto" w:fill="FFFFFF"/>
        <w:rPr>
          <w:szCs w:val="24"/>
          <w:lang w:eastAsia="fi-FI"/>
        </w:rPr>
      </w:pPr>
      <w:r w:rsidRPr="006E4C26">
        <w:rPr>
          <w:szCs w:val="24"/>
          <w:lang w:eastAsia="fi-FI"/>
        </w:rPr>
        <w:t>Vaikka energiaverodirektiivi mahdollistaa erilaisia veronalennuksia, tulevat tukitoimet arvioitaviksi EU:n valtiontukea ja verosyrjintää koskevien määräysten perusteella. </w:t>
      </w:r>
    </w:p>
    <w:p w:rsidR="00DF29A0" w:rsidRPr="006E4C26" w:rsidRDefault="00DF29A0" w:rsidP="00B72BB2">
      <w:pPr>
        <w:shd w:val="clear" w:color="auto" w:fill="FFFFFF"/>
        <w:rPr>
          <w:szCs w:val="24"/>
          <w:lang w:eastAsia="fi-FI"/>
        </w:rPr>
      </w:pPr>
      <w:r w:rsidRPr="006E4C26">
        <w:rPr>
          <w:szCs w:val="24"/>
          <w:lang w:eastAsia="fi-FI"/>
        </w:rPr>
        <w:t xml:space="preserve">Euroopan unionin toiminnasta tehdyn sopimuksen määräykset rajoittavat valtiontukien käyttöä talouspolitiikan välineenä. Sopimuksen 107 artiklan mukaan jäsenvaltion myöntämä taikka valtion varoista muodossa tai toisessa myönnetty tuki, joka vääristää </w:t>
      </w:r>
      <w:r w:rsidRPr="006E4C26">
        <w:rPr>
          <w:szCs w:val="24"/>
          <w:lang w:eastAsia="fi-FI"/>
        </w:rPr>
        <w:lastRenderedPageBreak/>
        <w:t xml:space="preserve">tai uhkaa vääristää kilpailua suosimalla jotakin yritystä tai tuotannon alaa, ei sovellu yhteismarkkinoille siltä osin kuin se vaikuttaa jäsenvaltioiden väliseen kauppaan. Esimerkiksi suora tuki, veron porrastaminen tai verovapauden myöntäminen jollekin tuotteelle täyttää yleensä valtiontuen tunnusmerkistön ja edellyttää siten komission </w:t>
      </w:r>
      <w:r w:rsidR="00925FD6" w:rsidRPr="006E4C26">
        <w:rPr>
          <w:szCs w:val="24"/>
          <w:lang w:eastAsia="fi-FI"/>
        </w:rPr>
        <w:t>ennakko</w:t>
      </w:r>
      <w:r w:rsidRPr="006E4C26">
        <w:rPr>
          <w:szCs w:val="24"/>
          <w:lang w:eastAsia="fi-FI"/>
        </w:rPr>
        <w:t>hyväksyntää</w:t>
      </w:r>
      <w:r w:rsidR="004C0A86" w:rsidRPr="006E4C26">
        <w:rPr>
          <w:szCs w:val="24"/>
          <w:lang w:eastAsia="fi-FI"/>
        </w:rPr>
        <w:t xml:space="preserve">. Toisena vaihtoehtona on </w:t>
      </w:r>
      <w:r w:rsidR="00925FD6" w:rsidRPr="006E4C26">
        <w:rPr>
          <w:szCs w:val="24"/>
          <w:lang w:eastAsia="fi-FI"/>
        </w:rPr>
        <w:t>ryhmäpoikkeusasetu</w:t>
      </w:r>
      <w:r w:rsidR="004C0A86" w:rsidRPr="006E4C26">
        <w:rPr>
          <w:szCs w:val="24"/>
          <w:lang w:eastAsia="fi-FI"/>
        </w:rPr>
        <w:t>ksien määräyksien noudattamista, jolloin toimenpiteen käyttöönotto ei vaadi komission ennakkohyväksyntää, mutta valtiontukena toimi on komission jälkivalvonnan piirissä.</w:t>
      </w:r>
      <w:r w:rsidRPr="006E4C26">
        <w:rPr>
          <w:szCs w:val="24"/>
          <w:lang w:eastAsia="fi-FI"/>
        </w:rPr>
        <w:t> </w:t>
      </w:r>
    </w:p>
    <w:p w:rsidR="00DF29A0" w:rsidRPr="006E4C26" w:rsidRDefault="00DF29A0" w:rsidP="00B72BB2">
      <w:pPr>
        <w:shd w:val="clear" w:color="auto" w:fill="FFFFFF"/>
        <w:rPr>
          <w:szCs w:val="24"/>
          <w:lang w:eastAsia="fi-FI"/>
        </w:rPr>
      </w:pPr>
    </w:p>
    <w:p w:rsidR="00DF29A0" w:rsidRPr="006E4C26" w:rsidRDefault="00DF29A0" w:rsidP="00B72BB2">
      <w:pPr>
        <w:shd w:val="clear" w:color="auto" w:fill="FFFFFF"/>
        <w:rPr>
          <w:szCs w:val="24"/>
          <w:lang w:eastAsia="fi-FI"/>
        </w:rPr>
      </w:pPr>
      <w:r w:rsidRPr="006E4C26">
        <w:rPr>
          <w:szCs w:val="24"/>
          <w:lang w:eastAsia="fi-FI"/>
        </w:rPr>
        <w:t>Siitä periaatteesta, että veron porrastamista pidetään komission hyväksyntää edellyttävänä valtiontukena, EU:n valtiontukisääntely ja sen tulkinta tunnistavat verotusta koskevan poikkeuksen. Sen mukaan verotuksellista toimenpidettä ei pidetä valtiontukena, jos se on verojärjestelmän luonteen ja rakenteen mukainen ja jos sitä sovelletaan johdonmukaisesti esimerkiksi kaikkiin energiatuotteisiin. Esimerkkinä tällaisesta toimenpiteestä voidaan pitää veron porrastamista tuotteen haitallisen ominaisuuden perusteella. Muita vähemmän haittaa aiheuttava tuote voidaan verottaa muita lievemmin ilman, että asia tulisi arvioitavaksi valtiontukena. Veron perusteen tulee kuitenkin olla objektiivinen ja sitä tulee soveltaa yhdenmukaisesti kaikkiin kilpaileviin tuotteisiin. Suomessa käytössä oleva polttoaineen energia</w:t>
      </w:r>
      <w:r w:rsidR="00403051" w:rsidRPr="006E4C26">
        <w:rPr>
          <w:szCs w:val="24"/>
          <w:lang w:eastAsia="fi-FI"/>
        </w:rPr>
        <w:t>sisältöön sekä</w:t>
      </w:r>
      <w:r w:rsidRPr="006E4C26">
        <w:rPr>
          <w:szCs w:val="24"/>
          <w:lang w:eastAsia="fi-FI"/>
        </w:rPr>
        <w:t xml:space="preserve"> hiilidioksidi- ja lähipäästöön rakentuva energiaverojärjestelmä perustuu edellä mainittuun periaatteeseen eikä siihen siten katsota sisältyvän valtiontukea. Liikennepolttoaineiden osalta energiaverojärjestelmää täydentää käyttövoimavero, jota kannetaan ympäristöperusteista veromallia lievemmin verotettuja tuotteita käyttäviltä ajoneuvoilta. </w:t>
      </w:r>
    </w:p>
    <w:p w:rsidR="00DF29A0" w:rsidRPr="006E4C26" w:rsidRDefault="00DF29A0" w:rsidP="00B72BB2">
      <w:pPr>
        <w:shd w:val="clear" w:color="auto" w:fill="FFFFFF"/>
        <w:rPr>
          <w:szCs w:val="24"/>
          <w:lang w:eastAsia="fi-FI"/>
        </w:rPr>
      </w:pPr>
    </w:p>
    <w:p w:rsidR="00DF29A0" w:rsidRPr="006E4C26" w:rsidRDefault="00DF29A0" w:rsidP="00B72BB2">
      <w:pPr>
        <w:shd w:val="clear" w:color="auto" w:fill="FFFFFF"/>
        <w:rPr>
          <w:rFonts w:ascii="Arial" w:hAnsi="Arial" w:cs="Arial"/>
          <w:sz w:val="21"/>
          <w:szCs w:val="21"/>
          <w:lang w:eastAsia="fi-FI"/>
        </w:rPr>
      </w:pPr>
      <w:r w:rsidRPr="006E4C26">
        <w:rPr>
          <w:szCs w:val="24"/>
          <w:lang w:eastAsia="fi-FI"/>
        </w:rPr>
        <w:t>Eräs valtiontukisääntelyn ja sen soveltamisen lähtökohta on, että toimenpidettä, joka on säädetty pakolliseksi, ei voi tukea esimerkiksi veronalennuksin tai muilla taloudellisilla tukitoimilla. Tämä tarkoittaa esimerkiksi sitä, että biopolttoaineiden käytön edistäminen on kiellettyä verotuin, jos yrityksille on säädetty sitova velvoite toimittaa markkinoille tietty osuus biopolttoaineita. Se, ettei energiaverojärjestelmään sisälly valtiontukena pidettävää verotukea biopolttoaineille, mahdollistaa Suomessa biopolttoaineiden jakeluvelvoitteen ja polttoaineiden energiasisällön ja hiilidioksidipäästön huomioivan verotuksen.</w:t>
      </w:r>
      <w:r w:rsidRPr="006E4C26">
        <w:rPr>
          <w:rFonts w:ascii="Arial" w:hAnsi="Arial" w:cs="Arial"/>
          <w:sz w:val="21"/>
          <w:szCs w:val="21"/>
          <w:lang w:eastAsia="fi-FI"/>
        </w:rPr>
        <w:t> </w:t>
      </w:r>
    </w:p>
    <w:p w:rsidR="00DF29A0" w:rsidRPr="006E4C26" w:rsidRDefault="00DF29A0" w:rsidP="00B72BB2">
      <w:pPr>
        <w:pStyle w:val="LLNormaali"/>
        <w:spacing w:line="240" w:lineRule="auto"/>
      </w:pPr>
    </w:p>
    <w:p w:rsidR="00C276DD" w:rsidRPr="006E4C26" w:rsidRDefault="00F743F0" w:rsidP="00ED5B54">
      <w:pPr>
        <w:pStyle w:val="LLP2Otsikkotaso"/>
      </w:pPr>
      <w:bookmarkStart w:id="9" w:name="_Toc19201148"/>
      <w:r w:rsidRPr="006E4C26">
        <w:t>Nykytilan arviointi</w:t>
      </w:r>
      <w:bookmarkEnd w:id="9"/>
      <w:r w:rsidRPr="006E4C26">
        <w:t xml:space="preserve"> </w:t>
      </w:r>
    </w:p>
    <w:p w:rsidR="00445DE2" w:rsidRPr="006E4C26" w:rsidRDefault="00445DE2" w:rsidP="00DE55BB">
      <w:pPr>
        <w:pStyle w:val="LLPerustelujenkappalejako"/>
        <w:spacing w:line="240" w:lineRule="auto"/>
        <w:jc w:val="left"/>
        <w:rPr>
          <w:b/>
          <w:sz w:val="24"/>
        </w:rPr>
      </w:pPr>
      <w:r w:rsidRPr="006E4C26">
        <w:rPr>
          <w:b/>
          <w:sz w:val="24"/>
        </w:rPr>
        <w:t>Veronkorotukset</w:t>
      </w:r>
    </w:p>
    <w:p w:rsidR="00DE55BB" w:rsidRPr="006E4C26" w:rsidRDefault="00DE55BB" w:rsidP="00DE55BB">
      <w:pPr>
        <w:pStyle w:val="LLPerustelujenkappalejako"/>
        <w:spacing w:line="240" w:lineRule="auto"/>
        <w:jc w:val="left"/>
        <w:rPr>
          <w:sz w:val="24"/>
        </w:rPr>
      </w:pPr>
      <w:r w:rsidRPr="006E4C26">
        <w:rPr>
          <w:sz w:val="24"/>
        </w:rPr>
        <w:t xml:space="preserve">Liikennepolttoaineiden nimellisiä valmisteverotasoja on korotettu vuoden 2011 energiaverouudistuksen jälkeen vuosina 2012, 2014, 2015 ja 2017. Fossiilisen bensiinin valmisteverotaso on noussut näiden korotusten myötä yhteensä 7,55 senttiä litralta 70,25 senttiin litralta ja perinteisen fossiilisen dieselin valmisteverotaso on noussut 8,72 senttiä litralta 53,02 senttiin litralta. Polttoaineiden keskimääräiset valmisteverotasot ovat nousseet kuitenkin tätä vähemmän, sillä niitä ovat alentaneet kevyemmin </w:t>
      </w:r>
      <w:r w:rsidRPr="006E4C26">
        <w:rPr>
          <w:sz w:val="24"/>
        </w:rPr>
        <w:lastRenderedPageBreak/>
        <w:t xml:space="preserve">verotettujen biopolttoaineiden ja parafiinisen dieselöljyn osuuden huomattava kasvu polttoaineiden veropohjassa vuoden 2011 energiaverouudistuksen jälkeen. Tämä kehitys on näkynyt erityisesti dieselin keskimääräisessä nimellisessä verotasossa, joka on noussut energiaverouudistuksen jälkeisestä tasosta </w:t>
      </w:r>
      <w:r w:rsidR="006C38CE" w:rsidRPr="006E4C26">
        <w:rPr>
          <w:sz w:val="24"/>
        </w:rPr>
        <w:t xml:space="preserve">vain </w:t>
      </w:r>
      <w:r w:rsidRPr="006E4C26">
        <w:rPr>
          <w:sz w:val="24"/>
        </w:rPr>
        <w:t xml:space="preserve">alle kolme senttiä litralta. </w:t>
      </w:r>
    </w:p>
    <w:p w:rsidR="006B089D" w:rsidRPr="006E4C26" w:rsidRDefault="00DE55BB" w:rsidP="00DE55BB">
      <w:pPr>
        <w:pStyle w:val="LLPerustelujenkappalejako"/>
        <w:spacing w:line="240" w:lineRule="auto"/>
        <w:jc w:val="left"/>
        <w:rPr>
          <w:sz w:val="24"/>
        </w:rPr>
      </w:pPr>
      <w:r w:rsidRPr="006E4C26">
        <w:rPr>
          <w:sz w:val="24"/>
        </w:rPr>
        <w:t xml:space="preserve">Liikennepolttoaineiden nimellisten valmisteverotasojen noususta huolimatta </w:t>
      </w:r>
      <w:r w:rsidR="00500AA9" w:rsidRPr="006E4C26">
        <w:rPr>
          <w:sz w:val="24"/>
        </w:rPr>
        <w:t xml:space="preserve">myöskään </w:t>
      </w:r>
      <w:r w:rsidRPr="006E4C26">
        <w:rPr>
          <w:sz w:val="24"/>
        </w:rPr>
        <w:t>bensiinin reaalinen valmisteverotaso ei ole noussut 2010-luvulla, sillä kuluttajahinnat ja kotitalouksien käytettävissä olevat tulot ovat nousseet keskimääräistä valmisteverotasoa enemmän. Vuonna 2018 bensiinin valmisteverotaso oli kuluttajahintaindeksillä deflatoituna noin kolme prosent</w:t>
      </w:r>
      <w:r w:rsidR="00500AA9" w:rsidRPr="006E4C26">
        <w:rPr>
          <w:sz w:val="24"/>
        </w:rPr>
        <w:t>tia</w:t>
      </w:r>
      <w:r w:rsidRPr="006E4C26">
        <w:rPr>
          <w:sz w:val="24"/>
        </w:rPr>
        <w:t xml:space="preserve"> alhaisempi ja ansiotasoindeksillä deflatoituna noin viisi prosenttia alhaisempi kuin vuonna 2010.</w:t>
      </w:r>
    </w:p>
    <w:p w:rsidR="00DE55BB" w:rsidRPr="006E4C26" w:rsidRDefault="00DE55BB" w:rsidP="00DE55BB">
      <w:pPr>
        <w:pStyle w:val="LLPerustelujenkappalejako"/>
        <w:spacing w:line="240" w:lineRule="auto"/>
        <w:jc w:val="left"/>
        <w:rPr>
          <w:sz w:val="24"/>
        </w:rPr>
      </w:pPr>
      <w:r w:rsidRPr="006E4C26">
        <w:rPr>
          <w:sz w:val="24"/>
        </w:rPr>
        <w:t xml:space="preserve"> </w:t>
      </w:r>
      <w:r w:rsidR="00AA103E" w:rsidRPr="006E4C26">
        <w:rPr>
          <w:noProof/>
          <w:sz w:val="24"/>
        </w:rPr>
        <w:drawing>
          <wp:inline distT="0" distB="0" distL="0" distR="0" wp14:anchorId="73DEE2DF">
            <wp:extent cx="4584700" cy="2664460"/>
            <wp:effectExtent l="0" t="0" r="6350" b="254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4700" cy="2664460"/>
                    </a:xfrm>
                    <a:prstGeom prst="rect">
                      <a:avLst/>
                    </a:prstGeom>
                    <a:noFill/>
                  </pic:spPr>
                </pic:pic>
              </a:graphicData>
            </a:graphic>
          </wp:inline>
        </w:drawing>
      </w:r>
    </w:p>
    <w:p w:rsidR="005858BE" w:rsidRPr="006E4C26" w:rsidRDefault="001216E1" w:rsidP="005858BE">
      <w:pPr>
        <w:pStyle w:val="LLPerustelujenkappalejako"/>
        <w:spacing w:line="240" w:lineRule="auto"/>
        <w:jc w:val="left"/>
        <w:rPr>
          <w:b/>
          <w:sz w:val="24"/>
        </w:rPr>
      </w:pPr>
      <w:r w:rsidRPr="006E4C26">
        <w:rPr>
          <w:b/>
          <w:sz w:val="24"/>
        </w:rPr>
        <w:t>P</w:t>
      </w:r>
      <w:r w:rsidR="005858BE" w:rsidRPr="006E4C26">
        <w:rPr>
          <w:b/>
          <w:sz w:val="24"/>
        </w:rPr>
        <w:t>olttoaineiden kulutus ja verotuotot</w:t>
      </w:r>
    </w:p>
    <w:p w:rsidR="00DA6F28" w:rsidRPr="006E4C26" w:rsidRDefault="00AA0A73" w:rsidP="00B72BB2">
      <w:pPr>
        <w:pStyle w:val="LLPerustelujenkappalejako"/>
        <w:spacing w:line="240" w:lineRule="auto"/>
        <w:jc w:val="left"/>
        <w:rPr>
          <w:sz w:val="24"/>
        </w:rPr>
      </w:pPr>
      <w:r w:rsidRPr="006E4C26">
        <w:rPr>
          <w:sz w:val="24"/>
        </w:rPr>
        <w:t>L</w:t>
      </w:r>
      <w:r w:rsidR="00DC443C" w:rsidRPr="006E4C26">
        <w:rPr>
          <w:sz w:val="24"/>
        </w:rPr>
        <w:t xml:space="preserve">iikennepolttoaineiden </w:t>
      </w:r>
      <w:r w:rsidR="00A61EFF" w:rsidRPr="006E4C26">
        <w:rPr>
          <w:sz w:val="24"/>
        </w:rPr>
        <w:t>kulutuksesta</w:t>
      </w:r>
      <w:r w:rsidR="0075505C" w:rsidRPr="006E4C26">
        <w:rPr>
          <w:sz w:val="24"/>
        </w:rPr>
        <w:t xml:space="preserve"> </w:t>
      </w:r>
      <w:r w:rsidRPr="006E4C26">
        <w:rPr>
          <w:sz w:val="24"/>
        </w:rPr>
        <w:t>bensiini</w:t>
      </w:r>
      <w:r w:rsidR="00DC443C" w:rsidRPr="006E4C26">
        <w:rPr>
          <w:sz w:val="24"/>
        </w:rPr>
        <w:t>n</w:t>
      </w:r>
      <w:r w:rsidRPr="006E4C26">
        <w:rPr>
          <w:sz w:val="24"/>
        </w:rPr>
        <w:t xml:space="preserve"> osuus on noin kolmasosa ja dieselin noin kaksi</w:t>
      </w:r>
      <w:r w:rsidR="00E6588D" w:rsidRPr="006E4C26">
        <w:rPr>
          <w:sz w:val="24"/>
        </w:rPr>
        <w:t xml:space="preserve"> </w:t>
      </w:r>
      <w:r w:rsidRPr="006E4C26">
        <w:rPr>
          <w:sz w:val="24"/>
        </w:rPr>
        <w:t xml:space="preserve">kolmasosaa. Dieselin kulutuksesta noin </w:t>
      </w:r>
      <w:r w:rsidR="00DC443C" w:rsidRPr="006E4C26">
        <w:rPr>
          <w:sz w:val="24"/>
        </w:rPr>
        <w:t xml:space="preserve">puolet kulutetaan kuorma-autoissa, </w:t>
      </w:r>
      <w:r w:rsidR="001C64ED" w:rsidRPr="006E4C26">
        <w:rPr>
          <w:sz w:val="24"/>
        </w:rPr>
        <w:t xml:space="preserve">vajaa kolmannes </w:t>
      </w:r>
      <w:r w:rsidR="00DC443C" w:rsidRPr="006E4C26">
        <w:rPr>
          <w:sz w:val="24"/>
        </w:rPr>
        <w:t xml:space="preserve">henkilöautoissa, </w:t>
      </w:r>
      <w:r w:rsidR="001C64ED" w:rsidRPr="006E4C26">
        <w:rPr>
          <w:sz w:val="24"/>
        </w:rPr>
        <w:t xml:space="preserve">reilu kymmenesosa </w:t>
      </w:r>
      <w:r w:rsidR="00DC443C" w:rsidRPr="006E4C26">
        <w:rPr>
          <w:sz w:val="24"/>
        </w:rPr>
        <w:t>pakettiautoissa</w:t>
      </w:r>
      <w:r w:rsidR="001C64ED" w:rsidRPr="006E4C26">
        <w:rPr>
          <w:sz w:val="24"/>
        </w:rPr>
        <w:t xml:space="preserve"> ja vajaa kymmenosa linja-autoissa</w:t>
      </w:r>
      <w:r w:rsidR="00DC443C" w:rsidRPr="006E4C26">
        <w:rPr>
          <w:sz w:val="24"/>
        </w:rPr>
        <w:t xml:space="preserve">. </w:t>
      </w:r>
      <w:r w:rsidR="00DA6F28" w:rsidRPr="006E4C26">
        <w:rPr>
          <w:sz w:val="24"/>
        </w:rPr>
        <w:t xml:space="preserve">Kuluneella vuosikymmenellä bensiinin kulutus on laskenut keskimäärin noin </w:t>
      </w:r>
      <w:r w:rsidR="00730C45" w:rsidRPr="006E4C26">
        <w:rPr>
          <w:sz w:val="24"/>
        </w:rPr>
        <w:t>kaksi</w:t>
      </w:r>
      <w:r w:rsidR="00DA6F28" w:rsidRPr="006E4C26">
        <w:rPr>
          <w:sz w:val="24"/>
        </w:rPr>
        <w:t xml:space="preserve"> prosenttia vuodessa. Dieselin ja sitä korvaavien biopolttoaineiden kulutus on samassa ajassa puolestaan kasvanut keskimäärin </w:t>
      </w:r>
      <w:r w:rsidR="00234D01" w:rsidRPr="006E4C26">
        <w:rPr>
          <w:sz w:val="24"/>
        </w:rPr>
        <w:t xml:space="preserve">noin </w:t>
      </w:r>
      <w:r w:rsidR="00730C45" w:rsidRPr="006E4C26">
        <w:rPr>
          <w:sz w:val="24"/>
        </w:rPr>
        <w:t>prosentin</w:t>
      </w:r>
      <w:r w:rsidR="00DA6F28" w:rsidRPr="006E4C26">
        <w:rPr>
          <w:sz w:val="24"/>
        </w:rPr>
        <w:t xml:space="preserve"> vuodessa. Vuo</w:t>
      </w:r>
      <w:r w:rsidR="00730C45" w:rsidRPr="006E4C26">
        <w:rPr>
          <w:sz w:val="24"/>
        </w:rPr>
        <w:t>desta 2018 vuoteen 2023</w:t>
      </w:r>
      <w:r w:rsidR="00DA6F28" w:rsidRPr="006E4C26">
        <w:rPr>
          <w:sz w:val="24"/>
        </w:rPr>
        <w:t xml:space="preserve"> bensiinin kulutuksen ennustetaan laskevan nykylainsäädännö</w:t>
      </w:r>
      <w:r w:rsidR="00730C45" w:rsidRPr="006E4C26">
        <w:rPr>
          <w:sz w:val="24"/>
        </w:rPr>
        <w:t>llä</w:t>
      </w:r>
      <w:r w:rsidR="00DA6F28" w:rsidRPr="006E4C26">
        <w:rPr>
          <w:sz w:val="24"/>
        </w:rPr>
        <w:t xml:space="preserve"> keskimäärin noin </w:t>
      </w:r>
      <w:r w:rsidR="00730C45" w:rsidRPr="006E4C26">
        <w:rPr>
          <w:sz w:val="24"/>
        </w:rPr>
        <w:t>2,3</w:t>
      </w:r>
      <w:r w:rsidR="00DA6F28" w:rsidRPr="006E4C26">
        <w:rPr>
          <w:sz w:val="24"/>
        </w:rPr>
        <w:t xml:space="preserve"> prosenttia vuodessa. Dieselin kulutuksen arvioidaan laskevan samalla ajanjaksolla </w:t>
      </w:r>
      <w:r w:rsidR="00730C45" w:rsidRPr="006E4C26">
        <w:rPr>
          <w:sz w:val="24"/>
        </w:rPr>
        <w:t xml:space="preserve">keskimäärin </w:t>
      </w:r>
      <w:r w:rsidR="00DA6F28" w:rsidRPr="006E4C26">
        <w:rPr>
          <w:sz w:val="24"/>
        </w:rPr>
        <w:t xml:space="preserve">noin </w:t>
      </w:r>
      <w:r w:rsidR="00730C45" w:rsidRPr="006E4C26">
        <w:rPr>
          <w:sz w:val="24"/>
        </w:rPr>
        <w:t>0,2</w:t>
      </w:r>
      <w:r w:rsidR="00DA6F28" w:rsidRPr="006E4C26">
        <w:rPr>
          <w:sz w:val="24"/>
        </w:rPr>
        <w:t xml:space="preserve"> prosenttia</w:t>
      </w:r>
      <w:r w:rsidR="002E1793" w:rsidRPr="006E4C26">
        <w:rPr>
          <w:sz w:val="24"/>
        </w:rPr>
        <w:t xml:space="preserve"> vuodessa</w:t>
      </w:r>
      <w:r w:rsidR="00DA6F28" w:rsidRPr="006E4C26">
        <w:rPr>
          <w:sz w:val="24"/>
        </w:rPr>
        <w:t>.</w:t>
      </w:r>
    </w:p>
    <w:p w:rsidR="005858BE" w:rsidRPr="006E4C26" w:rsidRDefault="00C34F5E" w:rsidP="00B72BB2">
      <w:pPr>
        <w:pStyle w:val="LLPerustelujenkappalejako"/>
        <w:spacing w:line="240" w:lineRule="auto"/>
        <w:jc w:val="left"/>
        <w:rPr>
          <w:sz w:val="24"/>
        </w:rPr>
      </w:pPr>
      <w:r w:rsidRPr="006E4C26">
        <w:rPr>
          <w:sz w:val="24"/>
        </w:rPr>
        <w:t xml:space="preserve">Vuonna 2018 liikennepolttoaineista kerättiin valmisteverotuottoja yhteensä vajaa 2,7 miljardia euroa, josta bensiinin ja sitä korvaavien biopolttoaineiden osuus oli noin 1,3 </w:t>
      </w:r>
      <w:r w:rsidRPr="006E4C26">
        <w:rPr>
          <w:sz w:val="24"/>
        </w:rPr>
        <w:lastRenderedPageBreak/>
        <w:t xml:space="preserve">miljardia ja dieselin ja sitä korvaavien biopolttoaineiden osuus noin 1,4 miljardia. </w:t>
      </w:r>
      <w:r w:rsidR="00AC071B" w:rsidRPr="006E4C26">
        <w:rPr>
          <w:sz w:val="24"/>
        </w:rPr>
        <w:t>Polttoaineverotukseen liittyvän henkilöautojen k</w:t>
      </w:r>
      <w:r w:rsidRPr="006E4C26">
        <w:rPr>
          <w:sz w:val="24"/>
        </w:rPr>
        <w:t xml:space="preserve">äyttövoimaveron tuotto vuonna 2018 oli noin </w:t>
      </w:r>
      <w:r w:rsidR="00AC071B" w:rsidRPr="006E4C26">
        <w:rPr>
          <w:sz w:val="24"/>
        </w:rPr>
        <w:t>0,3</w:t>
      </w:r>
      <w:r w:rsidRPr="006E4C26">
        <w:rPr>
          <w:sz w:val="24"/>
        </w:rPr>
        <w:t xml:space="preserve"> miljardia. </w:t>
      </w:r>
      <w:r w:rsidR="00DA6F28" w:rsidRPr="006E4C26">
        <w:rPr>
          <w:sz w:val="24"/>
        </w:rPr>
        <w:t>Liikenteen polttoaine</w:t>
      </w:r>
      <w:r w:rsidR="005E2323" w:rsidRPr="006E4C26">
        <w:rPr>
          <w:sz w:val="24"/>
        </w:rPr>
        <w:t>iden valmistevero</w:t>
      </w:r>
      <w:r w:rsidR="00D34FCA" w:rsidRPr="006E4C26">
        <w:rPr>
          <w:sz w:val="24"/>
        </w:rPr>
        <w:t>jen</w:t>
      </w:r>
      <w:r w:rsidR="00DA6F28" w:rsidRPr="006E4C26">
        <w:rPr>
          <w:sz w:val="24"/>
        </w:rPr>
        <w:t xml:space="preserve"> </w:t>
      </w:r>
      <w:r w:rsidR="005E2323" w:rsidRPr="006E4C26">
        <w:rPr>
          <w:sz w:val="24"/>
        </w:rPr>
        <w:t xml:space="preserve">ja </w:t>
      </w:r>
      <w:r w:rsidR="00E12920" w:rsidRPr="006E4C26">
        <w:rPr>
          <w:sz w:val="24"/>
        </w:rPr>
        <w:t xml:space="preserve">henkilöautojen </w:t>
      </w:r>
      <w:r w:rsidR="005E2323" w:rsidRPr="006E4C26">
        <w:rPr>
          <w:sz w:val="24"/>
        </w:rPr>
        <w:t>käyttövoimavero</w:t>
      </w:r>
      <w:r w:rsidR="00D34FCA" w:rsidRPr="006E4C26">
        <w:rPr>
          <w:sz w:val="24"/>
        </w:rPr>
        <w:t>n</w:t>
      </w:r>
      <w:r w:rsidR="005E2323" w:rsidRPr="006E4C26">
        <w:rPr>
          <w:sz w:val="24"/>
        </w:rPr>
        <w:t xml:space="preserve"> </w:t>
      </w:r>
      <w:r w:rsidR="00DA6F28" w:rsidRPr="006E4C26">
        <w:rPr>
          <w:sz w:val="24"/>
        </w:rPr>
        <w:t xml:space="preserve">nimelliset verotuotot ovat nousseet </w:t>
      </w:r>
      <w:r w:rsidR="00AC071B" w:rsidRPr="006E4C26">
        <w:rPr>
          <w:sz w:val="24"/>
        </w:rPr>
        <w:t>vuodesta 2010</w:t>
      </w:r>
      <w:r w:rsidRPr="006E4C26">
        <w:rPr>
          <w:sz w:val="24"/>
        </w:rPr>
        <w:t xml:space="preserve"> </w:t>
      </w:r>
      <w:r w:rsidR="00AC071B" w:rsidRPr="006E4C26">
        <w:rPr>
          <w:sz w:val="24"/>
        </w:rPr>
        <w:t xml:space="preserve">vuoteen 2018 </w:t>
      </w:r>
      <w:r w:rsidR="005E2323" w:rsidRPr="006E4C26">
        <w:rPr>
          <w:sz w:val="24"/>
        </w:rPr>
        <w:t xml:space="preserve">yhteensä </w:t>
      </w:r>
      <w:r w:rsidR="00DA6F28" w:rsidRPr="006E4C26">
        <w:rPr>
          <w:sz w:val="24"/>
        </w:rPr>
        <w:t xml:space="preserve">noin </w:t>
      </w:r>
      <w:r w:rsidR="00E12920" w:rsidRPr="006E4C26">
        <w:rPr>
          <w:sz w:val="24"/>
        </w:rPr>
        <w:t>25</w:t>
      </w:r>
      <w:r w:rsidR="00241CEC" w:rsidRPr="006E4C26">
        <w:rPr>
          <w:sz w:val="24"/>
        </w:rPr>
        <w:t xml:space="preserve">0 </w:t>
      </w:r>
      <w:r w:rsidR="00D04BBD" w:rsidRPr="006E4C26">
        <w:rPr>
          <w:sz w:val="24"/>
        </w:rPr>
        <w:t>miljoonaa</w:t>
      </w:r>
      <w:r w:rsidR="00DA6F28" w:rsidRPr="006E4C26">
        <w:rPr>
          <w:sz w:val="24"/>
        </w:rPr>
        <w:t xml:space="preserve"> euroa. </w:t>
      </w:r>
      <w:r w:rsidR="00AC071B" w:rsidRPr="006E4C26">
        <w:rPr>
          <w:sz w:val="24"/>
        </w:rPr>
        <w:t>N</w:t>
      </w:r>
      <w:r w:rsidR="005E2323" w:rsidRPr="006E4C26">
        <w:rPr>
          <w:sz w:val="24"/>
        </w:rPr>
        <w:t xml:space="preserve">äiden verotuottojen </w:t>
      </w:r>
      <w:r w:rsidR="00AC071B" w:rsidRPr="006E4C26">
        <w:rPr>
          <w:sz w:val="24"/>
        </w:rPr>
        <w:t xml:space="preserve">suhde bruttokansantuotteeseen </w:t>
      </w:r>
      <w:r w:rsidR="00DA6F28" w:rsidRPr="006E4C26">
        <w:rPr>
          <w:sz w:val="24"/>
        </w:rPr>
        <w:t>o</w:t>
      </w:r>
      <w:r w:rsidR="005E2323" w:rsidRPr="006E4C26">
        <w:rPr>
          <w:sz w:val="24"/>
        </w:rPr>
        <w:t>n</w:t>
      </w:r>
      <w:r w:rsidR="00DA6F28" w:rsidRPr="006E4C26">
        <w:rPr>
          <w:sz w:val="24"/>
        </w:rPr>
        <w:t xml:space="preserve"> kuitenkin lasken</w:t>
      </w:r>
      <w:r w:rsidR="00AC071B" w:rsidRPr="006E4C26">
        <w:rPr>
          <w:sz w:val="24"/>
        </w:rPr>
        <w:t>u</w:t>
      </w:r>
      <w:r w:rsidR="00DA6F28" w:rsidRPr="006E4C26">
        <w:rPr>
          <w:sz w:val="24"/>
        </w:rPr>
        <w:t>t</w:t>
      </w:r>
      <w:r w:rsidR="00E12920" w:rsidRPr="006E4C26">
        <w:rPr>
          <w:sz w:val="24"/>
        </w:rPr>
        <w:t xml:space="preserve"> </w:t>
      </w:r>
      <w:r w:rsidR="00AC071B" w:rsidRPr="006E4C26">
        <w:rPr>
          <w:sz w:val="24"/>
        </w:rPr>
        <w:t xml:space="preserve">vuoden 2010 </w:t>
      </w:r>
      <w:r w:rsidR="00DA6F28" w:rsidRPr="006E4C26">
        <w:rPr>
          <w:sz w:val="24"/>
        </w:rPr>
        <w:t xml:space="preserve">noin </w:t>
      </w:r>
      <w:r w:rsidR="00D34FCA" w:rsidRPr="006E4C26">
        <w:rPr>
          <w:sz w:val="24"/>
        </w:rPr>
        <w:t xml:space="preserve">1,5 </w:t>
      </w:r>
      <w:r w:rsidR="00DA6F28" w:rsidRPr="006E4C26">
        <w:rPr>
          <w:sz w:val="24"/>
        </w:rPr>
        <w:t xml:space="preserve">prosentista </w:t>
      </w:r>
      <w:r w:rsidR="00AC071B" w:rsidRPr="006E4C26">
        <w:rPr>
          <w:sz w:val="24"/>
        </w:rPr>
        <w:t xml:space="preserve">vuoden 2018 </w:t>
      </w:r>
      <w:r w:rsidR="00D34FCA" w:rsidRPr="006E4C26">
        <w:rPr>
          <w:sz w:val="24"/>
        </w:rPr>
        <w:t>noin 1,3</w:t>
      </w:r>
      <w:r w:rsidR="00DA6F28" w:rsidRPr="006E4C26">
        <w:rPr>
          <w:sz w:val="24"/>
        </w:rPr>
        <w:t xml:space="preserve"> prosenttiin.</w:t>
      </w:r>
    </w:p>
    <w:p w:rsidR="005E0DFA" w:rsidRPr="006E4C26" w:rsidRDefault="00D34FCA" w:rsidP="00B72BB2">
      <w:pPr>
        <w:pStyle w:val="LLPerustelujenkappalejako"/>
        <w:spacing w:line="240" w:lineRule="auto"/>
        <w:jc w:val="left"/>
        <w:rPr>
          <w:sz w:val="24"/>
        </w:rPr>
      </w:pPr>
      <w:r w:rsidRPr="006E4C26">
        <w:rPr>
          <w:sz w:val="24"/>
        </w:rPr>
        <w:t xml:space="preserve">Nykylainsäädännöllä </w:t>
      </w:r>
      <w:r w:rsidR="00D04BBD" w:rsidRPr="006E4C26">
        <w:rPr>
          <w:sz w:val="24"/>
        </w:rPr>
        <w:t>liikennepolttoainei</w:t>
      </w:r>
      <w:r w:rsidR="009A3ECA" w:rsidRPr="006E4C26">
        <w:rPr>
          <w:sz w:val="24"/>
        </w:rPr>
        <w:t>sta ja käyttövoimaverosta kannettavien</w:t>
      </w:r>
      <w:r w:rsidR="00D04BBD" w:rsidRPr="006E4C26">
        <w:rPr>
          <w:sz w:val="24"/>
        </w:rPr>
        <w:t xml:space="preserve"> nimellisten verotuottojen ennustetaan laskevan </w:t>
      </w:r>
      <w:r w:rsidR="009C6C06" w:rsidRPr="006E4C26">
        <w:rPr>
          <w:sz w:val="24"/>
        </w:rPr>
        <w:t xml:space="preserve">yhteensä </w:t>
      </w:r>
      <w:r w:rsidR="00D04BBD" w:rsidRPr="006E4C26">
        <w:rPr>
          <w:sz w:val="24"/>
        </w:rPr>
        <w:t>noin</w:t>
      </w:r>
      <w:r w:rsidR="002C6500" w:rsidRPr="006E4C26">
        <w:rPr>
          <w:sz w:val="24"/>
        </w:rPr>
        <w:t xml:space="preserve"> </w:t>
      </w:r>
      <w:r w:rsidR="00AE6CBA" w:rsidRPr="006E4C26">
        <w:rPr>
          <w:sz w:val="24"/>
        </w:rPr>
        <w:t>2</w:t>
      </w:r>
      <w:r w:rsidR="009A3ECA" w:rsidRPr="006E4C26">
        <w:rPr>
          <w:sz w:val="24"/>
        </w:rPr>
        <w:t>00</w:t>
      </w:r>
      <w:r w:rsidR="005E2323" w:rsidRPr="006E4C26">
        <w:rPr>
          <w:sz w:val="24"/>
        </w:rPr>
        <w:t xml:space="preserve"> </w:t>
      </w:r>
      <w:r w:rsidR="00D04BBD" w:rsidRPr="006E4C26">
        <w:rPr>
          <w:sz w:val="24"/>
        </w:rPr>
        <w:t xml:space="preserve">miljoonaa euroa </w:t>
      </w:r>
      <w:r w:rsidR="009A3ECA" w:rsidRPr="006E4C26">
        <w:rPr>
          <w:sz w:val="24"/>
        </w:rPr>
        <w:t>vuoteen 2023 mennessä</w:t>
      </w:r>
      <w:r w:rsidR="00D04BBD" w:rsidRPr="006E4C26">
        <w:rPr>
          <w:sz w:val="24"/>
        </w:rPr>
        <w:t xml:space="preserve">. </w:t>
      </w:r>
      <w:r w:rsidR="009C6C06" w:rsidRPr="006E4C26">
        <w:rPr>
          <w:sz w:val="24"/>
        </w:rPr>
        <w:t>Liikennepolttoaineiden veropohjien ennustetun supistumisen lisäksi verotuottojen laskua selittää kevyemmin verotettujen biopolttoaineiden osuuden kasvu veropohjassa. Biopolttoaineiden osuuden kasvun arvioidaan alentavan verotuottoja noin 70 miljoonalla.</w:t>
      </w:r>
      <w:r w:rsidR="00754C7E" w:rsidRPr="006E4C26">
        <w:rPr>
          <w:sz w:val="24"/>
        </w:rPr>
        <w:t xml:space="preserve"> V</w:t>
      </w:r>
      <w:r w:rsidR="00D04BBD" w:rsidRPr="006E4C26">
        <w:rPr>
          <w:sz w:val="24"/>
        </w:rPr>
        <w:t xml:space="preserve">erotuottojen suhde bruttokansantuotteeseen arvioidaan laskevan </w:t>
      </w:r>
      <w:r w:rsidR="00760032" w:rsidRPr="006E4C26">
        <w:rPr>
          <w:sz w:val="24"/>
        </w:rPr>
        <w:t xml:space="preserve">vajaa </w:t>
      </w:r>
      <w:r w:rsidR="00D04BBD" w:rsidRPr="006E4C26">
        <w:rPr>
          <w:sz w:val="24"/>
        </w:rPr>
        <w:t>0,</w:t>
      </w:r>
      <w:r w:rsidR="00754C7E" w:rsidRPr="006E4C26">
        <w:rPr>
          <w:sz w:val="24"/>
        </w:rPr>
        <w:t xml:space="preserve">3 </w:t>
      </w:r>
      <w:r w:rsidR="00D04BBD" w:rsidRPr="006E4C26">
        <w:rPr>
          <w:sz w:val="24"/>
        </w:rPr>
        <w:t xml:space="preserve">prosenttiyksikköä, joka vuoden </w:t>
      </w:r>
      <w:r w:rsidR="00B1464D" w:rsidRPr="006E4C26">
        <w:rPr>
          <w:sz w:val="24"/>
        </w:rPr>
        <w:t xml:space="preserve">2018 </w:t>
      </w:r>
      <w:r w:rsidR="00D04BBD" w:rsidRPr="006E4C26">
        <w:rPr>
          <w:sz w:val="24"/>
        </w:rPr>
        <w:t xml:space="preserve">tasolla vastaa noin </w:t>
      </w:r>
      <w:r w:rsidR="00B1464D" w:rsidRPr="006E4C26">
        <w:rPr>
          <w:sz w:val="24"/>
        </w:rPr>
        <w:t>6</w:t>
      </w:r>
      <w:r w:rsidR="00760032" w:rsidRPr="006E4C26">
        <w:rPr>
          <w:sz w:val="24"/>
        </w:rPr>
        <w:t>00</w:t>
      </w:r>
      <w:r w:rsidR="00D04BBD" w:rsidRPr="006E4C26">
        <w:rPr>
          <w:sz w:val="24"/>
        </w:rPr>
        <w:t xml:space="preserve"> miljoonaa euroa. </w:t>
      </w:r>
    </w:p>
    <w:p w:rsidR="00445DE2" w:rsidRPr="000026CD" w:rsidRDefault="00445DE2" w:rsidP="000026CD">
      <w:pPr>
        <w:pStyle w:val="LLPerustelujenkappalejako"/>
        <w:spacing w:line="240" w:lineRule="auto"/>
        <w:jc w:val="left"/>
        <w:rPr>
          <w:b/>
          <w:sz w:val="24"/>
        </w:rPr>
      </w:pPr>
      <w:r w:rsidRPr="000026CD">
        <w:rPr>
          <w:b/>
          <w:sz w:val="24"/>
        </w:rPr>
        <w:t>Polttoaineiden hint</w:t>
      </w:r>
      <w:r w:rsidR="000026CD" w:rsidRPr="000026CD">
        <w:rPr>
          <w:b/>
          <w:sz w:val="24"/>
        </w:rPr>
        <w:t>a</w:t>
      </w:r>
    </w:p>
    <w:p w:rsidR="00445DE2" w:rsidRPr="006E4C26" w:rsidRDefault="00445DE2" w:rsidP="00445DE2">
      <w:pPr>
        <w:pStyle w:val="LLPerustelujenkappalejako"/>
        <w:spacing w:line="240" w:lineRule="auto"/>
        <w:jc w:val="left"/>
        <w:rPr>
          <w:sz w:val="24"/>
        </w:rPr>
      </w:pPr>
      <w:r w:rsidRPr="006E4C26">
        <w:rPr>
          <w:sz w:val="24"/>
        </w:rPr>
        <w:t xml:space="preserve">Tilastokeskuksen kuluttajahintaindeksin mukaan bensiinin kuluttajahinta on ollut </w:t>
      </w:r>
      <w:r w:rsidR="00500AA9" w:rsidRPr="006E4C26">
        <w:rPr>
          <w:sz w:val="24"/>
        </w:rPr>
        <w:t>alku</w:t>
      </w:r>
      <w:r w:rsidRPr="006E4C26">
        <w:rPr>
          <w:sz w:val="24"/>
        </w:rPr>
        <w:t>vuonna 2019 keskimäärin noin 1,52 euroa litralta, joka on noin 14 senttiä matalampi kuin vuonna 2012 ja 24 senttiä korkeampi kuin vuonna 2016. Dieselin kuluttajahinta on ollut alkuvuonna 2019 noin 1,41 euroa litralta, joka on noin 14 senttiä matalampi kuin vuonna 2012 ja 15 senttiä korkeampi kuin vuonna 2016. Polttoaineiden kuluttajahintojen vaihteluun on vaikuttanut erityisesti raakaöljyn voimak</w:t>
      </w:r>
      <w:r w:rsidR="00500AA9" w:rsidRPr="006E4C26">
        <w:rPr>
          <w:sz w:val="24"/>
        </w:rPr>
        <w:t>as</w:t>
      </w:r>
      <w:r w:rsidRPr="006E4C26">
        <w:rPr>
          <w:sz w:val="24"/>
        </w:rPr>
        <w:t xml:space="preserve"> hinnanvaihtelu. Alkuvuonna 2019 öljyn hinta on ollut noin 65 dollaria barrelilta, kun se vuonna 2012 oli noin 110 dollaria ja vuonna 2016 noin 45 dollaria barrelilta. </w:t>
      </w:r>
      <w:r w:rsidR="00500AA9" w:rsidRPr="006E4C26">
        <w:rPr>
          <w:sz w:val="24"/>
        </w:rPr>
        <w:t xml:space="preserve">Ennusteiden mukaan </w:t>
      </w:r>
      <w:r w:rsidRPr="006E4C26">
        <w:rPr>
          <w:sz w:val="24"/>
        </w:rPr>
        <w:t xml:space="preserve">raakaöljyn barrelihinta on jäämässä lähivuosien aikana </w:t>
      </w:r>
      <w:r w:rsidR="00BF2F90" w:rsidRPr="006E4C26">
        <w:rPr>
          <w:sz w:val="24"/>
        </w:rPr>
        <w:t xml:space="preserve">noin </w:t>
      </w:r>
      <w:r w:rsidRPr="006E4C26">
        <w:rPr>
          <w:sz w:val="24"/>
        </w:rPr>
        <w:t>60 dollariin.</w:t>
      </w:r>
    </w:p>
    <w:p w:rsidR="00262CBB" w:rsidRPr="006E4C26" w:rsidRDefault="00445DE2">
      <w:pPr>
        <w:pStyle w:val="LLPerustelujenkappalejako"/>
        <w:spacing w:line="240" w:lineRule="auto"/>
        <w:jc w:val="left"/>
        <w:rPr>
          <w:sz w:val="24"/>
        </w:rPr>
      </w:pPr>
      <w:r w:rsidRPr="006E4C26">
        <w:rPr>
          <w:sz w:val="24"/>
        </w:rPr>
        <w:t xml:space="preserve">Raakaöljyn hinnan muutosten </w:t>
      </w:r>
      <w:r w:rsidR="003F6D80" w:rsidRPr="006E4C26">
        <w:rPr>
          <w:sz w:val="24"/>
        </w:rPr>
        <w:t xml:space="preserve">ja polttoaineveron korotusten </w:t>
      </w:r>
      <w:r w:rsidRPr="006E4C26">
        <w:rPr>
          <w:sz w:val="24"/>
        </w:rPr>
        <w:t xml:space="preserve">lisäksi polttoaineen </w:t>
      </w:r>
      <w:r w:rsidR="00500AA9" w:rsidRPr="006E4C26">
        <w:rPr>
          <w:sz w:val="24"/>
        </w:rPr>
        <w:t>kuluttaja</w:t>
      </w:r>
      <w:r w:rsidRPr="006E4C26">
        <w:rPr>
          <w:sz w:val="24"/>
        </w:rPr>
        <w:t>hintoihin o</w:t>
      </w:r>
      <w:r w:rsidR="00500AA9" w:rsidRPr="006E4C26">
        <w:rPr>
          <w:sz w:val="24"/>
        </w:rPr>
        <w:t>vat</w:t>
      </w:r>
      <w:r w:rsidRPr="006E4C26">
        <w:rPr>
          <w:sz w:val="24"/>
        </w:rPr>
        <w:t xml:space="preserve"> vaikuttan</w:t>
      </w:r>
      <w:r w:rsidR="00500AA9" w:rsidRPr="006E4C26">
        <w:rPr>
          <w:sz w:val="24"/>
        </w:rPr>
        <w:t>eet</w:t>
      </w:r>
      <w:r w:rsidRPr="006E4C26">
        <w:rPr>
          <w:sz w:val="24"/>
        </w:rPr>
        <w:t xml:space="preserve"> euron heikkeneminen suhteessa dollariin, muutokset polttoaine</w:t>
      </w:r>
      <w:r w:rsidR="003344AD" w:rsidRPr="006E4C26">
        <w:rPr>
          <w:sz w:val="24"/>
        </w:rPr>
        <w:t>vero</w:t>
      </w:r>
      <w:r w:rsidRPr="006E4C26">
        <w:rPr>
          <w:sz w:val="24"/>
        </w:rPr>
        <w:t xml:space="preserve">tasoissa sekä biopolttoaineiden jakeluvelvoitteen kiristyminen. </w:t>
      </w:r>
    </w:p>
    <w:p w:rsidR="00760032" w:rsidRPr="006E4C26" w:rsidRDefault="00445DE2">
      <w:pPr>
        <w:pStyle w:val="LLPerustelujenkappalejako"/>
        <w:spacing w:line="240" w:lineRule="auto"/>
        <w:jc w:val="left"/>
        <w:rPr>
          <w:sz w:val="24"/>
        </w:rPr>
      </w:pPr>
      <w:r w:rsidRPr="006E4C26">
        <w:rPr>
          <w:sz w:val="24"/>
        </w:rPr>
        <w:t xml:space="preserve">Vuonna 2018 valmistuneessa valtioneuvoston tutkimus- ja selvitystoiminnan hankkeessa ”Biopolttoaineiden kustannustehokkaat toteutuspolut vuoteen 2030” arvioitiin, että biopolttoaineiden jakeluvelvoitetta pääasiallisesti täytetään vetykäsitellyllä kasviöljyllä, jonka verottoman markkinahinnan arvioitiin olevan vuonna 2020 noin 700 euroa tonnilta fossiilista dieseliä kalliimpaa. </w:t>
      </w:r>
      <w:r w:rsidR="00830DC4" w:rsidRPr="006E4C26">
        <w:rPr>
          <w:sz w:val="24"/>
        </w:rPr>
        <w:t>Polttoainelitraa kohden</w:t>
      </w:r>
      <w:r w:rsidRPr="006E4C26">
        <w:rPr>
          <w:sz w:val="24"/>
        </w:rPr>
        <w:t xml:space="preserve"> tämä tarkoitta</w:t>
      </w:r>
      <w:r w:rsidR="00830DC4" w:rsidRPr="006E4C26">
        <w:rPr>
          <w:sz w:val="24"/>
        </w:rPr>
        <w:t>isi</w:t>
      </w:r>
      <w:r w:rsidRPr="006E4C26">
        <w:rPr>
          <w:sz w:val="24"/>
        </w:rPr>
        <w:t xml:space="preserve"> noin 50 sentin </w:t>
      </w:r>
      <w:r w:rsidR="00830DC4" w:rsidRPr="006E4C26">
        <w:rPr>
          <w:sz w:val="24"/>
        </w:rPr>
        <w:t xml:space="preserve">suuruista </w:t>
      </w:r>
      <w:r w:rsidRPr="006E4C26">
        <w:rPr>
          <w:sz w:val="24"/>
        </w:rPr>
        <w:t>eroa</w:t>
      </w:r>
      <w:r w:rsidR="00830DC4" w:rsidRPr="006E4C26">
        <w:rPr>
          <w:sz w:val="24"/>
        </w:rPr>
        <w:t xml:space="preserve"> verottomissa hinnoissa</w:t>
      </w:r>
      <w:r w:rsidRPr="006E4C26">
        <w:rPr>
          <w:sz w:val="24"/>
        </w:rPr>
        <w:t xml:space="preserve">. </w:t>
      </w:r>
      <w:r w:rsidR="00830DC4" w:rsidRPr="006E4C26">
        <w:rPr>
          <w:sz w:val="24"/>
        </w:rPr>
        <w:t xml:space="preserve">Vaikka </w:t>
      </w:r>
      <w:r w:rsidRPr="006E4C26">
        <w:rPr>
          <w:sz w:val="24"/>
        </w:rPr>
        <w:t>kulutukseen luovutettu vetykäsitelty kasviöljy o</w:t>
      </w:r>
      <w:r w:rsidR="004F7315" w:rsidRPr="006E4C26">
        <w:rPr>
          <w:sz w:val="24"/>
        </w:rPr>
        <w:t>n</w:t>
      </w:r>
      <w:r w:rsidRPr="006E4C26">
        <w:rPr>
          <w:sz w:val="24"/>
        </w:rPr>
        <w:t xml:space="preserve"> </w:t>
      </w:r>
      <w:r w:rsidR="00830DC4" w:rsidRPr="006E4C26">
        <w:rPr>
          <w:sz w:val="24"/>
        </w:rPr>
        <w:t xml:space="preserve">jatkossakin </w:t>
      </w:r>
      <w:r w:rsidRPr="006E4C26">
        <w:rPr>
          <w:sz w:val="24"/>
        </w:rPr>
        <w:t>oikeutettu veromallin mukaiseen täyteen hiilidioksidiveron alennukseen, jakeluvelvoitetta pääasiassa täyttävä</w:t>
      </w:r>
      <w:r w:rsidR="00830DC4" w:rsidRPr="006E4C26">
        <w:rPr>
          <w:sz w:val="24"/>
        </w:rPr>
        <w:t>n</w:t>
      </w:r>
      <w:r w:rsidRPr="006E4C26">
        <w:rPr>
          <w:sz w:val="24"/>
        </w:rPr>
        <w:t xml:space="preserve"> vetykäsitellyn kasviöljyn valmisteverollinen hinta </w:t>
      </w:r>
      <w:r w:rsidR="00830DC4" w:rsidRPr="006E4C26">
        <w:rPr>
          <w:sz w:val="24"/>
        </w:rPr>
        <w:t xml:space="preserve">tulee </w:t>
      </w:r>
      <w:r w:rsidRPr="006E4C26">
        <w:rPr>
          <w:sz w:val="24"/>
        </w:rPr>
        <w:t xml:space="preserve">edelleen </w:t>
      </w:r>
      <w:r w:rsidR="00830DC4" w:rsidRPr="006E4C26">
        <w:rPr>
          <w:sz w:val="24"/>
        </w:rPr>
        <w:t xml:space="preserve">olemaan </w:t>
      </w:r>
      <w:r w:rsidRPr="006E4C26">
        <w:rPr>
          <w:sz w:val="24"/>
        </w:rPr>
        <w:t xml:space="preserve">yli 30 senttiä litralta vastaavaa fossiilista dieseliä kalliimpaa vuonna 2020. Kyseisellä hintaerolla biopolttoaineiden </w:t>
      </w:r>
      <w:r w:rsidRPr="006E4C26">
        <w:rPr>
          <w:sz w:val="24"/>
        </w:rPr>
        <w:lastRenderedPageBreak/>
        <w:t xml:space="preserve">jakeluvelvoitteen kiristymisen voidaan arvioida nostaneen polttoaineiden kuluttajahintoja </w:t>
      </w:r>
      <w:r w:rsidR="009C6C06" w:rsidRPr="006E4C26">
        <w:rPr>
          <w:sz w:val="24"/>
        </w:rPr>
        <w:t>kuluneella vuosikymmenellä</w:t>
      </w:r>
      <w:r w:rsidR="009C6C06" w:rsidRPr="006E4C26" w:rsidDel="00C5654B">
        <w:rPr>
          <w:sz w:val="24"/>
        </w:rPr>
        <w:t xml:space="preserve"> </w:t>
      </w:r>
      <w:r w:rsidR="00C5654B" w:rsidRPr="006E4C26">
        <w:rPr>
          <w:sz w:val="24"/>
        </w:rPr>
        <w:t>noin</w:t>
      </w:r>
      <w:r w:rsidRPr="006E4C26">
        <w:rPr>
          <w:sz w:val="24"/>
        </w:rPr>
        <w:t xml:space="preserve"> </w:t>
      </w:r>
      <w:r w:rsidR="00727D4C" w:rsidRPr="006E4C26">
        <w:rPr>
          <w:sz w:val="24"/>
        </w:rPr>
        <w:t xml:space="preserve">kolme </w:t>
      </w:r>
      <w:r w:rsidRPr="006E4C26">
        <w:rPr>
          <w:sz w:val="24"/>
        </w:rPr>
        <w:t>senttiä litralta.</w:t>
      </w:r>
      <w:r w:rsidR="00830DC4" w:rsidRPr="006E4C26">
        <w:rPr>
          <w:sz w:val="24"/>
        </w:rPr>
        <w:t xml:space="preserve"> </w:t>
      </w:r>
    </w:p>
    <w:p w:rsidR="00EF3DC3" w:rsidRPr="006E4C26" w:rsidRDefault="00EF3DC3" w:rsidP="00702FD3">
      <w:pPr>
        <w:pStyle w:val="LLPerustelujenkappalejako"/>
        <w:spacing w:line="240" w:lineRule="auto"/>
        <w:jc w:val="left"/>
        <w:rPr>
          <w:b/>
          <w:sz w:val="24"/>
        </w:rPr>
      </w:pPr>
      <w:r w:rsidRPr="006E4C26">
        <w:rPr>
          <w:b/>
          <w:sz w:val="24"/>
        </w:rPr>
        <w:t>Liikenteen verotuksen rakenne</w:t>
      </w:r>
    </w:p>
    <w:p w:rsidR="004B076F" w:rsidRPr="006E4C26" w:rsidRDefault="004B076F" w:rsidP="00702FD3">
      <w:pPr>
        <w:pStyle w:val="LLPerustelujenkappalejako"/>
        <w:spacing w:line="240" w:lineRule="auto"/>
        <w:jc w:val="left"/>
        <w:rPr>
          <w:sz w:val="24"/>
        </w:rPr>
      </w:pPr>
      <w:r w:rsidRPr="006E4C26">
        <w:rPr>
          <w:sz w:val="24"/>
        </w:rPr>
        <w:t xml:space="preserve">Polttoaineverotuksen </w:t>
      </w:r>
      <w:r w:rsidR="000867A9" w:rsidRPr="006E4C26">
        <w:rPr>
          <w:sz w:val="24"/>
        </w:rPr>
        <w:t xml:space="preserve">polttoaineen energiasisältöön, hiilidioksidi- ja lähipäästöihin perustuvaa </w:t>
      </w:r>
      <w:r w:rsidR="000C4BB0" w:rsidRPr="006E4C26">
        <w:rPr>
          <w:sz w:val="24"/>
        </w:rPr>
        <w:t xml:space="preserve">yleistä rakennetta, jota henkilöautojen osalta täydentää käyttövoimavero, </w:t>
      </w:r>
      <w:r w:rsidRPr="006E4C26">
        <w:rPr>
          <w:sz w:val="24"/>
        </w:rPr>
        <w:t xml:space="preserve">voidaan pitää </w:t>
      </w:r>
      <w:r w:rsidR="001B2D47" w:rsidRPr="006E4C26">
        <w:rPr>
          <w:sz w:val="24"/>
        </w:rPr>
        <w:t xml:space="preserve">edelleen </w:t>
      </w:r>
      <w:r w:rsidRPr="006E4C26">
        <w:rPr>
          <w:sz w:val="24"/>
        </w:rPr>
        <w:t xml:space="preserve">toimivana. </w:t>
      </w:r>
      <w:r w:rsidR="000867A9" w:rsidRPr="006E4C26">
        <w:rPr>
          <w:sz w:val="24"/>
        </w:rPr>
        <w:t>Liikennepolttoaineiden verotuksen painopiste</w:t>
      </w:r>
      <w:r w:rsidR="00712734" w:rsidRPr="006E4C26">
        <w:rPr>
          <w:sz w:val="24"/>
        </w:rPr>
        <w:t>ttä</w:t>
      </w:r>
      <w:r w:rsidR="000867A9" w:rsidRPr="006E4C26">
        <w:rPr>
          <w:sz w:val="24"/>
        </w:rPr>
        <w:t xml:space="preserve"> on siir</w:t>
      </w:r>
      <w:r w:rsidR="000C4BB0" w:rsidRPr="006E4C26">
        <w:rPr>
          <w:sz w:val="24"/>
        </w:rPr>
        <w:t>r</w:t>
      </w:r>
      <w:r w:rsidR="00712734" w:rsidRPr="006E4C26">
        <w:rPr>
          <w:sz w:val="24"/>
        </w:rPr>
        <w:t>et</w:t>
      </w:r>
      <w:r w:rsidR="000867A9" w:rsidRPr="006E4C26">
        <w:rPr>
          <w:sz w:val="24"/>
        </w:rPr>
        <w:t xml:space="preserve">ty </w:t>
      </w:r>
      <w:r w:rsidR="002C2AD3" w:rsidRPr="006E4C26">
        <w:rPr>
          <w:sz w:val="24"/>
        </w:rPr>
        <w:t>vuoden 2011 energiaverouudistuksen</w:t>
      </w:r>
      <w:r w:rsidR="008C4887" w:rsidRPr="006E4C26">
        <w:rPr>
          <w:sz w:val="24"/>
        </w:rPr>
        <w:t xml:space="preserve"> jälkeen</w:t>
      </w:r>
      <w:r w:rsidR="00712734" w:rsidRPr="006E4C26">
        <w:rPr>
          <w:sz w:val="24"/>
        </w:rPr>
        <w:t xml:space="preserve"> hiilidioksidiveroon ja lisäksi polttoaineiden elinkaaripäästöt huomioidaan nykyään verotuksessa</w:t>
      </w:r>
      <w:r w:rsidR="002C2AD3" w:rsidRPr="006E4C26">
        <w:rPr>
          <w:sz w:val="24"/>
        </w:rPr>
        <w:t xml:space="preserve">. </w:t>
      </w:r>
      <w:r w:rsidR="001B369C" w:rsidRPr="006E4C26">
        <w:rPr>
          <w:sz w:val="24"/>
        </w:rPr>
        <w:t>Kuluneen vuosikymme</w:t>
      </w:r>
      <w:r w:rsidR="002C2AD3" w:rsidRPr="006E4C26">
        <w:rPr>
          <w:sz w:val="24"/>
        </w:rPr>
        <w:t>n</w:t>
      </w:r>
      <w:r w:rsidR="001B369C" w:rsidRPr="006E4C26">
        <w:rPr>
          <w:sz w:val="24"/>
        </w:rPr>
        <w:t>en</w:t>
      </w:r>
      <w:r w:rsidR="002C2AD3" w:rsidRPr="006E4C26">
        <w:rPr>
          <w:sz w:val="24"/>
        </w:rPr>
        <w:t xml:space="preserve"> aikana on tapahtunut </w:t>
      </w:r>
      <w:r w:rsidR="008C4887" w:rsidRPr="006E4C26">
        <w:rPr>
          <w:sz w:val="24"/>
        </w:rPr>
        <w:t xml:space="preserve">kehitystä </w:t>
      </w:r>
      <w:r w:rsidR="00830DC4" w:rsidRPr="006E4C26">
        <w:rPr>
          <w:sz w:val="24"/>
        </w:rPr>
        <w:t>sekä</w:t>
      </w:r>
      <w:r w:rsidR="008C4887" w:rsidRPr="006E4C26">
        <w:rPr>
          <w:sz w:val="24"/>
        </w:rPr>
        <w:t xml:space="preserve"> ajoneuv</w:t>
      </w:r>
      <w:r w:rsidRPr="006E4C26">
        <w:rPr>
          <w:sz w:val="24"/>
        </w:rPr>
        <w:t xml:space="preserve">ojen </w:t>
      </w:r>
      <w:proofErr w:type="gramStart"/>
      <w:r w:rsidR="008C4887" w:rsidRPr="006E4C26">
        <w:rPr>
          <w:sz w:val="24"/>
        </w:rPr>
        <w:t>teknologi</w:t>
      </w:r>
      <w:r w:rsidR="004F7315" w:rsidRPr="006E4C26">
        <w:rPr>
          <w:sz w:val="24"/>
        </w:rPr>
        <w:t>oi</w:t>
      </w:r>
      <w:r w:rsidR="008C4887" w:rsidRPr="006E4C26">
        <w:rPr>
          <w:sz w:val="24"/>
        </w:rPr>
        <w:t>ssa</w:t>
      </w:r>
      <w:proofErr w:type="gramEnd"/>
      <w:r w:rsidR="008C4887" w:rsidRPr="006E4C26">
        <w:rPr>
          <w:sz w:val="24"/>
        </w:rPr>
        <w:t xml:space="preserve"> </w:t>
      </w:r>
      <w:r w:rsidR="00830DC4" w:rsidRPr="006E4C26">
        <w:rPr>
          <w:sz w:val="24"/>
        </w:rPr>
        <w:t xml:space="preserve">että </w:t>
      </w:r>
      <w:r w:rsidR="001B369C" w:rsidRPr="006E4C26">
        <w:rPr>
          <w:sz w:val="24"/>
        </w:rPr>
        <w:t>sääntelyssä</w:t>
      </w:r>
      <w:r w:rsidR="002C2AD3" w:rsidRPr="006E4C26">
        <w:rPr>
          <w:sz w:val="24"/>
        </w:rPr>
        <w:t>, mikä asetta</w:t>
      </w:r>
      <w:r w:rsidR="00830DC4" w:rsidRPr="006E4C26">
        <w:rPr>
          <w:sz w:val="24"/>
        </w:rPr>
        <w:t>a</w:t>
      </w:r>
      <w:r w:rsidR="002C2AD3" w:rsidRPr="006E4C26">
        <w:rPr>
          <w:sz w:val="24"/>
        </w:rPr>
        <w:t xml:space="preserve"> tarpeita nykyisen </w:t>
      </w:r>
      <w:r w:rsidR="00B8770D" w:rsidRPr="006E4C26">
        <w:rPr>
          <w:sz w:val="24"/>
        </w:rPr>
        <w:t>lähipäästöalennuksen p</w:t>
      </w:r>
      <w:r w:rsidR="008C4887" w:rsidRPr="006E4C26">
        <w:rPr>
          <w:sz w:val="24"/>
        </w:rPr>
        <w:t>äivittämiselle vastaamaan nykyistä tilaa</w:t>
      </w:r>
      <w:r w:rsidR="004F7315" w:rsidRPr="006E4C26">
        <w:rPr>
          <w:sz w:val="24"/>
        </w:rPr>
        <w:t xml:space="preserve"> ja siten myös valtiontukisääntelyn vaatimuksia</w:t>
      </w:r>
      <w:r w:rsidR="002C2AD3" w:rsidRPr="006E4C26">
        <w:rPr>
          <w:sz w:val="24"/>
        </w:rPr>
        <w:t xml:space="preserve">. </w:t>
      </w:r>
      <w:r w:rsidR="008C4887" w:rsidRPr="006E4C26">
        <w:rPr>
          <w:sz w:val="24"/>
        </w:rPr>
        <w:t>Tä</w:t>
      </w:r>
      <w:r w:rsidR="00B8770D" w:rsidRPr="006E4C26">
        <w:rPr>
          <w:sz w:val="24"/>
        </w:rPr>
        <w:t xml:space="preserve">mä </w:t>
      </w:r>
      <w:r w:rsidR="008C4887" w:rsidRPr="006E4C26">
        <w:rPr>
          <w:sz w:val="24"/>
        </w:rPr>
        <w:t>muutostar</w:t>
      </w:r>
      <w:r w:rsidR="00B8770D" w:rsidRPr="006E4C26">
        <w:rPr>
          <w:sz w:val="24"/>
        </w:rPr>
        <w:t>ve</w:t>
      </w:r>
      <w:r w:rsidR="008C4887" w:rsidRPr="006E4C26">
        <w:rPr>
          <w:sz w:val="24"/>
        </w:rPr>
        <w:t xml:space="preserve"> koskee muun muassa parafiinisen dieselöljyn veronalennusta, jo</w:t>
      </w:r>
      <w:r w:rsidR="004F3ADF" w:rsidRPr="006E4C26">
        <w:rPr>
          <w:sz w:val="24"/>
        </w:rPr>
        <w:t>lle</w:t>
      </w:r>
      <w:r w:rsidR="0040522D" w:rsidRPr="006E4C26">
        <w:rPr>
          <w:sz w:val="24"/>
        </w:rPr>
        <w:t xml:space="preserve"> ei ole enää </w:t>
      </w:r>
      <w:r w:rsidR="008C4887" w:rsidRPr="006E4C26">
        <w:rPr>
          <w:sz w:val="24"/>
        </w:rPr>
        <w:t>aj</w:t>
      </w:r>
      <w:r w:rsidRPr="006E4C26">
        <w:rPr>
          <w:sz w:val="24"/>
        </w:rPr>
        <w:t xml:space="preserve">oneuvoteknologian kehittymisen myötä </w:t>
      </w:r>
      <w:r w:rsidR="0040522D" w:rsidRPr="006E4C26">
        <w:rPr>
          <w:sz w:val="24"/>
        </w:rPr>
        <w:t xml:space="preserve">esittää vastaavia perusteita. </w:t>
      </w:r>
      <w:r w:rsidR="003344AD" w:rsidRPr="006E4C26">
        <w:rPr>
          <w:sz w:val="24"/>
        </w:rPr>
        <w:t>Tällä esityksellä ei kuitenkaan ehdoteta muutoksia lähipäästöalennukseen</w:t>
      </w:r>
      <w:r w:rsidR="00A61EFF" w:rsidRPr="006E4C26">
        <w:rPr>
          <w:sz w:val="24"/>
        </w:rPr>
        <w:t>.</w:t>
      </w:r>
      <w:r w:rsidR="00FD39EB" w:rsidRPr="006E4C26">
        <w:rPr>
          <w:sz w:val="24"/>
        </w:rPr>
        <w:t xml:space="preserve"> </w:t>
      </w:r>
      <w:r w:rsidR="00091ADB" w:rsidRPr="006E4C26">
        <w:rPr>
          <w:sz w:val="24"/>
        </w:rPr>
        <w:t xml:space="preserve"> </w:t>
      </w:r>
    </w:p>
    <w:p w:rsidR="008C4887" w:rsidRPr="006E4C26" w:rsidRDefault="004B076F" w:rsidP="00702FD3">
      <w:pPr>
        <w:pStyle w:val="LLPerustelujenkappalejako"/>
        <w:spacing w:line="240" w:lineRule="auto"/>
        <w:jc w:val="left"/>
        <w:rPr>
          <w:sz w:val="24"/>
        </w:rPr>
      </w:pPr>
      <w:proofErr w:type="spellStart"/>
      <w:r w:rsidRPr="006E4C26">
        <w:rPr>
          <w:sz w:val="24"/>
        </w:rPr>
        <w:t>RE</w:t>
      </w:r>
      <w:r w:rsidR="000C4BB0" w:rsidRPr="006E4C26">
        <w:rPr>
          <w:sz w:val="24"/>
        </w:rPr>
        <w:t>S</w:t>
      </w:r>
      <w:proofErr w:type="spellEnd"/>
      <w:r w:rsidR="000C4BB0" w:rsidRPr="006E4C26">
        <w:rPr>
          <w:sz w:val="24"/>
        </w:rPr>
        <w:t xml:space="preserve">-direktiivi on uudistunut ja sen täytäntöönpano on saatettava loppuun </w:t>
      </w:r>
      <w:r w:rsidR="00830DC4" w:rsidRPr="006E4C26">
        <w:rPr>
          <w:sz w:val="24"/>
        </w:rPr>
        <w:t xml:space="preserve">vuoden </w:t>
      </w:r>
      <w:r w:rsidR="000C4BB0" w:rsidRPr="006E4C26">
        <w:rPr>
          <w:sz w:val="24"/>
        </w:rPr>
        <w:t xml:space="preserve">2021 puoliväliin mennessä. Myös komission valtiontukisääntely uudistuu tämän hetkisen tiedon mukaan </w:t>
      </w:r>
      <w:r w:rsidR="00830DC4" w:rsidRPr="006E4C26">
        <w:rPr>
          <w:sz w:val="24"/>
        </w:rPr>
        <w:t xml:space="preserve">vuoden </w:t>
      </w:r>
      <w:r w:rsidR="000C4BB0" w:rsidRPr="006E4C26">
        <w:rPr>
          <w:sz w:val="24"/>
        </w:rPr>
        <w:t xml:space="preserve">2023 alusta. Näistä EU-sääntelyn muutoksista saattaa aiheutua </w:t>
      </w:r>
      <w:r w:rsidR="003344AD" w:rsidRPr="006E4C26">
        <w:rPr>
          <w:sz w:val="24"/>
        </w:rPr>
        <w:t xml:space="preserve">myöhemmin </w:t>
      </w:r>
      <w:r w:rsidR="000C4BB0" w:rsidRPr="006E4C26">
        <w:rPr>
          <w:sz w:val="24"/>
        </w:rPr>
        <w:t xml:space="preserve">heijastusvaikutuksia myös </w:t>
      </w:r>
      <w:r w:rsidR="007545E5" w:rsidRPr="006E4C26">
        <w:rPr>
          <w:sz w:val="24"/>
        </w:rPr>
        <w:t xml:space="preserve">erityisesti biopolttoaineiden </w:t>
      </w:r>
      <w:r w:rsidR="00531B49" w:rsidRPr="006E4C26">
        <w:rPr>
          <w:sz w:val="24"/>
        </w:rPr>
        <w:t>energiaverotuksen yksityiskoht</w:t>
      </w:r>
      <w:r w:rsidR="00830DC4" w:rsidRPr="006E4C26">
        <w:rPr>
          <w:sz w:val="24"/>
        </w:rPr>
        <w:t>i</w:t>
      </w:r>
      <w:r w:rsidR="00531B49" w:rsidRPr="006E4C26">
        <w:rPr>
          <w:sz w:val="24"/>
        </w:rPr>
        <w:t>in</w:t>
      </w:r>
      <w:r w:rsidR="00830DC4" w:rsidRPr="006E4C26">
        <w:rPr>
          <w:sz w:val="24"/>
        </w:rPr>
        <w:t>.</w:t>
      </w:r>
    </w:p>
    <w:p w:rsidR="00F743F0" w:rsidRPr="006E4C26" w:rsidRDefault="000F3EE9" w:rsidP="00ED5B54">
      <w:pPr>
        <w:pStyle w:val="LLP1Otsikkotaso"/>
      </w:pPr>
      <w:bookmarkStart w:id="10" w:name="_Toc19201149"/>
      <w:r w:rsidRPr="006E4C26">
        <w:t>Tavoitteet</w:t>
      </w:r>
      <w:bookmarkEnd w:id="10"/>
    </w:p>
    <w:p w:rsidR="00F743F0" w:rsidRPr="006E4C26" w:rsidRDefault="00F743F0" w:rsidP="00B72BB2">
      <w:pPr>
        <w:pStyle w:val="LLPerustelujenkappalejako"/>
        <w:spacing w:line="240" w:lineRule="auto"/>
        <w:jc w:val="left"/>
        <w:rPr>
          <w:sz w:val="24"/>
        </w:rPr>
      </w:pPr>
      <w:r w:rsidRPr="006E4C26">
        <w:rPr>
          <w:sz w:val="24"/>
        </w:rPr>
        <w:t xml:space="preserve">Esityksen tavoitteena on pääministeri </w:t>
      </w:r>
      <w:r w:rsidR="00B80981" w:rsidRPr="006E4C26">
        <w:rPr>
          <w:sz w:val="24"/>
        </w:rPr>
        <w:t xml:space="preserve">Antti </w:t>
      </w:r>
      <w:r w:rsidR="0062259D" w:rsidRPr="006E4C26">
        <w:rPr>
          <w:sz w:val="24"/>
        </w:rPr>
        <w:t>Rinteen</w:t>
      </w:r>
      <w:r w:rsidRPr="006E4C26">
        <w:rPr>
          <w:sz w:val="24"/>
        </w:rPr>
        <w:t xml:space="preserve"> hallituksen hallitusohjelman mukaisesti korottaa </w:t>
      </w:r>
      <w:r w:rsidR="00943F72" w:rsidRPr="006E4C26">
        <w:rPr>
          <w:sz w:val="24"/>
        </w:rPr>
        <w:t>liikennepolttoaineiden valmisteveroja 250 miljoonalla eurolla.</w:t>
      </w:r>
      <w:r w:rsidR="00B80981" w:rsidRPr="006E4C26">
        <w:rPr>
          <w:sz w:val="24"/>
        </w:rPr>
        <w:t xml:space="preserve"> </w:t>
      </w:r>
    </w:p>
    <w:p w:rsidR="00A61EFF" w:rsidRPr="006E4C26" w:rsidRDefault="00F743F0" w:rsidP="002525DB">
      <w:pPr>
        <w:pStyle w:val="LLPerustelujenkappalejako"/>
        <w:spacing w:line="240" w:lineRule="auto"/>
        <w:jc w:val="left"/>
        <w:rPr>
          <w:sz w:val="24"/>
        </w:rPr>
      </w:pPr>
      <w:r w:rsidRPr="006E4C26">
        <w:rPr>
          <w:sz w:val="24"/>
        </w:rPr>
        <w:t xml:space="preserve">Veronkorotuksella tavoitellaan </w:t>
      </w:r>
      <w:r w:rsidR="001B05DD" w:rsidRPr="006E4C26">
        <w:rPr>
          <w:sz w:val="24"/>
        </w:rPr>
        <w:t xml:space="preserve">verotuottojen kasvua sekä </w:t>
      </w:r>
      <w:r w:rsidR="00D31B35" w:rsidRPr="006E4C26">
        <w:rPr>
          <w:sz w:val="24"/>
        </w:rPr>
        <w:t xml:space="preserve">liikenteen polttoaineverotuksen </w:t>
      </w:r>
      <w:r w:rsidR="00E75A3C" w:rsidRPr="006E4C26">
        <w:rPr>
          <w:sz w:val="24"/>
        </w:rPr>
        <w:t xml:space="preserve">ympäristöohjauksen </w:t>
      </w:r>
      <w:r w:rsidR="00FF42F7" w:rsidRPr="006E4C26">
        <w:rPr>
          <w:sz w:val="24"/>
        </w:rPr>
        <w:t xml:space="preserve">tason </w:t>
      </w:r>
      <w:r w:rsidR="001B05DD" w:rsidRPr="006E4C26">
        <w:rPr>
          <w:sz w:val="24"/>
        </w:rPr>
        <w:t>säilymistä</w:t>
      </w:r>
      <w:r w:rsidR="00FF42F7" w:rsidRPr="006E4C26">
        <w:rPr>
          <w:sz w:val="24"/>
        </w:rPr>
        <w:t>.</w:t>
      </w:r>
      <w:r w:rsidR="001B05DD" w:rsidRPr="006E4C26">
        <w:rPr>
          <w:sz w:val="24"/>
        </w:rPr>
        <w:t xml:space="preserve"> </w:t>
      </w:r>
      <w:r w:rsidRPr="006E4C26">
        <w:rPr>
          <w:sz w:val="24"/>
        </w:rPr>
        <w:t xml:space="preserve"> </w:t>
      </w:r>
    </w:p>
    <w:p w:rsidR="00FD0E48" w:rsidRPr="006E4C26" w:rsidRDefault="00FD0E48" w:rsidP="00655FC5">
      <w:pPr>
        <w:pStyle w:val="LLP1Otsikkotaso"/>
      </w:pPr>
      <w:bookmarkStart w:id="11" w:name="_Toc19201150"/>
      <w:r w:rsidRPr="006E4C26">
        <w:t xml:space="preserve">Ehdotukset </w:t>
      </w:r>
      <w:r w:rsidR="00655FC5" w:rsidRPr="006E4C26">
        <w:t>ja niiden vaikutukset</w:t>
      </w:r>
      <w:bookmarkEnd w:id="11"/>
    </w:p>
    <w:p w:rsidR="00F743F0" w:rsidRPr="006E4C26" w:rsidRDefault="00F743F0" w:rsidP="00B72BB2">
      <w:pPr>
        <w:pStyle w:val="LLPerustelujenkappalejako"/>
        <w:spacing w:line="240" w:lineRule="auto"/>
        <w:jc w:val="left"/>
        <w:rPr>
          <w:sz w:val="24"/>
        </w:rPr>
      </w:pPr>
      <w:r w:rsidRPr="006E4C26">
        <w:rPr>
          <w:sz w:val="24"/>
        </w:rPr>
        <w:t xml:space="preserve">Esityksessä ehdotetaan, että </w:t>
      </w:r>
      <w:r w:rsidR="002643EC" w:rsidRPr="006E4C26">
        <w:rPr>
          <w:sz w:val="24"/>
        </w:rPr>
        <w:t>liikennepolttoaineiden</w:t>
      </w:r>
      <w:r w:rsidRPr="006E4C26">
        <w:rPr>
          <w:sz w:val="24"/>
        </w:rPr>
        <w:t xml:space="preserve"> </w:t>
      </w:r>
      <w:r w:rsidR="00984DB9" w:rsidRPr="006E4C26">
        <w:rPr>
          <w:sz w:val="24"/>
        </w:rPr>
        <w:t>energiasisältö</w:t>
      </w:r>
      <w:r w:rsidRPr="006E4C26">
        <w:rPr>
          <w:sz w:val="24"/>
        </w:rPr>
        <w:t xml:space="preserve">veroa </w:t>
      </w:r>
      <w:r w:rsidR="00984DB9" w:rsidRPr="006E4C26">
        <w:rPr>
          <w:sz w:val="24"/>
        </w:rPr>
        <w:t>korotettaisiin 0,</w:t>
      </w:r>
      <w:r w:rsidR="00EC71B4" w:rsidRPr="006E4C26">
        <w:rPr>
          <w:sz w:val="24"/>
        </w:rPr>
        <w:t>01631</w:t>
      </w:r>
      <w:r w:rsidR="00984DB9" w:rsidRPr="006E4C26">
        <w:rPr>
          <w:sz w:val="24"/>
        </w:rPr>
        <w:t xml:space="preserve"> eurosta</w:t>
      </w:r>
      <w:r w:rsidR="00EC71B4" w:rsidRPr="006E4C26">
        <w:rPr>
          <w:sz w:val="24"/>
        </w:rPr>
        <w:t xml:space="preserve"> </w:t>
      </w:r>
      <w:r w:rsidR="00984DB9" w:rsidRPr="006E4C26">
        <w:rPr>
          <w:sz w:val="24"/>
        </w:rPr>
        <w:t>0,</w:t>
      </w:r>
      <w:r w:rsidR="00EC71B4" w:rsidRPr="006E4C26">
        <w:rPr>
          <w:sz w:val="24"/>
        </w:rPr>
        <w:t>01</w:t>
      </w:r>
      <w:r w:rsidR="006B089D" w:rsidRPr="006E4C26">
        <w:rPr>
          <w:sz w:val="24"/>
        </w:rPr>
        <w:t>798</w:t>
      </w:r>
      <w:r w:rsidR="00984DB9" w:rsidRPr="006E4C26">
        <w:rPr>
          <w:sz w:val="24"/>
        </w:rPr>
        <w:t xml:space="preserve"> euroon</w:t>
      </w:r>
      <w:r w:rsidR="00EC71B4" w:rsidRPr="006E4C26">
        <w:rPr>
          <w:sz w:val="24"/>
        </w:rPr>
        <w:t xml:space="preserve"> megajoulelta</w:t>
      </w:r>
      <w:r w:rsidR="00984DB9" w:rsidRPr="006E4C26">
        <w:rPr>
          <w:sz w:val="24"/>
        </w:rPr>
        <w:t xml:space="preserve">. </w:t>
      </w:r>
      <w:r w:rsidR="00C6431B" w:rsidRPr="006E4C26">
        <w:rPr>
          <w:sz w:val="24"/>
        </w:rPr>
        <w:t xml:space="preserve">Kohdistamalla </w:t>
      </w:r>
      <w:r w:rsidR="008E3BC3" w:rsidRPr="006E4C26">
        <w:rPr>
          <w:sz w:val="24"/>
        </w:rPr>
        <w:t xml:space="preserve">veronkorotus </w:t>
      </w:r>
      <w:r w:rsidR="00C6431B" w:rsidRPr="006E4C26">
        <w:rPr>
          <w:sz w:val="24"/>
        </w:rPr>
        <w:t>energiasisältöveroon v</w:t>
      </w:r>
      <w:r w:rsidR="006D4BFF" w:rsidRPr="006E4C26">
        <w:rPr>
          <w:sz w:val="24"/>
        </w:rPr>
        <w:t>armistettaisiin, että</w:t>
      </w:r>
      <w:r w:rsidR="00C6431B" w:rsidRPr="006E4C26">
        <w:rPr>
          <w:sz w:val="24"/>
        </w:rPr>
        <w:t xml:space="preserve"> veronkorotuksen ohjausvaikutus ja vaikutus verotuloihin </w:t>
      </w:r>
      <w:r w:rsidR="006D4BFF" w:rsidRPr="006E4C26">
        <w:rPr>
          <w:sz w:val="24"/>
        </w:rPr>
        <w:t xml:space="preserve">säilyisi </w:t>
      </w:r>
      <w:r w:rsidR="00C6431B" w:rsidRPr="006E4C26">
        <w:rPr>
          <w:sz w:val="24"/>
        </w:rPr>
        <w:t xml:space="preserve">biopolttoaineiden jakeluvelvoitteen kasvun myötä. </w:t>
      </w:r>
      <w:r w:rsidR="005C2F6C" w:rsidRPr="006E4C26">
        <w:rPr>
          <w:sz w:val="24"/>
        </w:rPr>
        <w:t>Veron</w:t>
      </w:r>
      <w:r w:rsidR="00940FCD" w:rsidRPr="006E4C26">
        <w:rPr>
          <w:sz w:val="24"/>
        </w:rPr>
        <w:t>korotuksen kohdistaminen</w:t>
      </w:r>
      <w:r w:rsidR="00743827" w:rsidRPr="006E4C26">
        <w:rPr>
          <w:sz w:val="24"/>
        </w:rPr>
        <w:t xml:space="preserve"> energiasisältövero</w:t>
      </w:r>
      <w:r w:rsidR="003344AD" w:rsidRPr="006E4C26">
        <w:rPr>
          <w:sz w:val="24"/>
        </w:rPr>
        <w:t>on</w:t>
      </w:r>
      <w:r w:rsidR="005371D6" w:rsidRPr="006E4C26">
        <w:rPr>
          <w:sz w:val="24"/>
        </w:rPr>
        <w:t xml:space="preserve"> </w:t>
      </w:r>
      <w:r w:rsidR="005C2F6C" w:rsidRPr="006E4C26">
        <w:rPr>
          <w:sz w:val="24"/>
        </w:rPr>
        <w:t xml:space="preserve">on perusteltua </w:t>
      </w:r>
      <w:r w:rsidR="005C2F6C" w:rsidRPr="006E4C26">
        <w:rPr>
          <w:sz w:val="24"/>
          <w:shd w:val="clear" w:color="auto" w:fill="FFFFFF"/>
        </w:rPr>
        <w:t xml:space="preserve">myös </w:t>
      </w:r>
      <w:r w:rsidR="00C03E78" w:rsidRPr="006E4C26">
        <w:rPr>
          <w:sz w:val="24"/>
          <w:shd w:val="clear" w:color="auto" w:fill="FFFFFF"/>
        </w:rPr>
        <w:t>veromalliin liittyvien EU-oikeudellisten rajoitteiden ja vähimmäisvero</w:t>
      </w:r>
      <w:r w:rsidR="009666FC" w:rsidRPr="006E4C26">
        <w:rPr>
          <w:sz w:val="24"/>
          <w:shd w:val="clear" w:color="auto" w:fill="FFFFFF"/>
        </w:rPr>
        <w:t xml:space="preserve">vaatimusten </w:t>
      </w:r>
      <w:r w:rsidR="00C03E78" w:rsidRPr="006E4C26">
        <w:rPr>
          <w:sz w:val="24"/>
          <w:shd w:val="clear" w:color="auto" w:fill="FFFFFF"/>
        </w:rPr>
        <w:t>takia</w:t>
      </w:r>
      <w:r w:rsidR="002D68E3" w:rsidRPr="006E4C26">
        <w:rPr>
          <w:sz w:val="24"/>
          <w:shd w:val="clear" w:color="auto" w:fill="FFFFFF"/>
        </w:rPr>
        <w:t>.</w:t>
      </w:r>
      <w:r w:rsidR="009666FC" w:rsidRPr="006E4C26">
        <w:rPr>
          <w:sz w:val="24"/>
          <w:shd w:val="clear" w:color="auto" w:fill="FFFFFF"/>
        </w:rPr>
        <w:t xml:space="preserve"> Energiasisältöveron korotus edistää energian säästöä</w:t>
      </w:r>
      <w:r w:rsidR="003344AD" w:rsidRPr="006E4C26">
        <w:rPr>
          <w:sz w:val="24"/>
          <w:shd w:val="clear" w:color="auto" w:fill="FFFFFF"/>
        </w:rPr>
        <w:t xml:space="preserve"> ja</w:t>
      </w:r>
      <w:r w:rsidR="009666FC" w:rsidRPr="006E4C26">
        <w:rPr>
          <w:sz w:val="24"/>
          <w:shd w:val="clear" w:color="auto" w:fill="FFFFFF"/>
        </w:rPr>
        <w:t xml:space="preserve"> energiatehokkuutta myös biopolttoaineiden osalta ja kannustaa siten osaltaan uusiutuvien luonnonvarojen tehokkaaseen käyttöön. </w:t>
      </w:r>
      <w:r w:rsidR="003344AD" w:rsidRPr="006E4C26">
        <w:rPr>
          <w:sz w:val="24"/>
          <w:shd w:val="clear" w:color="auto" w:fill="FFFFFF"/>
        </w:rPr>
        <w:t xml:space="preserve">Lisäksi </w:t>
      </w:r>
      <w:r w:rsidR="003344AD" w:rsidRPr="006E4C26">
        <w:rPr>
          <w:sz w:val="24"/>
          <w:shd w:val="clear" w:color="auto" w:fill="FFFFFF"/>
        </w:rPr>
        <w:lastRenderedPageBreak/>
        <w:t>ehdotetaan, että</w:t>
      </w:r>
      <w:r w:rsidR="00EC71B4" w:rsidRPr="006E4C26">
        <w:rPr>
          <w:sz w:val="24"/>
          <w:shd w:val="clear" w:color="auto" w:fill="FFFFFF"/>
        </w:rPr>
        <w:t xml:space="preserve"> liikennepolttoaineiden hiilidioksidiveron </w:t>
      </w:r>
      <w:r w:rsidR="00E20D59" w:rsidRPr="006E4C26">
        <w:rPr>
          <w:sz w:val="24"/>
          <w:shd w:val="clear" w:color="auto" w:fill="FFFFFF"/>
        </w:rPr>
        <w:t xml:space="preserve">laskentaperusteita </w:t>
      </w:r>
      <w:r w:rsidR="00174DFE" w:rsidRPr="006E4C26">
        <w:rPr>
          <w:sz w:val="24"/>
          <w:shd w:val="clear" w:color="auto" w:fill="FFFFFF"/>
        </w:rPr>
        <w:t xml:space="preserve">päivitettäisiin vastaamaan vuoden 2019 alusta työkone- ja lämmityspolttoaineiden veromuutosten yhteydessä käyttöönotettuja uusia </w:t>
      </w:r>
      <w:r w:rsidR="00EC71B4" w:rsidRPr="006E4C26">
        <w:rPr>
          <w:sz w:val="24"/>
          <w:shd w:val="clear" w:color="auto" w:fill="FFFFFF"/>
        </w:rPr>
        <w:t>elinkaaripäästöarvoja</w:t>
      </w:r>
      <w:r w:rsidR="003344AD" w:rsidRPr="006E4C26">
        <w:rPr>
          <w:sz w:val="24"/>
          <w:shd w:val="clear" w:color="auto" w:fill="FFFFFF"/>
        </w:rPr>
        <w:t>, jotka ovat hieman alempia kuin veroperusteiden laskennassa aikaisemmin käytetyt arvot</w:t>
      </w:r>
      <w:r w:rsidR="00174DFE" w:rsidRPr="006E4C26">
        <w:rPr>
          <w:sz w:val="24"/>
          <w:shd w:val="clear" w:color="auto" w:fill="FFFFFF"/>
        </w:rPr>
        <w:t>.</w:t>
      </w:r>
    </w:p>
    <w:p w:rsidR="0055704B" w:rsidRPr="006E4C26" w:rsidRDefault="002643EC" w:rsidP="00B72BB2">
      <w:pPr>
        <w:pStyle w:val="LLPerustelujenkappalejako"/>
        <w:spacing w:line="240" w:lineRule="auto"/>
        <w:jc w:val="left"/>
        <w:rPr>
          <w:sz w:val="24"/>
        </w:rPr>
      </w:pPr>
      <w:r w:rsidRPr="006E4C26">
        <w:rPr>
          <w:sz w:val="24"/>
        </w:rPr>
        <w:t xml:space="preserve">Liikennepolttoaineiden </w:t>
      </w:r>
      <w:r w:rsidR="00F743F0" w:rsidRPr="006E4C26">
        <w:rPr>
          <w:sz w:val="24"/>
        </w:rPr>
        <w:t xml:space="preserve">korotus ehdotetaan </w:t>
      </w:r>
      <w:r w:rsidR="0070452A" w:rsidRPr="006E4C26">
        <w:rPr>
          <w:sz w:val="24"/>
        </w:rPr>
        <w:t xml:space="preserve">saatettavaksi voimaan </w:t>
      </w:r>
      <w:r w:rsidR="0039215A" w:rsidRPr="006E4C26">
        <w:rPr>
          <w:sz w:val="24"/>
        </w:rPr>
        <w:t>1.8.</w:t>
      </w:r>
      <w:r w:rsidR="00984DB9" w:rsidRPr="006E4C26">
        <w:rPr>
          <w:sz w:val="24"/>
        </w:rPr>
        <w:t xml:space="preserve">2020. </w:t>
      </w:r>
    </w:p>
    <w:p w:rsidR="00F743F0" w:rsidRPr="006E4C26" w:rsidRDefault="0055704B" w:rsidP="00B72BB2">
      <w:pPr>
        <w:pStyle w:val="LLPerustelujenkappalejako"/>
        <w:spacing w:line="240" w:lineRule="auto"/>
        <w:jc w:val="left"/>
        <w:rPr>
          <w:sz w:val="24"/>
        </w:rPr>
      </w:pPr>
      <w:r w:rsidRPr="006E4C26">
        <w:rPr>
          <w:sz w:val="24"/>
        </w:rPr>
        <w:t>Esityksessä ehdotetaan, että v</w:t>
      </w:r>
      <w:r w:rsidR="004A2138" w:rsidRPr="006E4C26">
        <w:rPr>
          <w:sz w:val="24"/>
        </w:rPr>
        <w:t>almisteverotuslain</w:t>
      </w:r>
      <w:r w:rsidRPr="006E4C26">
        <w:rPr>
          <w:sz w:val="24"/>
        </w:rPr>
        <w:t xml:space="preserve"> 5 §:n 2 kohdan kolmannen alueen määritelmästä poistettaisiin </w:t>
      </w:r>
      <w:proofErr w:type="spellStart"/>
      <w:r w:rsidRPr="006E4C26">
        <w:rPr>
          <w:sz w:val="24"/>
        </w:rPr>
        <w:t>Campione</w:t>
      </w:r>
      <w:proofErr w:type="spellEnd"/>
      <w:r w:rsidRPr="006E4C26">
        <w:rPr>
          <w:sz w:val="24"/>
        </w:rPr>
        <w:t xml:space="preserve"> </w:t>
      </w:r>
      <w:proofErr w:type="spellStart"/>
      <w:r w:rsidRPr="006E4C26">
        <w:rPr>
          <w:sz w:val="24"/>
        </w:rPr>
        <w:t>d’Italia</w:t>
      </w:r>
      <w:proofErr w:type="spellEnd"/>
      <w:r w:rsidRPr="006E4C26">
        <w:rPr>
          <w:sz w:val="24"/>
        </w:rPr>
        <w:t xml:space="preserve"> ja </w:t>
      </w:r>
      <w:proofErr w:type="spellStart"/>
      <w:r w:rsidRPr="006E4C26">
        <w:rPr>
          <w:sz w:val="24"/>
        </w:rPr>
        <w:t>Luganojärven</w:t>
      </w:r>
      <w:proofErr w:type="spellEnd"/>
      <w:r w:rsidRPr="006E4C26">
        <w:rPr>
          <w:sz w:val="24"/>
        </w:rPr>
        <w:t xml:space="preserve"> Italialle kuuluvat vesialueet</w:t>
      </w:r>
      <w:r w:rsidR="004A2138" w:rsidRPr="006E4C26">
        <w:rPr>
          <w:sz w:val="24"/>
        </w:rPr>
        <w:t>, koska alueet kuuluvat nykyisin unionin tulli- ja valmisteveroalueeseen</w:t>
      </w:r>
      <w:r w:rsidRPr="006E4C26">
        <w:rPr>
          <w:sz w:val="24"/>
        </w:rPr>
        <w:t>. Lisäksi lain 5 §:n 5 kohtaan tehtäisiin teknisluonteinen muutos.</w:t>
      </w:r>
    </w:p>
    <w:p w:rsidR="00F743F0" w:rsidRPr="006E4C26" w:rsidRDefault="00FD0E48" w:rsidP="00ED5B54">
      <w:pPr>
        <w:pStyle w:val="LLP2Otsikkotaso"/>
      </w:pPr>
      <w:bookmarkStart w:id="12" w:name="_Toc19201151"/>
      <w:r w:rsidRPr="006E4C26">
        <w:t xml:space="preserve">Pääasialliset </w:t>
      </w:r>
      <w:r w:rsidR="00F743F0" w:rsidRPr="006E4C26">
        <w:t>vaikutukset</w:t>
      </w:r>
      <w:bookmarkEnd w:id="12"/>
      <w:r w:rsidR="00F743F0" w:rsidRPr="006E4C26">
        <w:t xml:space="preserve"> </w:t>
      </w:r>
    </w:p>
    <w:p w:rsidR="00670358" w:rsidRPr="00655FC5" w:rsidRDefault="00C6702C" w:rsidP="00B72BB2">
      <w:pPr>
        <w:pStyle w:val="LLPerustelujenkappalejako"/>
        <w:spacing w:line="240" w:lineRule="auto"/>
        <w:jc w:val="left"/>
        <w:rPr>
          <w:b/>
        </w:rPr>
      </w:pPr>
      <w:r w:rsidRPr="00655FC5">
        <w:rPr>
          <w:b/>
        </w:rPr>
        <w:t xml:space="preserve">Taloudelliset vaikutukset </w:t>
      </w:r>
    </w:p>
    <w:p w:rsidR="00DB7256" w:rsidRPr="006E4C26" w:rsidRDefault="00DB7256" w:rsidP="00DB7256">
      <w:pPr>
        <w:pStyle w:val="LLPerustelujenkappalejako"/>
        <w:spacing w:line="240" w:lineRule="auto"/>
        <w:jc w:val="left"/>
        <w:rPr>
          <w:sz w:val="24"/>
        </w:rPr>
      </w:pPr>
      <w:r w:rsidRPr="006E4C26">
        <w:rPr>
          <w:sz w:val="24"/>
        </w:rPr>
        <w:t>Liikennepolttoaineiden veron korottaminen lisäisi valtion tuloja vu</w:t>
      </w:r>
      <w:r w:rsidR="0015238F" w:rsidRPr="006E4C26">
        <w:rPr>
          <w:sz w:val="24"/>
        </w:rPr>
        <w:t>ositasolla noin 250</w:t>
      </w:r>
      <w:r w:rsidRPr="006E4C26">
        <w:rPr>
          <w:sz w:val="24"/>
        </w:rPr>
        <w:t xml:space="preserve"> miljoonaa euroa. </w:t>
      </w:r>
      <w:r w:rsidR="0015238F" w:rsidRPr="006E4C26">
        <w:rPr>
          <w:sz w:val="24"/>
        </w:rPr>
        <w:t>Vuoden</w:t>
      </w:r>
      <w:r w:rsidRPr="006E4C26">
        <w:rPr>
          <w:sz w:val="24"/>
        </w:rPr>
        <w:t xml:space="preserve"> 20</w:t>
      </w:r>
      <w:r w:rsidR="0094007B" w:rsidRPr="006E4C26">
        <w:rPr>
          <w:sz w:val="24"/>
        </w:rPr>
        <w:t xml:space="preserve">20 </w:t>
      </w:r>
      <w:r w:rsidR="0015238F" w:rsidRPr="006E4C26">
        <w:rPr>
          <w:sz w:val="24"/>
        </w:rPr>
        <w:t>budjettitalouden mukais</w:t>
      </w:r>
      <w:r w:rsidR="0070452A" w:rsidRPr="006E4C26">
        <w:rPr>
          <w:sz w:val="24"/>
        </w:rPr>
        <w:t>ten</w:t>
      </w:r>
      <w:r w:rsidR="0015238F" w:rsidRPr="006E4C26">
        <w:rPr>
          <w:sz w:val="24"/>
        </w:rPr>
        <w:t xml:space="preserve"> verotu</w:t>
      </w:r>
      <w:r w:rsidR="0070452A" w:rsidRPr="006E4C26">
        <w:rPr>
          <w:sz w:val="24"/>
        </w:rPr>
        <w:t>lojen</w:t>
      </w:r>
      <w:r w:rsidR="0015238F" w:rsidRPr="006E4C26">
        <w:rPr>
          <w:sz w:val="24"/>
        </w:rPr>
        <w:t xml:space="preserve"> arvioidaan</w:t>
      </w:r>
      <w:r w:rsidRPr="006E4C26">
        <w:rPr>
          <w:sz w:val="24"/>
        </w:rPr>
        <w:t xml:space="preserve"> </w:t>
      </w:r>
      <w:r w:rsidR="0015238F" w:rsidRPr="006E4C26">
        <w:rPr>
          <w:sz w:val="24"/>
        </w:rPr>
        <w:t>kasvavan noin 83</w:t>
      </w:r>
      <w:r w:rsidRPr="006E4C26">
        <w:rPr>
          <w:sz w:val="24"/>
        </w:rPr>
        <w:t xml:space="preserve"> miljoona</w:t>
      </w:r>
      <w:r w:rsidR="00C620D0" w:rsidRPr="006E4C26">
        <w:rPr>
          <w:sz w:val="24"/>
        </w:rPr>
        <w:t>lla, mitä selittää veronkorotusten</w:t>
      </w:r>
      <w:r w:rsidR="0015238F" w:rsidRPr="006E4C26">
        <w:rPr>
          <w:sz w:val="24"/>
        </w:rPr>
        <w:t xml:space="preserve"> voimaantulo </w:t>
      </w:r>
      <w:r w:rsidR="0070452A" w:rsidRPr="006E4C26">
        <w:rPr>
          <w:sz w:val="24"/>
        </w:rPr>
        <w:t xml:space="preserve">vasta </w:t>
      </w:r>
      <w:r w:rsidR="0015238F" w:rsidRPr="006E4C26">
        <w:rPr>
          <w:sz w:val="24"/>
        </w:rPr>
        <w:t xml:space="preserve">elokuussa 2020 ja valmisteverojen tilitysten </w:t>
      </w:r>
      <w:r w:rsidR="00C620D0" w:rsidRPr="006E4C26">
        <w:rPr>
          <w:sz w:val="24"/>
        </w:rPr>
        <w:t>ajoittuminen</w:t>
      </w:r>
      <w:r w:rsidR="0015238F" w:rsidRPr="006E4C26">
        <w:rPr>
          <w:sz w:val="24"/>
        </w:rPr>
        <w:t xml:space="preserve">. </w:t>
      </w:r>
    </w:p>
    <w:p w:rsidR="001B2D47" w:rsidRPr="006E4C26" w:rsidRDefault="00DB7256" w:rsidP="007545E5">
      <w:pPr>
        <w:pStyle w:val="LLPerustelujenkappalejako"/>
        <w:spacing w:line="240" w:lineRule="auto"/>
        <w:rPr>
          <w:sz w:val="24"/>
        </w:rPr>
      </w:pPr>
      <w:r w:rsidRPr="006E4C26">
        <w:rPr>
          <w:sz w:val="24"/>
        </w:rPr>
        <w:t>Vuodelta 20</w:t>
      </w:r>
      <w:r w:rsidR="00C620D0" w:rsidRPr="006E4C26">
        <w:rPr>
          <w:sz w:val="24"/>
        </w:rPr>
        <w:t xml:space="preserve">21 </w:t>
      </w:r>
      <w:r w:rsidRPr="006E4C26">
        <w:rPr>
          <w:sz w:val="24"/>
        </w:rPr>
        <w:t>liikennepolttoaineista arvioidaan kertyvän noin 2,</w:t>
      </w:r>
      <w:r w:rsidR="00E704CC" w:rsidRPr="006E4C26">
        <w:rPr>
          <w:sz w:val="24"/>
        </w:rPr>
        <w:t xml:space="preserve">5 </w:t>
      </w:r>
      <w:r w:rsidRPr="006E4C26">
        <w:rPr>
          <w:sz w:val="24"/>
        </w:rPr>
        <w:t>miljardia euroa valmisteverotuottoa. Liikennepolttoaineiden verotuotto kasvais</w:t>
      </w:r>
      <w:r w:rsidR="00C620D0" w:rsidRPr="006E4C26">
        <w:rPr>
          <w:sz w:val="24"/>
        </w:rPr>
        <w:t xml:space="preserve">i esityksen seurauksena noin </w:t>
      </w:r>
      <w:r w:rsidR="00E704CC" w:rsidRPr="006E4C26">
        <w:rPr>
          <w:sz w:val="24"/>
        </w:rPr>
        <w:t>kymmenen</w:t>
      </w:r>
      <w:r w:rsidRPr="006E4C26">
        <w:rPr>
          <w:sz w:val="24"/>
        </w:rPr>
        <w:t xml:space="preserve"> prosenttia. </w:t>
      </w:r>
      <w:r w:rsidR="001B2D47" w:rsidRPr="006E4C26">
        <w:rPr>
          <w:sz w:val="24"/>
        </w:rPr>
        <w:t xml:space="preserve">Ennusteessa on oletettu, että biopolttoaineiden osuus on jatkossa yhtä suuri kuin biopolttoaineiden jakeluvelvoite edellyttää. </w:t>
      </w:r>
    </w:p>
    <w:p w:rsidR="0094007B" w:rsidRPr="006E4C26" w:rsidRDefault="00DB7256" w:rsidP="00B72BB2">
      <w:pPr>
        <w:pStyle w:val="LLPerustelujenkappalejako"/>
        <w:spacing w:line="240" w:lineRule="auto"/>
        <w:jc w:val="left"/>
        <w:rPr>
          <w:sz w:val="24"/>
        </w:rPr>
      </w:pPr>
      <w:r w:rsidRPr="006E4C26">
        <w:rPr>
          <w:sz w:val="24"/>
        </w:rPr>
        <w:t>Ehdotetuilla veromuutoksilla ei ol</w:t>
      </w:r>
      <w:r w:rsidR="00C620D0" w:rsidRPr="006E4C26">
        <w:rPr>
          <w:sz w:val="24"/>
        </w:rPr>
        <w:t>isi</w:t>
      </w:r>
      <w:r w:rsidRPr="006E4C26">
        <w:rPr>
          <w:sz w:val="24"/>
        </w:rPr>
        <w:t xml:space="preserve"> merkittävää vaikutusta valtion muihin välillisiin verotuloihin</w:t>
      </w:r>
      <w:r w:rsidR="00C620D0" w:rsidRPr="006E4C26">
        <w:rPr>
          <w:sz w:val="24"/>
        </w:rPr>
        <w:t>, sillä kuluttajien odotetaan vähentävän kokonaiskulutusta veronkorotuksen verran.</w:t>
      </w:r>
    </w:p>
    <w:p w:rsidR="001B2D47" w:rsidRPr="006E4C26" w:rsidRDefault="00DB7256" w:rsidP="00C620D0">
      <w:pPr>
        <w:pStyle w:val="LLPerustelujenkappalejako"/>
        <w:spacing w:line="240" w:lineRule="auto"/>
        <w:jc w:val="left"/>
        <w:rPr>
          <w:sz w:val="24"/>
        </w:rPr>
      </w:pPr>
      <w:r w:rsidRPr="006E4C26">
        <w:rPr>
          <w:sz w:val="24"/>
        </w:rPr>
        <w:t>Veronkorotus olisi bensiinille ja sitä korv</w:t>
      </w:r>
      <w:r w:rsidR="00C620D0" w:rsidRPr="006E4C26">
        <w:rPr>
          <w:sz w:val="24"/>
        </w:rPr>
        <w:t>aaville tuotteille keskimäärin 5,</w:t>
      </w:r>
      <w:r w:rsidR="00EC71B4" w:rsidRPr="006E4C26">
        <w:rPr>
          <w:sz w:val="24"/>
        </w:rPr>
        <w:t>1</w:t>
      </w:r>
      <w:r w:rsidR="00C620D0" w:rsidRPr="006E4C26">
        <w:rPr>
          <w:sz w:val="24"/>
        </w:rPr>
        <w:t xml:space="preserve"> senttiä litralta, eli </w:t>
      </w:r>
      <w:r w:rsidR="001B2D47" w:rsidRPr="006E4C26">
        <w:rPr>
          <w:sz w:val="24"/>
        </w:rPr>
        <w:t xml:space="preserve">noin </w:t>
      </w:r>
      <w:r w:rsidR="00E704CC" w:rsidRPr="006E4C26">
        <w:rPr>
          <w:sz w:val="24"/>
        </w:rPr>
        <w:t>7</w:t>
      </w:r>
      <w:r w:rsidR="00C620D0" w:rsidRPr="006E4C26">
        <w:rPr>
          <w:sz w:val="24"/>
        </w:rPr>
        <w:t>,</w:t>
      </w:r>
      <w:r w:rsidR="008E00B8" w:rsidRPr="006E4C26">
        <w:rPr>
          <w:sz w:val="24"/>
        </w:rPr>
        <w:t>7</w:t>
      </w:r>
      <w:r w:rsidRPr="006E4C26">
        <w:rPr>
          <w:sz w:val="24"/>
        </w:rPr>
        <w:t xml:space="preserve"> prosenttia ja dieselille ja s</w:t>
      </w:r>
      <w:r w:rsidR="00C620D0" w:rsidRPr="006E4C26">
        <w:rPr>
          <w:sz w:val="24"/>
        </w:rPr>
        <w:t xml:space="preserve">itä korvaaville polttoaineille </w:t>
      </w:r>
      <w:r w:rsidR="001B2D47" w:rsidRPr="006E4C26">
        <w:rPr>
          <w:sz w:val="24"/>
        </w:rPr>
        <w:t xml:space="preserve">keskimäärin </w:t>
      </w:r>
      <w:r w:rsidR="00C620D0" w:rsidRPr="006E4C26">
        <w:rPr>
          <w:sz w:val="24"/>
        </w:rPr>
        <w:t>5,</w:t>
      </w:r>
      <w:r w:rsidR="008E00B8" w:rsidRPr="006E4C26">
        <w:rPr>
          <w:sz w:val="24"/>
        </w:rPr>
        <w:t>6</w:t>
      </w:r>
      <w:r w:rsidR="00EC71B4" w:rsidRPr="006E4C26">
        <w:rPr>
          <w:sz w:val="24"/>
        </w:rPr>
        <w:t xml:space="preserve"> </w:t>
      </w:r>
      <w:r w:rsidRPr="006E4C26">
        <w:rPr>
          <w:sz w:val="24"/>
        </w:rPr>
        <w:t>sen</w:t>
      </w:r>
      <w:r w:rsidR="00C620D0" w:rsidRPr="006E4C26">
        <w:rPr>
          <w:sz w:val="24"/>
        </w:rPr>
        <w:t xml:space="preserve">ttiä litralta, eli keskimäärin </w:t>
      </w:r>
      <w:r w:rsidR="001B2D47" w:rsidRPr="006E4C26">
        <w:rPr>
          <w:sz w:val="24"/>
        </w:rPr>
        <w:t xml:space="preserve">noin </w:t>
      </w:r>
      <w:r w:rsidR="00E704CC" w:rsidRPr="006E4C26">
        <w:rPr>
          <w:sz w:val="24"/>
        </w:rPr>
        <w:t>12</w:t>
      </w:r>
      <w:r w:rsidR="00C620D0" w:rsidRPr="006E4C26">
        <w:rPr>
          <w:sz w:val="24"/>
        </w:rPr>
        <w:t>,</w:t>
      </w:r>
      <w:r w:rsidR="008E00B8" w:rsidRPr="006E4C26">
        <w:rPr>
          <w:sz w:val="24"/>
        </w:rPr>
        <w:t>7</w:t>
      </w:r>
      <w:r w:rsidRPr="006E4C26">
        <w:rPr>
          <w:sz w:val="24"/>
        </w:rPr>
        <w:t xml:space="preserve"> prosenttia.</w:t>
      </w:r>
      <w:r w:rsidR="002C070B">
        <w:rPr>
          <w:sz w:val="24"/>
        </w:rPr>
        <w:t xml:space="preserve"> </w:t>
      </w:r>
      <w:r w:rsidR="000F6077" w:rsidRPr="006E4C26">
        <w:rPr>
          <w:sz w:val="24"/>
        </w:rPr>
        <w:t>D</w:t>
      </w:r>
      <w:r w:rsidR="00DB55D4" w:rsidRPr="006E4C26">
        <w:rPr>
          <w:sz w:val="24"/>
        </w:rPr>
        <w:t xml:space="preserve">ieselöljyn 25,95 senttiä litralta </w:t>
      </w:r>
      <w:r w:rsidR="000F6077" w:rsidRPr="006E4C26">
        <w:rPr>
          <w:sz w:val="24"/>
        </w:rPr>
        <w:t xml:space="preserve">suuruisesta verotuesta johtuen dieselöljyn prosentuaalinen veronkorotus on moottoribensiiniä suurempi. </w:t>
      </w:r>
      <w:r w:rsidR="001B2D47" w:rsidRPr="006E4C26">
        <w:rPr>
          <w:sz w:val="24"/>
        </w:rPr>
        <w:t>Sataprosenttise</w:t>
      </w:r>
      <w:r w:rsidR="00390ECE" w:rsidRPr="006E4C26">
        <w:rPr>
          <w:sz w:val="24"/>
        </w:rPr>
        <w:t xml:space="preserve">na myytävän </w:t>
      </w:r>
      <w:r w:rsidR="001B2D47" w:rsidRPr="006E4C26">
        <w:rPr>
          <w:sz w:val="24"/>
        </w:rPr>
        <w:t xml:space="preserve">parafiinisen </w:t>
      </w:r>
      <w:r w:rsidR="00F0205D" w:rsidRPr="006E4C26">
        <w:rPr>
          <w:sz w:val="24"/>
        </w:rPr>
        <w:t xml:space="preserve">tuplalaskettavan </w:t>
      </w:r>
      <w:r w:rsidR="001B2D47" w:rsidRPr="006E4C26">
        <w:rPr>
          <w:sz w:val="24"/>
        </w:rPr>
        <w:t>biodieselin verotus ei kiristyisi, sillä sii</w:t>
      </w:r>
      <w:r w:rsidR="009939C5" w:rsidRPr="006E4C26">
        <w:rPr>
          <w:sz w:val="24"/>
        </w:rPr>
        <w:t xml:space="preserve">tä kannettaisiin edelleen </w:t>
      </w:r>
      <w:r w:rsidR="001B2D47" w:rsidRPr="006E4C26">
        <w:rPr>
          <w:sz w:val="24"/>
        </w:rPr>
        <w:t xml:space="preserve">veroa 33 senttiä litralta, koska veromallin mukainen taso alittaisi edelleen EU:n </w:t>
      </w:r>
      <w:r w:rsidR="009939C5" w:rsidRPr="006E4C26">
        <w:rPr>
          <w:sz w:val="24"/>
        </w:rPr>
        <w:t>vähimmäis</w:t>
      </w:r>
      <w:r w:rsidR="001B2D47" w:rsidRPr="006E4C26">
        <w:rPr>
          <w:sz w:val="24"/>
        </w:rPr>
        <w:t xml:space="preserve">verotason </w:t>
      </w:r>
      <w:r w:rsidR="00E704CC" w:rsidRPr="006E4C26">
        <w:rPr>
          <w:sz w:val="24"/>
        </w:rPr>
        <w:t>1,</w:t>
      </w:r>
      <w:r w:rsidR="0026797E" w:rsidRPr="006E4C26">
        <w:rPr>
          <w:sz w:val="24"/>
        </w:rPr>
        <w:t xml:space="preserve">02 </w:t>
      </w:r>
      <w:r w:rsidR="001B2D47" w:rsidRPr="006E4C26">
        <w:rPr>
          <w:sz w:val="24"/>
        </w:rPr>
        <w:t>sentillä litralla.</w:t>
      </w:r>
    </w:p>
    <w:p w:rsidR="00C620D0" w:rsidRPr="006E4C26" w:rsidRDefault="00DB7256" w:rsidP="00B72BB2">
      <w:pPr>
        <w:pStyle w:val="LLPerustelujenkappalejako"/>
        <w:spacing w:line="240" w:lineRule="auto"/>
        <w:jc w:val="left"/>
        <w:rPr>
          <w:sz w:val="24"/>
        </w:rPr>
      </w:pPr>
      <w:r w:rsidRPr="006E4C26">
        <w:rPr>
          <w:sz w:val="24"/>
        </w:rPr>
        <w:t>Korotukset nostaisivat moottoribensiinin ja sitä korvaavien biopolttoaineiden hintaa arvonlisäveron</w:t>
      </w:r>
      <w:r w:rsidR="00C620D0" w:rsidRPr="006E4C26">
        <w:rPr>
          <w:sz w:val="24"/>
        </w:rPr>
        <w:t xml:space="preserve"> vaikutus huomioon ottaen noin 6,</w:t>
      </w:r>
      <w:r w:rsidR="0040522D" w:rsidRPr="006E4C26">
        <w:rPr>
          <w:sz w:val="24"/>
        </w:rPr>
        <w:t xml:space="preserve">3 </w:t>
      </w:r>
      <w:r w:rsidRPr="006E4C26">
        <w:rPr>
          <w:sz w:val="24"/>
        </w:rPr>
        <w:t xml:space="preserve">senttiä litralta. Tyypillisen E95-moottoribensiinin hinta nousisi arviolta noin </w:t>
      </w:r>
      <w:r w:rsidR="005562D1" w:rsidRPr="006E4C26">
        <w:rPr>
          <w:sz w:val="24"/>
        </w:rPr>
        <w:t xml:space="preserve">neljä </w:t>
      </w:r>
      <w:r w:rsidRPr="006E4C26">
        <w:rPr>
          <w:sz w:val="24"/>
        </w:rPr>
        <w:t>prosenttia. Dieselöljyn ja sitä korvaavien biopolttoaineiden arvonlisäverollinen hinta nousis</w:t>
      </w:r>
      <w:r w:rsidR="00C620D0" w:rsidRPr="006E4C26">
        <w:rPr>
          <w:sz w:val="24"/>
        </w:rPr>
        <w:t xml:space="preserve">i </w:t>
      </w:r>
      <w:r w:rsidR="00AD0FA1" w:rsidRPr="006E4C26">
        <w:rPr>
          <w:sz w:val="24"/>
        </w:rPr>
        <w:t xml:space="preserve">noin </w:t>
      </w:r>
      <w:r w:rsidR="0040522D" w:rsidRPr="006E4C26">
        <w:rPr>
          <w:sz w:val="24"/>
        </w:rPr>
        <w:t>6,9</w:t>
      </w:r>
      <w:r w:rsidRPr="006E4C26">
        <w:rPr>
          <w:sz w:val="24"/>
        </w:rPr>
        <w:t xml:space="preserve"> senttiä litralta. </w:t>
      </w:r>
      <w:r w:rsidR="00C620D0" w:rsidRPr="006E4C26">
        <w:rPr>
          <w:sz w:val="24"/>
        </w:rPr>
        <w:lastRenderedPageBreak/>
        <w:t>D</w:t>
      </w:r>
      <w:r w:rsidRPr="006E4C26">
        <w:rPr>
          <w:sz w:val="24"/>
        </w:rPr>
        <w:t>iesel</w:t>
      </w:r>
      <w:r w:rsidR="00C620D0" w:rsidRPr="006E4C26">
        <w:rPr>
          <w:sz w:val="24"/>
        </w:rPr>
        <w:t xml:space="preserve">in </w:t>
      </w:r>
      <w:r w:rsidRPr="006E4C26">
        <w:rPr>
          <w:sz w:val="24"/>
        </w:rPr>
        <w:t xml:space="preserve">hintaa korotus nostaisi </w:t>
      </w:r>
      <w:r w:rsidR="005562D1" w:rsidRPr="006E4C26">
        <w:rPr>
          <w:sz w:val="24"/>
        </w:rPr>
        <w:t>noin viisi</w:t>
      </w:r>
      <w:r w:rsidRPr="006E4C26">
        <w:rPr>
          <w:sz w:val="24"/>
        </w:rPr>
        <w:t xml:space="preserve"> prosenttia.</w:t>
      </w:r>
      <w:r w:rsidR="00390ECE" w:rsidRPr="006E4C26">
        <w:rPr>
          <w:sz w:val="24"/>
        </w:rPr>
        <w:t xml:space="preserve"> Sataprosenttisen </w:t>
      </w:r>
      <w:r w:rsidR="00F0205D" w:rsidRPr="006E4C26">
        <w:rPr>
          <w:sz w:val="24"/>
        </w:rPr>
        <w:t xml:space="preserve">tuplalaskettavan </w:t>
      </w:r>
      <w:r w:rsidR="00390ECE" w:rsidRPr="006E4C26">
        <w:rPr>
          <w:sz w:val="24"/>
        </w:rPr>
        <w:t>parafiinisen biodieselin hinta ei nousisi.</w:t>
      </w:r>
    </w:p>
    <w:p w:rsidR="00E77785" w:rsidRPr="006E4C26" w:rsidRDefault="00F56624" w:rsidP="00B72BB2">
      <w:pPr>
        <w:pStyle w:val="LLPerustelujenkappalejako"/>
        <w:spacing w:line="240" w:lineRule="auto"/>
        <w:jc w:val="left"/>
        <w:rPr>
          <w:sz w:val="24"/>
        </w:rPr>
      </w:pPr>
      <w:r w:rsidRPr="006E4C26">
        <w:rPr>
          <w:sz w:val="24"/>
        </w:rPr>
        <w:t xml:space="preserve">Esityksen seurauksena kuorma-auton vuotuiset polttoainekustannukset nousisivat keskimääräisellä dieselpolttoaineseoksella </w:t>
      </w:r>
      <w:r w:rsidR="00EC71B4" w:rsidRPr="006E4C26">
        <w:rPr>
          <w:sz w:val="24"/>
        </w:rPr>
        <w:t>2</w:t>
      </w:r>
      <w:r w:rsidR="0070452A" w:rsidRPr="006E4C26">
        <w:rPr>
          <w:sz w:val="24"/>
        </w:rPr>
        <w:t xml:space="preserve"> </w:t>
      </w:r>
      <w:r w:rsidR="00A61EFF" w:rsidRPr="006E4C26">
        <w:rPr>
          <w:sz w:val="24"/>
        </w:rPr>
        <w:t xml:space="preserve">130 </w:t>
      </w:r>
      <w:r w:rsidRPr="006E4C26">
        <w:rPr>
          <w:sz w:val="24"/>
        </w:rPr>
        <w:t>eurolla, jos polttoaineen keskikulutus olisi 38 litraa 100 kilometrillä ja ajosuorite 100 000 kilometriä.</w:t>
      </w:r>
      <w:r w:rsidR="00E77785" w:rsidRPr="006E4C26">
        <w:rPr>
          <w:sz w:val="24"/>
        </w:rPr>
        <w:t xml:space="preserve"> Bensiinikäyttöisen henkilöauton keskimääräiset vuotuiset polttoainekustannukset nousisivat arvonlisävero</w:t>
      </w:r>
      <w:r w:rsidR="0070452A" w:rsidRPr="006E4C26">
        <w:rPr>
          <w:sz w:val="24"/>
        </w:rPr>
        <w:t>n vaikutus</w:t>
      </w:r>
      <w:r w:rsidR="00E77785" w:rsidRPr="006E4C26">
        <w:rPr>
          <w:sz w:val="24"/>
        </w:rPr>
        <w:t xml:space="preserve"> mukaan lukien noin </w:t>
      </w:r>
      <w:r w:rsidR="005562D1" w:rsidRPr="006E4C26">
        <w:rPr>
          <w:sz w:val="24"/>
        </w:rPr>
        <w:t xml:space="preserve">69 </w:t>
      </w:r>
      <w:r w:rsidR="00E77785" w:rsidRPr="006E4C26">
        <w:rPr>
          <w:sz w:val="24"/>
        </w:rPr>
        <w:t xml:space="preserve">eurolla ja dieselauton </w:t>
      </w:r>
      <w:r w:rsidR="005562D1" w:rsidRPr="006E4C26">
        <w:rPr>
          <w:sz w:val="24"/>
        </w:rPr>
        <w:t>6</w:t>
      </w:r>
      <w:r w:rsidR="00A61EFF" w:rsidRPr="006E4C26">
        <w:rPr>
          <w:sz w:val="24"/>
        </w:rPr>
        <w:t>6</w:t>
      </w:r>
      <w:r w:rsidR="00E77785" w:rsidRPr="006E4C26">
        <w:rPr>
          <w:sz w:val="24"/>
        </w:rPr>
        <w:t xml:space="preserve"> eurolla, jos molempien ajosuorite olisi 17 000 kilometriä vuodessa ja bensiinikäyttöisen henkilöauton kulutus olisi 6,4 litraa ja dieselkäyttöisen 5,6 litraa 100 kilometrillä.</w:t>
      </w:r>
    </w:p>
    <w:p w:rsidR="00D7051E" w:rsidRPr="006E4C26" w:rsidRDefault="00D7051E" w:rsidP="00B72BB2">
      <w:pPr>
        <w:pStyle w:val="LLPerustelujenkappalejako"/>
        <w:spacing w:line="240" w:lineRule="auto"/>
        <w:jc w:val="left"/>
        <w:rPr>
          <w:sz w:val="24"/>
        </w:rPr>
      </w:pPr>
      <w:r w:rsidRPr="006E4C26">
        <w:rPr>
          <w:sz w:val="24"/>
        </w:rPr>
        <w:t xml:space="preserve">Ehdotettujen energiaverojen korotusten suoran inflaatiovaikutuksen arvioidaan olevan yhteensä </w:t>
      </w:r>
      <w:r w:rsidR="00696977" w:rsidRPr="006E4C26">
        <w:rPr>
          <w:sz w:val="24"/>
        </w:rPr>
        <w:t>0,18</w:t>
      </w:r>
      <w:r w:rsidR="00530A3A" w:rsidRPr="006E4C26">
        <w:rPr>
          <w:sz w:val="24"/>
        </w:rPr>
        <w:t xml:space="preserve"> </w:t>
      </w:r>
      <w:r w:rsidRPr="006E4C26">
        <w:rPr>
          <w:sz w:val="24"/>
        </w:rPr>
        <w:t xml:space="preserve">prosenttia eli kuluttajahintaindeksin muutoksen ennustetaan olevan veronkorotuksen takia </w:t>
      </w:r>
      <w:r w:rsidR="00696977" w:rsidRPr="006E4C26">
        <w:rPr>
          <w:sz w:val="24"/>
        </w:rPr>
        <w:t>0,18</w:t>
      </w:r>
      <w:r w:rsidR="00530A3A" w:rsidRPr="006E4C26">
        <w:rPr>
          <w:sz w:val="24"/>
        </w:rPr>
        <w:t xml:space="preserve"> </w:t>
      </w:r>
      <w:r w:rsidRPr="006E4C26">
        <w:rPr>
          <w:sz w:val="24"/>
        </w:rPr>
        <w:t>prosenttiyksikköä suurempi kuin ilman korotusta.</w:t>
      </w:r>
    </w:p>
    <w:p w:rsidR="00DB7256" w:rsidRPr="006E4C26" w:rsidRDefault="00DB7256" w:rsidP="007545E5">
      <w:pPr>
        <w:pStyle w:val="LLPerustelujenkappalejako"/>
        <w:spacing w:line="240" w:lineRule="auto"/>
        <w:rPr>
          <w:b/>
          <w:sz w:val="24"/>
        </w:rPr>
      </w:pPr>
      <w:r w:rsidRPr="006E4C26">
        <w:rPr>
          <w:b/>
          <w:sz w:val="24"/>
        </w:rPr>
        <w:t>Yritysvaikutukset</w:t>
      </w:r>
    </w:p>
    <w:p w:rsidR="00DB7256" w:rsidRPr="006E4C26" w:rsidRDefault="00DB7256" w:rsidP="007545E5">
      <w:pPr>
        <w:pStyle w:val="LLPerustelujenkappalejako"/>
        <w:spacing w:line="240" w:lineRule="auto"/>
        <w:rPr>
          <w:sz w:val="24"/>
        </w:rPr>
      </w:pPr>
      <w:r w:rsidRPr="006E4C26">
        <w:rPr>
          <w:sz w:val="24"/>
        </w:rPr>
        <w:t xml:space="preserve">Liikennepolttoaineiden </w:t>
      </w:r>
      <w:r w:rsidR="0094007B" w:rsidRPr="006E4C26">
        <w:rPr>
          <w:sz w:val="24"/>
        </w:rPr>
        <w:t xml:space="preserve">250 </w:t>
      </w:r>
      <w:r w:rsidRPr="006E4C26">
        <w:rPr>
          <w:sz w:val="24"/>
        </w:rPr>
        <w:t xml:space="preserve">miljoonan euron veronkorotuksesta noin </w:t>
      </w:r>
      <w:r w:rsidR="000B3DC5" w:rsidRPr="006E4C26">
        <w:rPr>
          <w:sz w:val="24"/>
        </w:rPr>
        <w:t>90</w:t>
      </w:r>
      <w:r w:rsidRPr="006E4C26">
        <w:rPr>
          <w:sz w:val="24"/>
        </w:rPr>
        <w:t xml:space="preserve"> miljoonaa </w:t>
      </w:r>
      <w:r w:rsidR="000B3DC5" w:rsidRPr="006E4C26">
        <w:rPr>
          <w:sz w:val="24"/>
        </w:rPr>
        <w:t>kohdistuisi maaliikennepalveluihin, jo</w:t>
      </w:r>
      <w:r w:rsidR="00EC71B4" w:rsidRPr="006E4C26">
        <w:rPr>
          <w:sz w:val="24"/>
        </w:rPr>
        <w:t xml:space="preserve">nka kautta se </w:t>
      </w:r>
      <w:r w:rsidRPr="006E4C26">
        <w:rPr>
          <w:sz w:val="24"/>
        </w:rPr>
        <w:t>jakautuisi laaj</w:t>
      </w:r>
      <w:r w:rsidR="000B3DC5" w:rsidRPr="006E4C26">
        <w:rPr>
          <w:sz w:val="24"/>
        </w:rPr>
        <w:t xml:space="preserve">emmin </w:t>
      </w:r>
      <w:r w:rsidRPr="006E4C26">
        <w:rPr>
          <w:sz w:val="24"/>
        </w:rPr>
        <w:t xml:space="preserve">yhteiskunnan eri toimijoille. </w:t>
      </w:r>
      <w:r w:rsidR="00F56624" w:rsidRPr="006E4C26">
        <w:rPr>
          <w:sz w:val="24"/>
        </w:rPr>
        <w:t>E</w:t>
      </w:r>
      <w:r w:rsidR="00846104" w:rsidRPr="006E4C26">
        <w:rPr>
          <w:sz w:val="24"/>
        </w:rPr>
        <w:t>hdotetut</w:t>
      </w:r>
      <w:r w:rsidR="00F56624" w:rsidRPr="006E4C26">
        <w:rPr>
          <w:sz w:val="24"/>
        </w:rPr>
        <w:t xml:space="preserve"> korotu</w:t>
      </w:r>
      <w:r w:rsidR="00846104" w:rsidRPr="006E4C26">
        <w:rPr>
          <w:sz w:val="24"/>
        </w:rPr>
        <w:t xml:space="preserve">kset lisäisivät </w:t>
      </w:r>
      <w:r w:rsidR="007A1D23" w:rsidRPr="006E4C26">
        <w:rPr>
          <w:sz w:val="24"/>
        </w:rPr>
        <w:t>maaliikenne</w:t>
      </w:r>
      <w:r w:rsidR="000B3DC5" w:rsidRPr="006E4C26">
        <w:rPr>
          <w:sz w:val="24"/>
        </w:rPr>
        <w:t>palveluiden</w:t>
      </w:r>
      <w:r w:rsidR="007A1D23" w:rsidRPr="006E4C26">
        <w:rPr>
          <w:sz w:val="24"/>
        </w:rPr>
        <w:t xml:space="preserve"> </w:t>
      </w:r>
      <w:r w:rsidR="00846104" w:rsidRPr="006E4C26">
        <w:rPr>
          <w:sz w:val="24"/>
        </w:rPr>
        <w:t>kokonaiskustannuksia mekaanisesti</w:t>
      </w:r>
      <w:r w:rsidR="00F56624" w:rsidRPr="006E4C26">
        <w:rPr>
          <w:sz w:val="24"/>
        </w:rPr>
        <w:t xml:space="preserve"> noin prosen</w:t>
      </w:r>
      <w:r w:rsidR="00846104" w:rsidRPr="006E4C26">
        <w:rPr>
          <w:sz w:val="24"/>
        </w:rPr>
        <w:t>tilla</w:t>
      </w:r>
      <w:r w:rsidR="007A1D23" w:rsidRPr="006E4C26">
        <w:rPr>
          <w:sz w:val="24"/>
        </w:rPr>
        <w:t xml:space="preserve">. Tehdasteollisuuden </w:t>
      </w:r>
      <w:r w:rsidR="000B3DC5" w:rsidRPr="006E4C26">
        <w:rPr>
          <w:sz w:val="24"/>
        </w:rPr>
        <w:t xml:space="preserve">mekaaninen kustannuslisäys välillisesti maaliikennepalveluiden kautta olisi arviolta </w:t>
      </w:r>
      <w:r w:rsidR="00AD3781" w:rsidRPr="006E4C26">
        <w:rPr>
          <w:sz w:val="24"/>
        </w:rPr>
        <w:t>noin 0,03</w:t>
      </w:r>
      <w:r w:rsidR="002103DD" w:rsidRPr="006E4C26">
        <w:rPr>
          <w:sz w:val="24"/>
        </w:rPr>
        <w:t xml:space="preserve"> prosenttia suhteessa tehdasteollisuuden kokonaiskustannuksiin ja </w:t>
      </w:r>
      <w:r w:rsidR="000B3DC5" w:rsidRPr="006E4C26">
        <w:rPr>
          <w:sz w:val="24"/>
        </w:rPr>
        <w:t xml:space="preserve">noin 0,4 prosenttia suhteessa tehdasteollisuuden toimintaylijäämään. Todelliset kustannusvaikutukset </w:t>
      </w:r>
      <w:r w:rsidR="00A9293C" w:rsidRPr="006E4C26">
        <w:rPr>
          <w:sz w:val="24"/>
        </w:rPr>
        <w:t>voisivat olla kuitenkin</w:t>
      </w:r>
      <w:r w:rsidR="000B3DC5" w:rsidRPr="006E4C26">
        <w:rPr>
          <w:sz w:val="24"/>
        </w:rPr>
        <w:t xml:space="preserve"> mekaanisia kustannusvaikutuksia pienempiä, sillä veronkorotus todennäköisesti jossain määrin hidastaisi teollisuuden käyttämien välituotteiden hintojen ja palkkojen kasvua.</w:t>
      </w:r>
    </w:p>
    <w:p w:rsidR="0094007B" w:rsidRPr="006E4C26" w:rsidRDefault="00C620D0" w:rsidP="007545E5">
      <w:pPr>
        <w:pStyle w:val="LLPerustelujenkappalejako"/>
        <w:spacing w:line="240" w:lineRule="auto"/>
        <w:rPr>
          <w:b/>
          <w:sz w:val="24"/>
        </w:rPr>
      </w:pPr>
      <w:r w:rsidRPr="006E4C26">
        <w:rPr>
          <w:b/>
          <w:sz w:val="24"/>
        </w:rPr>
        <w:t>Ympäristövaikutukset</w:t>
      </w:r>
    </w:p>
    <w:p w:rsidR="00B24A89" w:rsidRPr="006E4C26" w:rsidRDefault="00C620D0" w:rsidP="007545E5">
      <w:pPr>
        <w:pStyle w:val="LLPerustelujenkappalejako"/>
        <w:spacing w:line="240" w:lineRule="auto"/>
        <w:rPr>
          <w:sz w:val="24"/>
        </w:rPr>
      </w:pPr>
      <w:r w:rsidRPr="006E4C26">
        <w:rPr>
          <w:sz w:val="24"/>
        </w:rPr>
        <w:t>Ehdotetuilla muutoksilla olisi myönteinen vaikutus päästökaupan ulkopuolisen liikennesektorin hiilidioksidipäästöjen vähentämisessä</w:t>
      </w:r>
      <w:r w:rsidR="00AC0C6F" w:rsidRPr="006E4C26">
        <w:rPr>
          <w:sz w:val="24"/>
        </w:rPr>
        <w:t xml:space="preserve">. </w:t>
      </w:r>
      <w:r w:rsidR="002B6786" w:rsidRPr="006E4C26">
        <w:rPr>
          <w:sz w:val="24"/>
        </w:rPr>
        <w:t>Lyhyellä aikavälillä e</w:t>
      </w:r>
      <w:r w:rsidR="0039641F" w:rsidRPr="006E4C26">
        <w:rPr>
          <w:sz w:val="24"/>
        </w:rPr>
        <w:t xml:space="preserve">hdotettujen veronkorotusten arvioidaan vähentävän </w:t>
      </w:r>
      <w:r w:rsidR="000819E3" w:rsidRPr="006E4C26">
        <w:rPr>
          <w:sz w:val="24"/>
        </w:rPr>
        <w:t xml:space="preserve">bensiinikäyttöisten </w:t>
      </w:r>
      <w:r w:rsidR="0039641F" w:rsidRPr="006E4C26">
        <w:rPr>
          <w:sz w:val="24"/>
        </w:rPr>
        <w:t xml:space="preserve">henkilöautojen polttoaineen kulutusta noin </w:t>
      </w:r>
      <w:r w:rsidR="00E704CC" w:rsidRPr="006E4C26">
        <w:rPr>
          <w:sz w:val="24"/>
        </w:rPr>
        <w:t>1,</w:t>
      </w:r>
      <w:r w:rsidR="00A3543C" w:rsidRPr="006E4C26">
        <w:rPr>
          <w:sz w:val="24"/>
        </w:rPr>
        <w:t>1</w:t>
      </w:r>
      <w:r w:rsidR="00E704CC" w:rsidRPr="006E4C26">
        <w:rPr>
          <w:sz w:val="24"/>
        </w:rPr>
        <w:t xml:space="preserve"> </w:t>
      </w:r>
      <w:r w:rsidR="0039641F" w:rsidRPr="006E4C26">
        <w:rPr>
          <w:sz w:val="24"/>
        </w:rPr>
        <w:t xml:space="preserve">prosenttia </w:t>
      </w:r>
      <w:r w:rsidR="002B6786" w:rsidRPr="006E4C26">
        <w:rPr>
          <w:sz w:val="24"/>
        </w:rPr>
        <w:t xml:space="preserve">ja dieselkäyttöisten henkilöautojen kulutusta noin </w:t>
      </w:r>
      <w:r w:rsidR="00E704CC" w:rsidRPr="006E4C26">
        <w:rPr>
          <w:sz w:val="24"/>
        </w:rPr>
        <w:t>1,</w:t>
      </w:r>
      <w:r w:rsidR="00A3543C" w:rsidRPr="006E4C26">
        <w:rPr>
          <w:sz w:val="24"/>
        </w:rPr>
        <w:t>4</w:t>
      </w:r>
      <w:r w:rsidR="002B6786" w:rsidRPr="006E4C26">
        <w:rPr>
          <w:sz w:val="24"/>
        </w:rPr>
        <w:t xml:space="preserve"> prosenttia </w:t>
      </w:r>
      <w:r w:rsidR="0039641F" w:rsidRPr="006E4C26">
        <w:rPr>
          <w:sz w:val="24"/>
        </w:rPr>
        <w:t xml:space="preserve">verrattuna tilanteeseen, jossa veronkorotuksia ei tehdä. </w:t>
      </w:r>
      <w:r w:rsidR="009C5F69" w:rsidRPr="006E4C26">
        <w:rPr>
          <w:sz w:val="24"/>
        </w:rPr>
        <w:t xml:space="preserve">Liikennesektorin päästöjen arvioidaan siten vähentyvän noin </w:t>
      </w:r>
      <w:r w:rsidR="00E704CC" w:rsidRPr="006E4C26">
        <w:rPr>
          <w:sz w:val="24"/>
        </w:rPr>
        <w:t>0,</w:t>
      </w:r>
      <w:r w:rsidR="00A3543C" w:rsidRPr="006E4C26">
        <w:rPr>
          <w:sz w:val="24"/>
        </w:rPr>
        <w:t>7</w:t>
      </w:r>
      <w:r w:rsidR="009C5F69" w:rsidRPr="006E4C26">
        <w:rPr>
          <w:sz w:val="24"/>
        </w:rPr>
        <w:t xml:space="preserve"> prosentilla. </w:t>
      </w:r>
      <w:r w:rsidR="0039641F" w:rsidRPr="006E4C26">
        <w:rPr>
          <w:sz w:val="24"/>
        </w:rPr>
        <w:t>Arvio</w:t>
      </w:r>
      <w:r w:rsidR="002B6786" w:rsidRPr="006E4C26">
        <w:rPr>
          <w:sz w:val="24"/>
        </w:rPr>
        <w:t>t perustuvat</w:t>
      </w:r>
      <w:r w:rsidR="0039641F" w:rsidRPr="006E4C26">
        <w:rPr>
          <w:sz w:val="24"/>
        </w:rPr>
        <w:t xml:space="preserve"> </w:t>
      </w:r>
      <w:r w:rsidR="009C5F69" w:rsidRPr="006E4C26">
        <w:rPr>
          <w:sz w:val="24"/>
        </w:rPr>
        <w:t xml:space="preserve">oletukseen veronkorotuksen täydellisestä läpimenosta hintoihin sekä </w:t>
      </w:r>
      <w:r w:rsidR="0039641F" w:rsidRPr="006E4C26">
        <w:rPr>
          <w:sz w:val="24"/>
        </w:rPr>
        <w:t xml:space="preserve">bensiinin </w:t>
      </w:r>
      <w:r w:rsidR="002B6786" w:rsidRPr="006E4C26">
        <w:rPr>
          <w:sz w:val="24"/>
        </w:rPr>
        <w:t xml:space="preserve">lyhyen aikavälin </w:t>
      </w:r>
      <w:r w:rsidR="0039641F" w:rsidRPr="006E4C26">
        <w:rPr>
          <w:sz w:val="24"/>
        </w:rPr>
        <w:t>kysynnän hintajouston arvoon</w:t>
      </w:r>
      <w:r w:rsidR="00846104" w:rsidRPr="006E4C26">
        <w:rPr>
          <w:sz w:val="24"/>
        </w:rPr>
        <w:t xml:space="preserve"> -0,</w:t>
      </w:r>
      <w:r w:rsidR="00A3543C" w:rsidRPr="006E4C26">
        <w:rPr>
          <w:sz w:val="24"/>
        </w:rPr>
        <w:t>27 (</w:t>
      </w:r>
      <w:r w:rsidR="0076388C" w:rsidRPr="006E4C26">
        <w:rPr>
          <w:sz w:val="24"/>
        </w:rPr>
        <w:t>L</w:t>
      </w:r>
      <w:r w:rsidR="00A3543C" w:rsidRPr="006E4C26">
        <w:rPr>
          <w:sz w:val="24"/>
        </w:rPr>
        <w:t>evin ym. 2017:</w:t>
      </w:r>
      <w:r w:rsidR="0076388C" w:rsidRPr="006E4C26">
        <w:rPr>
          <w:sz w:val="24"/>
        </w:rPr>
        <w:t xml:space="preserve"> </w:t>
      </w:r>
      <w:proofErr w:type="spellStart"/>
      <w:r w:rsidR="0076388C" w:rsidRPr="006E4C26">
        <w:rPr>
          <w:sz w:val="24"/>
        </w:rPr>
        <w:t>High</w:t>
      </w:r>
      <w:proofErr w:type="spellEnd"/>
      <w:r w:rsidR="0076388C" w:rsidRPr="006E4C26">
        <w:rPr>
          <w:sz w:val="24"/>
        </w:rPr>
        <w:t xml:space="preserve"> </w:t>
      </w:r>
      <w:proofErr w:type="spellStart"/>
      <w:r w:rsidR="0076388C" w:rsidRPr="006E4C26">
        <w:rPr>
          <w:sz w:val="24"/>
        </w:rPr>
        <w:t>Frequency</w:t>
      </w:r>
      <w:proofErr w:type="spellEnd"/>
      <w:r w:rsidR="0076388C" w:rsidRPr="006E4C26">
        <w:rPr>
          <w:sz w:val="24"/>
        </w:rPr>
        <w:t xml:space="preserve"> </w:t>
      </w:r>
      <w:proofErr w:type="spellStart"/>
      <w:r w:rsidR="0076388C" w:rsidRPr="006E4C26">
        <w:rPr>
          <w:sz w:val="24"/>
        </w:rPr>
        <w:t>Evidence</w:t>
      </w:r>
      <w:proofErr w:type="spellEnd"/>
      <w:r w:rsidR="0076388C" w:rsidRPr="006E4C26">
        <w:rPr>
          <w:sz w:val="24"/>
        </w:rPr>
        <w:t xml:space="preserve"> on </w:t>
      </w:r>
      <w:proofErr w:type="spellStart"/>
      <w:r w:rsidR="0076388C" w:rsidRPr="006E4C26">
        <w:rPr>
          <w:sz w:val="24"/>
        </w:rPr>
        <w:t>the</w:t>
      </w:r>
      <w:proofErr w:type="spellEnd"/>
      <w:r w:rsidR="0076388C" w:rsidRPr="006E4C26">
        <w:rPr>
          <w:sz w:val="24"/>
        </w:rPr>
        <w:t xml:space="preserve"> </w:t>
      </w:r>
      <w:proofErr w:type="spellStart"/>
      <w:r w:rsidR="0076388C" w:rsidRPr="006E4C26">
        <w:rPr>
          <w:sz w:val="24"/>
        </w:rPr>
        <w:t>Demand</w:t>
      </w:r>
      <w:proofErr w:type="spellEnd"/>
      <w:r w:rsidR="0076388C" w:rsidRPr="006E4C26">
        <w:rPr>
          <w:sz w:val="24"/>
        </w:rPr>
        <w:t xml:space="preserve"> for </w:t>
      </w:r>
      <w:proofErr w:type="spellStart"/>
      <w:r w:rsidR="0076388C" w:rsidRPr="006E4C26">
        <w:rPr>
          <w:sz w:val="24"/>
        </w:rPr>
        <w:t>Gasoline</w:t>
      </w:r>
      <w:proofErr w:type="spellEnd"/>
      <w:r w:rsidR="0076388C" w:rsidRPr="006E4C26">
        <w:rPr>
          <w:sz w:val="24"/>
        </w:rPr>
        <w:t>)</w:t>
      </w:r>
      <w:r w:rsidR="0039641F" w:rsidRPr="006E4C26">
        <w:rPr>
          <w:sz w:val="24"/>
        </w:rPr>
        <w:t>.</w:t>
      </w:r>
      <w:r w:rsidR="002B6786" w:rsidRPr="006E4C26">
        <w:rPr>
          <w:sz w:val="24"/>
        </w:rPr>
        <w:t xml:space="preserve"> Hyötyliikenteen </w:t>
      </w:r>
      <w:r w:rsidR="00B85558" w:rsidRPr="006E4C26">
        <w:rPr>
          <w:sz w:val="24"/>
        </w:rPr>
        <w:t>polttoaineen kysynnän on oletettu olevan lyhyellä</w:t>
      </w:r>
      <w:r w:rsidR="002B6786" w:rsidRPr="006E4C26">
        <w:rPr>
          <w:sz w:val="24"/>
        </w:rPr>
        <w:t xml:space="preserve"> aikavä</w:t>
      </w:r>
      <w:r w:rsidR="00B85558" w:rsidRPr="006E4C26">
        <w:rPr>
          <w:sz w:val="24"/>
        </w:rPr>
        <w:t>lillä täysin joustama</w:t>
      </w:r>
      <w:r w:rsidR="00B24A89" w:rsidRPr="006E4C26">
        <w:rPr>
          <w:sz w:val="24"/>
        </w:rPr>
        <w:t>tonta.</w:t>
      </w:r>
    </w:p>
    <w:p w:rsidR="0039641F" w:rsidRPr="006E4C26" w:rsidRDefault="00E72BD1" w:rsidP="007545E5">
      <w:pPr>
        <w:pStyle w:val="LLPerustelujenkappalejako"/>
        <w:spacing w:line="240" w:lineRule="auto"/>
        <w:rPr>
          <w:sz w:val="24"/>
        </w:rPr>
      </w:pPr>
      <w:r w:rsidRPr="006E4C26">
        <w:rPr>
          <w:sz w:val="24"/>
        </w:rPr>
        <w:t xml:space="preserve">Veronkorotuksen </w:t>
      </w:r>
      <w:r w:rsidR="009C5F69" w:rsidRPr="006E4C26">
        <w:rPr>
          <w:sz w:val="24"/>
        </w:rPr>
        <w:t>pidemmän aikavälin vaikutu</w:t>
      </w:r>
      <w:r w:rsidR="00423DB4" w:rsidRPr="006E4C26">
        <w:rPr>
          <w:sz w:val="24"/>
        </w:rPr>
        <w:t>sarviointiin</w:t>
      </w:r>
      <w:r w:rsidRPr="006E4C26">
        <w:rPr>
          <w:sz w:val="24"/>
        </w:rPr>
        <w:t xml:space="preserve"> polttoaine</w:t>
      </w:r>
      <w:r w:rsidR="009C5F69" w:rsidRPr="006E4C26">
        <w:rPr>
          <w:sz w:val="24"/>
        </w:rPr>
        <w:t xml:space="preserve">iden </w:t>
      </w:r>
      <w:r w:rsidRPr="006E4C26">
        <w:rPr>
          <w:sz w:val="24"/>
        </w:rPr>
        <w:t>kysyntää</w:t>
      </w:r>
      <w:r w:rsidR="00B24A89" w:rsidRPr="006E4C26">
        <w:rPr>
          <w:sz w:val="24"/>
        </w:rPr>
        <w:t>n ja siten liikennesektorin hiilidioksidipäästöihin</w:t>
      </w:r>
      <w:r w:rsidRPr="006E4C26">
        <w:rPr>
          <w:sz w:val="24"/>
        </w:rPr>
        <w:t xml:space="preserve"> liittyy </w:t>
      </w:r>
      <w:r w:rsidR="00E77785" w:rsidRPr="006E4C26">
        <w:rPr>
          <w:sz w:val="24"/>
        </w:rPr>
        <w:t xml:space="preserve">merkittävästi suurempaa </w:t>
      </w:r>
      <w:r w:rsidRPr="006E4C26">
        <w:rPr>
          <w:sz w:val="24"/>
        </w:rPr>
        <w:t>epävar</w:t>
      </w:r>
      <w:r w:rsidRPr="006E4C26">
        <w:rPr>
          <w:sz w:val="24"/>
        </w:rPr>
        <w:lastRenderedPageBreak/>
        <w:t>muutta</w:t>
      </w:r>
      <w:r w:rsidR="00B24A89" w:rsidRPr="006E4C26">
        <w:rPr>
          <w:sz w:val="24"/>
        </w:rPr>
        <w:t>.</w:t>
      </w:r>
      <w:r w:rsidRPr="006E4C26">
        <w:rPr>
          <w:sz w:val="24"/>
        </w:rPr>
        <w:t xml:space="preserve"> </w:t>
      </w:r>
      <w:r w:rsidR="00B24A89" w:rsidRPr="006E4C26">
        <w:rPr>
          <w:sz w:val="24"/>
        </w:rPr>
        <w:t>P</w:t>
      </w:r>
      <w:r w:rsidRPr="006E4C26">
        <w:rPr>
          <w:sz w:val="24"/>
        </w:rPr>
        <w:t xml:space="preserve">idemmän aikavälin vaikutusten voidaan </w:t>
      </w:r>
      <w:r w:rsidR="00E77785" w:rsidRPr="006E4C26">
        <w:rPr>
          <w:sz w:val="24"/>
        </w:rPr>
        <w:t xml:space="preserve">kuitenkin </w:t>
      </w:r>
      <w:r w:rsidRPr="006E4C26">
        <w:rPr>
          <w:sz w:val="24"/>
        </w:rPr>
        <w:t xml:space="preserve">olettaa olevan lyhyen aikavälin vaikutuksia suurempia, sillä </w:t>
      </w:r>
      <w:r w:rsidR="00E77785" w:rsidRPr="006E4C26">
        <w:rPr>
          <w:sz w:val="24"/>
        </w:rPr>
        <w:t xml:space="preserve">pidemmällä aikavälillä </w:t>
      </w:r>
      <w:r w:rsidRPr="006E4C26">
        <w:rPr>
          <w:sz w:val="24"/>
        </w:rPr>
        <w:t xml:space="preserve">kuluttajilla ja yrityksillä on enemmän mahdollisuuksia sopeutua veromuutoksiin. </w:t>
      </w:r>
      <w:r w:rsidR="00423DB4" w:rsidRPr="006E4C26">
        <w:rPr>
          <w:sz w:val="24"/>
        </w:rPr>
        <w:t>Jos</w:t>
      </w:r>
      <w:r w:rsidR="00B24A89" w:rsidRPr="006E4C26">
        <w:rPr>
          <w:sz w:val="24"/>
        </w:rPr>
        <w:t xml:space="preserve"> </w:t>
      </w:r>
      <w:r w:rsidR="00E77785" w:rsidRPr="006E4C26">
        <w:rPr>
          <w:sz w:val="24"/>
        </w:rPr>
        <w:t xml:space="preserve">esimerkiksi </w:t>
      </w:r>
      <w:r w:rsidR="00B24A89" w:rsidRPr="006E4C26">
        <w:rPr>
          <w:sz w:val="24"/>
        </w:rPr>
        <w:t xml:space="preserve">sähköautoista on tulossa kilpailukykyinen vaihtoehto </w:t>
      </w:r>
      <w:r w:rsidR="00E77785" w:rsidRPr="006E4C26">
        <w:rPr>
          <w:sz w:val="24"/>
        </w:rPr>
        <w:t>laaja</w:t>
      </w:r>
      <w:r w:rsidR="00B24A89" w:rsidRPr="006E4C26">
        <w:rPr>
          <w:sz w:val="24"/>
        </w:rPr>
        <w:t xml:space="preserve">lle käyttäjäjoukolle, </w:t>
      </w:r>
      <w:r w:rsidR="00E77785" w:rsidRPr="006E4C26">
        <w:rPr>
          <w:sz w:val="24"/>
        </w:rPr>
        <w:t>veronkorotuksen vaikutus polttoaineiden kysyntää</w:t>
      </w:r>
      <w:r w:rsidR="00423DB4" w:rsidRPr="006E4C26">
        <w:rPr>
          <w:sz w:val="24"/>
        </w:rPr>
        <w:t>n</w:t>
      </w:r>
      <w:r w:rsidR="00E77785" w:rsidRPr="006E4C26">
        <w:rPr>
          <w:sz w:val="24"/>
        </w:rPr>
        <w:t xml:space="preserve"> </w:t>
      </w:r>
      <w:r w:rsidR="00B24A89" w:rsidRPr="006E4C26">
        <w:rPr>
          <w:sz w:val="24"/>
        </w:rPr>
        <w:t>voi</w:t>
      </w:r>
      <w:r w:rsidR="00E77785" w:rsidRPr="006E4C26">
        <w:rPr>
          <w:sz w:val="24"/>
        </w:rPr>
        <w:t xml:space="preserve"> olla</w:t>
      </w:r>
      <w:r w:rsidR="00B24A89" w:rsidRPr="006E4C26">
        <w:rPr>
          <w:sz w:val="24"/>
        </w:rPr>
        <w:t xml:space="preserve"> </w:t>
      </w:r>
      <w:r w:rsidR="00423DB4" w:rsidRPr="006E4C26">
        <w:rPr>
          <w:sz w:val="24"/>
        </w:rPr>
        <w:t>merkittävää</w:t>
      </w:r>
      <w:r w:rsidR="00B24A89" w:rsidRPr="006E4C26">
        <w:rPr>
          <w:sz w:val="24"/>
        </w:rPr>
        <w:t xml:space="preserve">. </w:t>
      </w:r>
    </w:p>
    <w:p w:rsidR="0094007B" w:rsidRPr="006E4C26" w:rsidRDefault="0094007B" w:rsidP="007545E5">
      <w:pPr>
        <w:pStyle w:val="LLPerustelujenkappalejako"/>
        <w:spacing w:line="240" w:lineRule="auto"/>
        <w:rPr>
          <w:b/>
          <w:sz w:val="24"/>
        </w:rPr>
      </w:pPr>
      <w:r w:rsidRPr="006E4C26">
        <w:rPr>
          <w:b/>
          <w:sz w:val="24"/>
        </w:rPr>
        <w:t>Vaikutukset viranomaisten toimintaan</w:t>
      </w:r>
    </w:p>
    <w:p w:rsidR="0094007B" w:rsidRPr="006E4C26" w:rsidRDefault="0094007B" w:rsidP="007545E5">
      <w:pPr>
        <w:pStyle w:val="LLPerustelujenkappalejako"/>
        <w:spacing w:line="240" w:lineRule="auto"/>
        <w:rPr>
          <w:sz w:val="24"/>
        </w:rPr>
      </w:pPr>
      <w:r w:rsidRPr="006E4C26">
        <w:rPr>
          <w:sz w:val="24"/>
        </w:rPr>
        <w:t>Ehdotetut verotasomuutokset eivät vaikuttaisi viranomaistoimintaan kertaluonteisten tietojärjestelmäkustannusten lisäksi.</w:t>
      </w:r>
    </w:p>
    <w:p w:rsidR="0094007B" w:rsidRPr="006E4C26" w:rsidRDefault="0094007B" w:rsidP="007545E5">
      <w:pPr>
        <w:pStyle w:val="LLPerustelujenkappalejako"/>
        <w:spacing w:line="240" w:lineRule="auto"/>
        <w:rPr>
          <w:b/>
          <w:sz w:val="24"/>
        </w:rPr>
      </w:pPr>
      <w:r w:rsidRPr="006E4C26">
        <w:rPr>
          <w:b/>
          <w:sz w:val="24"/>
        </w:rPr>
        <w:t>Vaikutukset kansalaisten asemaan</w:t>
      </w:r>
    </w:p>
    <w:p w:rsidR="0094007B" w:rsidRPr="006E4C26" w:rsidRDefault="00E77785" w:rsidP="007545E5">
      <w:pPr>
        <w:pStyle w:val="LLPerustelujenkappalejako"/>
        <w:spacing w:line="240" w:lineRule="auto"/>
        <w:rPr>
          <w:sz w:val="24"/>
        </w:rPr>
      </w:pPr>
      <w:r w:rsidRPr="006E4C26">
        <w:rPr>
          <w:sz w:val="24"/>
        </w:rPr>
        <w:t xml:space="preserve">Ehdotettujen muutosten vaikutusta on arvioitu Tilastokeskuksen </w:t>
      </w:r>
      <w:r w:rsidR="005714C4" w:rsidRPr="006E4C26">
        <w:rPr>
          <w:sz w:val="24"/>
        </w:rPr>
        <w:t>kulutustutkimuksen avulla</w:t>
      </w:r>
      <w:r w:rsidRPr="006E4C26">
        <w:rPr>
          <w:sz w:val="24"/>
        </w:rPr>
        <w:t>.</w:t>
      </w:r>
      <w:r w:rsidR="00D7051E" w:rsidRPr="006E4C26">
        <w:rPr>
          <w:sz w:val="24"/>
        </w:rPr>
        <w:t xml:space="preserve"> </w:t>
      </w:r>
      <w:r w:rsidRPr="006E4C26">
        <w:rPr>
          <w:sz w:val="24"/>
        </w:rPr>
        <w:t>Ehdotet</w:t>
      </w:r>
      <w:r w:rsidR="00423DB4" w:rsidRPr="006E4C26">
        <w:rPr>
          <w:sz w:val="24"/>
        </w:rPr>
        <w:t>tujen</w:t>
      </w:r>
      <w:r w:rsidRPr="006E4C26">
        <w:rPr>
          <w:sz w:val="24"/>
        </w:rPr>
        <w:t xml:space="preserve"> </w:t>
      </w:r>
      <w:r w:rsidR="0094007B" w:rsidRPr="006E4C26">
        <w:rPr>
          <w:sz w:val="24"/>
        </w:rPr>
        <w:t>veronkorotu</w:t>
      </w:r>
      <w:r w:rsidR="00E704CC" w:rsidRPr="006E4C26">
        <w:rPr>
          <w:sz w:val="24"/>
        </w:rPr>
        <w:t xml:space="preserve">sten suorien vaikutusten arvioidaan olevan </w:t>
      </w:r>
      <w:r w:rsidR="0094007B" w:rsidRPr="006E4C26">
        <w:rPr>
          <w:sz w:val="24"/>
        </w:rPr>
        <w:t xml:space="preserve">hyvin lievästi regressiivisiä, eli </w:t>
      </w:r>
      <w:r w:rsidR="00E704CC" w:rsidRPr="006E4C26">
        <w:rPr>
          <w:sz w:val="24"/>
        </w:rPr>
        <w:t xml:space="preserve">ne </w:t>
      </w:r>
      <w:r w:rsidR="0094007B" w:rsidRPr="006E4C26">
        <w:rPr>
          <w:sz w:val="24"/>
        </w:rPr>
        <w:t xml:space="preserve">vaikuttavat suhteutettuna käytettävissä oleviin tuloihin </w:t>
      </w:r>
      <w:r w:rsidR="00E704CC" w:rsidRPr="006E4C26">
        <w:rPr>
          <w:sz w:val="24"/>
        </w:rPr>
        <w:t xml:space="preserve">hieman </w:t>
      </w:r>
      <w:r w:rsidR="0094007B" w:rsidRPr="006E4C26">
        <w:rPr>
          <w:sz w:val="24"/>
        </w:rPr>
        <w:t xml:space="preserve">enemmän pienituloisten kotitalouksien asemaan. Suhteutettuna käytettävissä oleviin tuloihin veronkorotukset ovat keskimäärin noin </w:t>
      </w:r>
      <w:r w:rsidR="005714C4" w:rsidRPr="006E4C26">
        <w:rPr>
          <w:sz w:val="24"/>
        </w:rPr>
        <w:t>0,13</w:t>
      </w:r>
      <w:r w:rsidR="0094007B" w:rsidRPr="006E4C26">
        <w:rPr>
          <w:sz w:val="24"/>
        </w:rPr>
        <w:t xml:space="preserve"> prosenttia, alimmassa tulokymmenyksessä </w:t>
      </w:r>
      <w:r w:rsidR="005714C4" w:rsidRPr="006E4C26">
        <w:rPr>
          <w:sz w:val="24"/>
        </w:rPr>
        <w:t xml:space="preserve">0,11 </w:t>
      </w:r>
      <w:r w:rsidR="0094007B" w:rsidRPr="006E4C26">
        <w:rPr>
          <w:sz w:val="24"/>
        </w:rPr>
        <w:t xml:space="preserve">prosenttia ja ylimmässä </w:t>
      </w:r>
      <w:r w:rsidR="005714C4" w:rsidRPr="006E4C26">
        <w:rPr>
          <w:sz w:val="24"/>
        </w:rPr>
        <w:t xml:space="preserve">0,08 </w:t>
      </w:r>
      <w:r w:rsidR="0094007B" w:rsidRPr="006E4C26">
        <w:rPr>
          <w:sz w:val="24"/>
        </w:rPr>
        <w:t xml:space="preserve">prosenttia. Suorien vaikutusten lisäksi veronkorotukset voivat vaikuttaa kotitalouksiin epäsuorasti </w:t>
      </w:r>
      <w:r w:rsidR="00A9293C" w:rsidRPr="006E4C26">
        <w:rPr>
          <w:sz w:val="24"/>
        </w:rPr>
        <w:t>muun muassa maaliikenne</w:t>
      </w:r>
      <w:r w:rsidR="0094007B" w:rsidRPr="006E4C26">
        <w:rPr>
          <w:sz w:val="24"/>
        </w:rPr>
        <w:t xml:space="preserve">palveluiden </w:t>
      </w:r>
      <w:r w:rsidR="00D7051E" w:rsidRPr="006E4C26">
        <w:rPr>
          <w:sz w:val="24"/>
        </w:rPr>
        <w:t xml:space="preserve">hintojen nousu </w:t>
      </w:r>
      <w:r w:rsidR="0094007B" w:rsidRPr="006E4C26">
        <w:rPr>
          <w:sz w:val="24"/>
        </w:rPr>
        <w:t xml:space="preserve">kautta. Tämän vaikutuksen arvioidaan kuitenkin olevan vähäinen. </w:t>
      </w:r>
    </w:p>
    <w:p w:rsidR="00C6702C" w:rsidRPr="006E4C26" w:rsidRDefault="00C6702C" w:rsidP="00ED5B54">
      <w:pPr>
        <w:pStyle w:val="LLP1Otsikkotaso"/>
      </w:pPr>
      <w:bookmarkStart w:id="13" w:name="_Toc19201152"/>
      <w:r w:rsidRPr="006E4C26">
        <w:t>Muut toteuttamisvaihtoehdot</w:t>
      </w:r>
      <w:bookmarkEnd w:id="13"/>
    </w:p>
    <w:p w:rsidR="00C6702C" w:rsidRPr="00D12B65" w:rsidRDefault="00C6702C" w:rsidP="00D12B65">
      <w:pPr>
        <w:pStyle w:val="LLPerustelujenkappalejako"/>
        <w:spacing w:line="240" w:lineRule="auto"/>
        <w:rPr>
          <w:b/>
          <w:sz w:val="24"/>
        </w:rPr>
      </w:pPr>
      <w:r w:rsidRPr="00D12B65">
        <w:rPr>
          <w:b/>
          <w:sz w:val="24"/>
        </w:rPr>
        <w:t>Vaihtoehdot ja niiden vaikutukset</w:t>
      </w:r>
    </w:p>
    <w:p w:rsidR="00E80255" w:rsidRPr="006E4C26" w:rsidRDefault="00E80255" w:rsidP="00E80255">
      <w:pPr>
        <w:pStyle w:val="LLPerustelujenkappalejako"/>
        <w:spacing w:line="240" w:lineRule="auto"/>
        <w:jc w:val="left"/>
        <w:rPr>
          <w:sz w:val="24"/>
        </w:rPr>
      </w:pPr>
      <w:r w:rsidRPr="006E4C26">
        <w:rPr>
          <w:sz w:val="24"/>
        </w:rPr>
        <w:t>Polttoaineiden valmistevero muodostuu energiasisältö-</w:t>
      </w:r>
      <w:r w:rsidR="00C6702C" w:rsidRPr="006E4C26">
        <w:rPr>
          <w:sz w:val="24"/>
        </w:rPr>
        <w:t xml:space="preserve"> </w:t>
      </w:r>
      <w:r w:rsidRPr="006E4C26">
        <w:rPr>
          <w:sz w:val="24"/>
        </w:rPr>
        <w:t>ja hiilidioksidiverosta</w:t>
      </w:r>
      <w:r w:rsidR="00C6702C" w:rsidRPr="006E4C26">
        <w:rPr>
          <w:sz w:val="24"/>
        </w:rPr>
        <w:t>, mistä johtuen veronkorotus voitaisiin toteuttaa eri tavoin</w:t>
      </w:r>
      <w:r w:rsidRPr="006E4C26">
        <w:rPr>
          <w:sz w:val="24"/>
        </w:rPr>
        <w:t xml:space="preserve"> näitä komponentteja eri tavoin painottaen</w:t>
      </w:r>
      <w:r w:rsidR="00C6702C" w:rsidRPr="006E4C26">
        <w:rPr>
          <w:sz w:val="24"/>
        </w:rPr>
        <w:t xml:space="preserve">. </w:t>
      </w:r>
      <w:r w:rsidR="00D524D9" w:rsidRPr="006E4C26">
        <w:rPr>
          <w:sz w:val="24"/>
        </w:rPr>
        <w:t>L</w:t>
      </w:r>
      <w:r w:rsidRPr="006E4C26">
        <w:rPr>
          <w:sz w:val="24"/>
        </w:rPr>
        <w:t xml:space="preserve">iikennepolttoaineiden veronkorotus ehdotetaan toteutettavaksi energiasisältöveron </w:t>
      </w:r>
      <w:r w:rsidR="009939C5" w:rsidRPr="006E4C26">
        <w:rPr>
          <w:sz w:val="24"/>
        </w:rPr>
        <w:t>korotuksella.</w:t>
      </w:r>
      <w:r w:rsidR="00714D0E" w:rsidRPr="006E4C26">
        <w:rPr>
          <w:sz w:val="24"/>
        </w:rPr>
        <w:t xml:space="preserve"> </w:t>
      </w:r>
    </w:p>
    <w:p w:rsidR="00F8049C" w:rsidRPr="006E4C26" w:rsidRDefault="00F8049C" w:rsidP="00B72BB2">
      <w:pPr>
        <w:pStyle w:val="LLPerustelujenkappalejako"/>
        <w:spacing w:line="240" w:lineRule="auto"/>
        <w:jc w:val="left"/>
        <w:rPr>
          <w:sz w:val="24"/>
        </w:rPr>
      </w:pPr>
      <w:r w:rsidRPr="006E4C26">
        <w:rPr>
          <w:sz w:val="24"/>
        </w:rPr>
        <w:t xml:space="preserve">Energiasisältöveron painottamisen </w:t>
      </w:r>
      <w:r w:rsidR="000F6077" w:rsidRPr="006E4C26">
        <w:rPr>
          <w:sz w:val="24"/>
        </w:rPr>
        <w:t xml:space="preserve">eräänä </w:t>
      </w:r>
      <w:r w:rsidRPr="006E4C26">
        <w:rPr>
          <w:sz w:val="24"/>
        </w:rPr>
        <w:t>etuna olisi</w:t>
      </w:r>
      <w:r w:rsidR="00D524D9" w:rsidRPr="006E4C26">
        <w:rPr>
          <w:sz w:val="24"/>
        </w:rPr>
        <w:t xml:space="preserve"> verotuottojen </w:t>
      </w:r>
      <w:r w:rsidR="00C54BB2" w:rsidRPr="006E4C26">
        <w:rPr>
          <w:sz w:val="24"/>
        </w:rPr>
        <w:t>vakaampi kehitys pidemmällä</w:t>
      </w:r>
      <w:r w:rsidR="00D524D9" w:rsidRPr="006E4C26">
        <w:rPr>
          <w:sz w:val="24"/>
        </w:rPr>
        <w:t xml:space="preserve"> aikavälillä.</w:t>
      </w:r>
    </w:p>
    <w:p w:rsidR="00F30CF0" w:rsidRPr="006E4C26" w:rsidRDefault="00B8622E" w:rsidP="00B8622E">
      <w:pPr>
        <w:pStyle w:val="LLPerustelujenkappalejako"/>
        <w:spacing w:line="240" w:lineRule="auto"/>
        <w:jc w:val="left"/>
        <w:rPr>
          <w:sz w:val="24"/>
        </w:rPr>
      </w:pPr>
      <w:r w:rsidRPr="006E4C26">
        <w:rPr>
          <w:sz w:val="24"/>
        </w:rPr>
        <w:t xml:space="preserve">Vaihtoehtona olisi kohdistaa korotus kokonaan tai osittain hiilidioksidiveroon. </w:t>
      </w:r>
      <w:r w:rsidR="00677A8E" w:rsidRPr="006E4C26">
        <w:rPr>
          <w:sz w:val="24"/>
        </w:rPr>
        <w:t xml:space="preserve">Korotuksen painottamisella hiilidioksidiveroon ei kuitenkaan arvioida </w:t>
      </w:r>
      <w:r w:rsidR="00E50447" w:rsidRPr="006E4C26">
        <w:rPr>
          <w:sz w:val="24"/>
        </w:rPr>
        <w:t xml:space="preserve">juurikaan </w:t>
      </w:r>
      <w:r w:rsidR="00085925" w:rsidRPr="006E4C26">
        <w:rPr>
          <w:sz w:val="24"/>
        </w:rPr>
        <w:t xml:space="preserve">saavutettavan </w:t>
      </w:r>
      <w:r w:rsidR="00C54BB2" w:rsidRPr="006E4C26">
        <w:rPr>
          <w:sz w:val="24"/>
        </w:rPr>
        <w:t>suurempia ympäristöhyötyjä</w:t>
      </w:r>
      <w:r w:rsidR="00F30CF0" w:rsidRPr="006E4C26">
        <w:rPr>
          <w:sz w:val="24"/>
        </w:rPr>
        <w:t xml:space="preserve">, sillä biopolttoaineiden korkeista markkinahinnoista johtuen biopolttoaineiden jakeluvelvoitteen </w:t>
      </w:r>
      <w:r w:rsidR="0040522D" w:rsidRPr="006E4C26">
        <w:rPr>
          <w:sz w:val="24"/>
        </w:rPr>
        <w:t xml:space="preserve">ja sen laiminlyömiseen liittyvän </w:t>
      </w:r>
      <w:r w:rsidR="00A17666" w:rsidRPr="006E4C26">
        <w:rPr>
          <w:sz w:val="24"/>
        </w:rPr>
        <w:t xml:space="preserve">seuraamusmaksun </w:t>
      </w:r>
      <w:r w:rsidR="00D524D9" w:rsidRPr="006E4C26">
        <w:rPr>
          <w:sz w:val="24"/>
        </w:rPr>
        <w:t>katsotaan</w:t>
      </w:r>
      <w:r w:rsidR="00F30CF0" w:rsidRPr="006E4C26">
        <w:rPr>
          <w:sz w:val="24"/>
        </w:rPr>
        <w:t xml:space="preserve"> määrittävän biopolttoaineiden osuuden liikennepolttoaineissa</w:t>
      </w:r>
      <w:r w:rsidR="00677A8E" w:rsidRPr="006E4C26">
        <w:rPr>
          <w:sz w:val="24"/>
        </w:rPr>
        <w:t xml:space="preserve">. Biopolttoaineiden jakeluvelvoitetta arvioidaan täytettävän </w:t>
      </w:r>
      <w:r w:rsidR="00C54BB2" w:rsidRPr="006E4C26">
        <w:rPr>
          <w:sz w:val="24"/>
        </w:rPr>
        <w:t xml:space="preserve">viimekädessä </w:t>
      </w:r>
      <w:r w:rsidR="00677A8E" w:rsidRPr="006E4C26">
        <w:rPr>
          <w:sz w:val="24"/>
        </w:rPr>
        <w:t>vetykäsitellyllä kasviöljyllä</w:t>
      </w:r>
      <w:r w:rsidR="00F30CF0" w:rsidRPr="006E4C26">
        <w:rPr>
          <w:sz w:val="24"/>
        </w:rPr>
        <w:t>, jonka markkina</w:t>
      </w:r>
      <w:r w:rsidR="00BA111A" w:rsidRPr="006E4C26">
        <w:rPr>
          <w:sz w:val="24"/>
        </w:rPr>
        <w:t>hintojen arvioidaan olevan huomattavasti fossiilista dieselöljyä korkeampia</w:t>
      </w:r>
      <w:r w:rsidR="00677A8E" w:rsidRPr="006E4C26">
        <w:rPr>
          <w:sz w:val="24"/>
        </w:rPr>
        <w:t>. Vaikka korotus kohdistettaisiin täysimääräisesti hiilidioksidi</w:t>
      </w:r>
      <w:r w:rsidR="00677A8E" w:rsidRPr="006E4C26">
        <w:rPr>
          <w:sz w:val="24"/>
        </w:rPr>
        <w:lastRenderedPageBreak/>
        <w:t xml:space="preserve">veroon, </w:t>
      </w:r>
      <w:r w:rsidR="00CA41A2" w:rsidRPr="006E4C26">
        <w:rPr>
          <w:sz w:val="24"/>
        </w:rPr>
        <w:t xml:space="preserve">olisi </w:t>
      </w:r>
      <w:r w:rsidR="00677A8E" w:rsidRPr="006E4C26">
        <w:rPr>
          <w:sz w:val="24"/>
        </w:rPr>
        <w:t xml:space="preserve">vetykäsitellyn kasviöljyn valmisteverollinen tuottajahinta edelleen selvästi fossiilista dieselöljyä korkeampi. </w:t>
      </w:r>
      <w:r w:rsidR="00F30CF0" w:rsidRPr="006E4C26">
        <w:rPr>
          <w:sz w:val="24"/>
        </w:rPr>
        <w:t>Polttoaineiden jakelijoiden</w:t>
      </w:r>
      <w:r w:rsidR="00677A8E" w:rsidRPr="006E4C26">
        <w:rPr>
          <w:sz w:val="24"/>
        </w:rPr>
        <w:t xml:space="preserve"> ei olisi </w:t>
      </w:r>
      <w:r w:rsidR="00F30CF0" w:rsidRPr="006E4C26">
        <w:rPr>
          <w:sz w:val="24"/>
        </w:rPr>
        <w:t xml:space="preserve">siten </w:t>
      </w:r>
      <w:r w:rsidR="00677A8E" w:rsidRPr="006E4C26">
        <w:rPr>
          <w:sz w:val="24"/>
        </w:rPr>
        <w:t>taloudellis</w:t>
      </w:r>
      <w:r w:rsidR="00847E2D" w:rsidRPr="006E4C26">
        <w:rPr>
          <w:sz w:val="24"/>
        </w:rPr>
        <w:t>esti kannattavaa</w:t>
      </w:r>
      <w:r w:rsidR="00677A8E" w:rsidRPr="006E4C26">
        <w:rPr>
          <w:sz w:val="24"/>
        </w:rPr>
        <w:t xml:space="preserve"> jakaa biopolttoaineita enempää kuin jakeluvelvoite velvoittaisi</w:t>
      </w:r>
      <w:r w:rsidR="00CA41A2" w:rsidRPr="006E4C26">
        <w:rPr>
          <w:sz w:val="24"/>
        </w:rPr>
        <w:t>.</w:t>
      </w:r>
    </w:p>
    <w:p w:rsidR="00BA111A" w:rsidRPr="006E4C26" w:rsidRDefault="00CA41A2" w:rsidP="00B8622E">
      <w:pPr>
        <w:pStyle w:val="LLPerustelujenkappalejako"/>
        <w:spacing w:line="240" w:lineRule="auto"/>
        <w:jc w:val="left"/>
        <w:rPr>
          <w:sz w:val="24"/>
        </w:rPr>
      </w:pPr>
      <w:r w:rsidRPr="006E4C26">
        <w:rPr>
          <w:sz w:val="24"/>
        </w:rPr>
        <w:t>Lyhyellä aikavälillä v</w:t>
      </w:r>
      <w:r w:rsidR="00677A8E" w:rsidRPr="006E4C26">
        <w:rPr>
          <w:sz w:val="24"/>
        </w:rPr>
        <w:t xml:space="preserve">eronkorotuksen painotuksella </w:t>
      </w:r>
      <w:r w:rsidR="00555DB4" w:rsidRPr="006E4C26">
        <w:rPr>
          <w:sz w:val="24"/>
        </w:rPr>
        <w:t xml:space="preserve">energiasisältöveron ja hiilidioksidiveron välillä </w:t>
      </w:r>
      <w:r w:rsidRPr="006E4C26">
        <w:rPr>
          <w:sz w:val="24"/>
        </w:rPr>
        <w:t xml:space="preserve">ei arvioida olevan </w:t>
      </w:r>
      <w:r w:rsidR="00CE469B" w:rsidRPr="006E4C26">
        <w:rPr>
          <w:sz w:val="24"/>
        </w:rPr>
        <w:t xml:space="preserve">käytännössä </w:t>
      </w:r>
      <w:r w:rsidR="00677A8E" w:rsidRPr="006E4C26">
        <w:rPr>
          <w:sz w:val="24"/>
        </w:rPr>
        <w:t xml:space="preserve">vaikutusta bensiinin ja dieselin </w:t>
      </w:r>
      <w:r w:rsidRPr="006E4C26">
        <w:rPr>
          <w:sz w:val="24"/>
        </w:rPr>
        <w:t>kuluttajahintoih</w:t>
      </w:r>
      <w:r w:rsidR="00BA111A" w:rsidRPr="006E4C26">
        <w:rPr>
          <w:sz w:val="24"/>
        </w:rPr>
        <w:t>in huolimatta siitä, että myytävän dieselseoksen</w:t>
      </w:r>
      <w:r w:rsidRPr="006E4C26">
        <w:rPr>
          <w:sz w:val="24"/>
        </w:rPr>
        <w:t xml:space="preserve"> bio-osuus on korkeampi kuin bensiinissä. </w:t>
      </w:r>
      <w:r w:rsidR="00BA111A" w:rsidRPr="006E4C26">
        <w:rPr>
          <w:sz w:val="24"/>
        </w:rPr>
        <w:t xml:space="preserve">Arvio perustuu siihen, että jakeluvelvoitetta täytetään </w:t>
      </w:r>
      <w:r w:rsidR="00C54BB2" w:rsidRPr="006E4C26">
        <w:rPr>
          <w:sz w:val="24"/>
        </w:rPr>
        <w:t>viimekädessä</w:t>
      </w:r>
      <w:r w:rsidR="00BA111A" w:rsidRPr="006E4C26">
        <w:rPr>
          <w:sz w:val="24"/>
        </w:rPr>
        <w:t xml:space="preserve"> </w:t>
      </w:r>
      <w:r w:rsidR="00C54BB2" w:rsidRPr="006E4C26">
        <w:rPr>
          <w:sz w:val="24"/>
        </w:rPr>
        <w:t>samalla biopolttoaineella</w:t>
      </w:r>
      <w:r w:rsidR="00BA111A" w:rsidRPr="006E4C26">
        <w:rPr>
          <w:sz w:val="24"/>
        </w:rPr>
        <w:t xml:space="preserve">, jolloin </w:t>
      </w:r>
      <w:r w:rsidR="00555DB4" w:rsidRPr="006E4C26">
        <w:rPr>
          <w:sz w:val="24"/>
        </w:rPr>
        <w:t xml:space="preserve">polttoaineiden jakelijoille biopolttoaineiden </w:t>
      </w:r>
      <w:r w:rsidR="00C54BB2" w:rsidRPr="006E4C26">
        <w:rPr>
          <w:sz w:val="24"/>
        </w:rPr>
        <w:t xml:space="preserve">jakeluvelvoitteesta aiheutuva </w:t>
      </w:r>
      <w:r w:rsidR="00555DB4" w:rsidRPr="006E4C26">
        <w:rPr>
          <w:sz w:val="24"/>
        </w:rPr>
        <w:t xml:space="preserve">marginaalikustannus </w:t>
      </w:r>
      <w:r w:rsidRPr="006E4C26">
        <w:rPr>
          <w:sz w:val="24"/>
        </w:rPr>
        <w:t>fossiilisen bensiinin</w:t>
      </w:r>
      <w:r w:rsidR="00555DB4" w:rsidRPr="006E4C26">
        <w:rPr>
          <w:sz w:val="24"/>
        </w:rPr>
        <w:t xml:space="preserve"> </w:t>
      </w:r>
      <w:r w:rsidRPr="006E4C26">
        <w:rPr>
          <w:sz w:val="24"/>
        </w:rPr>
        <w:t>ja dieselin jakamisesta</w:t>
      </w:r>
      <w:r w:rsidR="00555DB4" w:rsidRPr="006E4C26">
        <w:rPr>
          <w:sz w:val="24"/>
        </w:rPr>
        <w:t xml:space="preserve"> on yhtä suuri</w:t>
      </w:r>
      <w:r w:rsidR="00BA111A" w:rsidRPr="006E4C26">
        <w:rPr>
          <w:sz w:val="24"/>
        </w:rPr>
        <w:t>.</w:t>
      </w:r>
    </w:p>
    <w:p w:rsidR="00CE469B" w:rsidRPr="006E4C26" w:rsidRDefault="00BA111A" w:rsidP="00CE469B">
      <w:pPr>
        <w:pStyle w:val="LLPerustelujenkappalejako"/>
        <w:spacing w:line="240" w:lineRule="auto"/>
        <w:jc w:val="left"/>
        <w:rPr>
          <w:sz w:val="24"/>
        </w:rPr>
      </w:pPr>
      <w:r w:rsidRPr="006E4C26">
        <w:rPr>
          <w:sz w:val="24"/>
        </w:rPr>
        <w:t>Pidemmällä aikavälillä biopolttoaineiden jakeluvelvoitteen kiristyminen nostaa biopolttoaineiden osuutta veropohjassa</w:t>
      </w:r>
      <w:r w:rsidR="00C54BB2" w:rsidRPr="006E4C26">
        <w:rPr>
          <w:sz w:val="24"/>
        </w:rPr>
        <w:t xml:space="preserve"> ja siten alentaa hiilidioksidiverosta kertyviä verotuottoja</w:t>
      </w:r>
      <w:r w:rsidRPr="006E4C26">
        <w:rPr>
          <w:sz w:val="24"/>
        </w:rPr>
        <w:t xml:space="preserve">. Jos </w:t>
      </w:r>
      <w:r w:rsidR="00677A8E" w:rsidRPr="006E4C26">
        <w:rPr>
          <w:sz w:val="24"/>
        </w:rPr>
        <w:t>veronkorotus painotettaisiin hiilidioksidiveroon, biopolttoaineiden jakeluvelvoitteen kiristyminen 2020-luvulla laskisi veronkorotuksen pitkän aikavälin vaikutusta polttoaineverotuottoihin</w:t>
      </w:r>
      <w:r w:rsidR="00A82493" w:rsidRPr="006E4C26">
        <w:rPr>
          <w:sz w:val="24"/>
        </w:rPr>
        <w:t>.</w:t>
      </w:r>
    </w:p>
    <w:p w:rsidR="00CE469B" w:rsidRPr="006E4C26" w:rsidRDefault="00CE469B" w:rsidP="00CE469B">
      <w:pPr>
        <w:pStyle w:val="LLPerustelujenkappalejako"/>
        <w:spacing w:line="240" w:lineRule="auto"/>
        <w:jc w:val="left"/>
        <w:rPr>
          <w:sz w:val="24"/>
        </w:rPr>
      </w:pPr>
      <w:r w:rsidRPr="006E4C26">
        <w:rPr>
          <w:sz w:val="24"/>
        </w:rPr>
        <w:t>Toisin kuin veronkorotuksen kohdistaminen energiasisältöveroon, hiilidioksidiveroon kohdistaminen ei myöskään hyödyttäisi korkeaseoksia biodieselpolttoaineita, sillä EU-oikeudellisten rajoitteiden ja vähimmäisverovaatimusten takia niistä olisi edelleenkin kannettava veroa 33 senttiä litralta.</w:t>
      </w:r>
    </w:p>
    <w:p w:rsidR="003D50DF" w:rsidRPr="006E4C26" w:rsidRDefault="00C6702C" w:rsidP="00ED5B54">
      <w:pPr>
        <w:pStyle w:val="LLP1Otsikkotaso"/>
      </w:pPr>
      <w:bookmarkStart w:id="14" w:name="_Toc19201153"/>
      <w:r w:rsidRPr="006E4C26">
        <w:t>Lausuntopalaut</w:t>
      </w:r>
      <w:r w:rsidR="003D50DF" w:rsidRPr="006E4C26">
        <w:t>e</w:t>
      </w:r>
      <w:bookmarkEnd w:id="14"/>
    </w:p>
    <w:p w:rsidR="004D3CEE" w:rsidRPr="006E4C26" w:rsidRDefault="003D50DF" w:rsidP="00ED5B54">
      <w:pPr>
        <w:pStyle w:val="LLP1Otsikkotaso"/>
      </w:pPr>
      <w:bookmarkStart w:id="15" w:name="_Toc19201154"/>
      <w:r w:rsidRPr="006E4C26">
        <w:t>Säännöskohtaiset perustelut</w:t>
      </w:r>
      <w:bookmarkEnd w:id="15"/>
    </w:p>
    <w:p w:rsidR="004D3CEE" w:rsidRPr="006E4C26" w:rsidRDefault="004D3CEE" w:rsidP="00B8622E">
      <w:pPr>
        <w:pStyle w:val="LLNormaali"/>
        <w:rPr>
          <w:sz w:val="24"/>
        </w:rPr>
      </w:pPr>
      <w:r w:rsidRPr="006E4C26">
        <w:rPr>
          <w:b/>
          <w:sz w:val="24"/>
        </w:rPr>
        <w:t>Valmisteverotuslaki</w:t>
      </w:r>
    </w:p>
    <w:p w:rsidR="004D3CEE" w:rsidRPr="006E4C26" w:rsidRDefault="004D3CEE" w:rsidP="00B8622E">
      <w:pPr>
        <w:pStyle w:val="LLNormaali"/>
        <w:rPr>
          <w:sz w:val="24"/>
        </w:rPr>
      </w:pPr>
    </w:p>
    <w:p w:rsidR="004D3CEE" w:rsidRDefault="004D3CEE" w:rsidP="00B8622E">
      <w:pPr>
        <w:pStyle w:val="LLNormaali"/>
        <w:rPr>
          <w:sz w:val="24"/>
        </w:rPr>
      </w:pPr>
      <w:r w:rsidRPr="006E4C26">
        <w:rPr>
          <w:b/>
          <w:sz w:val="24"/>
        </w:rPr>
        <w:t>5 §.</w:t>
      </w:r>
      <w:r w:rsidRPr="006E4C26">
        <w:rPr>
          <w:sz w:val="24"/>
        </w:rPr>
        <w:t xml:space="preserve"> </w:t>
      </w:r>
      <w:r w:rsidRPr="006E4C26">
        <w:rPr>
          <w:i/>
          <w:sz w:val="24"/>
        </w:rPr>
        <w:t>Maantieteelliset määritelmät</w:t>
      </w:r>
      <w:r w:rsidRPr="006E4C26">
        <w:rPr>
          <w:sz w:val="24"/>
        </w:rPr>
        <w:t xml:space="preserve">. Pykälän 2 kohdassa luetellaan valmisteverotuslaissa tarkoitetut kolmannet alueet. Kohdasta poistettaisiin </w:t>
      </w:r>
      <w:proofErr w:type="spellStart"/>
      <w:r w:rsidRPr="006E4C26">
        <w:rPr>
          <w:sz w:val="24"/>
        </w:rPr>
        <w:t>Campione</w:t>
      </w:r>
      <w:proofErr w:type="spellEnd"/>
      <w:r w:rsidRPr="006E4C26">
        <w:rPr>
          <w:sz w:val="24"/>
        </w:rPr>
        <w:t xml:space="preserve"> </w:t>
      </w:r>
      <w:proofErr w:type="spellStart"/>
      <w:r w:rsidRPr="006E4C26">
        <w:rPr>
          <w:sz w:val="24"/>
        </w:rPr>
        <w:t>d’Italia</w:t>
      </w:r>
      <w:proofErr w:type="spellEnd"/>
      <w:r w:rsidRPr="006E4C26">
        <w:rPr>
          <w:sz w:val="24"/>
        </w:rPr>
        <w:t xml:space="preserve"> ja </w:t>
      </w:r>
      <w:proofErr w:type="spellStart"/>
      <w:r w:rsidRPr="006E4C26">
        <w:rPr>
          <w:sz w:val="24"/>
        </w:rPr>
        <w:t>Luganojärven</w:t>
      </w:r>
      <w:proofErr w:type="spellEnd"/>
      <w:r w:rsidRPr="006E4C26">
        <w:rPr>
          <w:sz w:val="24"/>
        </w:rPr>
        <w:t xml:space="preserve"> Italialle kuuluvat vesialueet. Lisäksi pykälän 5 kohdan viittaussäännöstä Euroopan unionin perussopimuksiin päivitettäisiin.</w:t>
      </w:r>
    </w:p>
    <w:p w:rsidR="00ED5B54" w:rsidRPr="006E4C26" w:rsidRDefault="00ED5B54" w:rsidP="00B8622E">
      <w:pPr>
        <w:pStyle w:val="LLNormaali"/>
        <w:rPr>
          <w:sz w:val="24"/>
        </w:rPr>
      </w:pPr>
    </w:p>
    <w:p w:rsidR="00C6702C" w:rsidRPr="006E4C26" w:rsidRDefault="00C6702C" w:rsidP="00ED5B54">
      <w:pPr>
        <w:pStyle w:val="LLP1Otsikkotaso"/>
      </w:pPr>
      <w:bookmarkStart w:id="16" w:name="_Toc19201155"/>
      <w:r w:rsidRPr="006E4C26">
        <w:t>Voimaantulo</w:t>
      </w:r>
      <w:bookmarkEnd w:id="16"/>
    </w:p>
    <w:p w:rsidR="003F0A9C" w:rsidRPr="006E4C26" w:rsidRDefault="003440BC" w:rsidP="00B72BB2">
      <w:pPr>
        <w:pStyle w:val="LLPerustelujenkappalejako"/>
        <w:spacing w:line="240" w:lineRule="auto"/>
        <w:jc w:val="left"/>
        <w:rPr>
          <w:sz w:val="24"/>
        </w:rPr>
      </w:pPr>
      <w:r w:rsidRPr="006E4C26">
        <w:rPr>
          <w:sz w:val="24"/>
        </w:rPr>
        <w:t xml:space="preserve">Ehdotetaan, että </w:t>
      </w:r>
      <w:r w:rsidR="002F0503" w:rsidRPr="006E4C26">
        <w:rPr>
          <w:sz w:val="24"/>
        </w:rPr>
        <w:t xml:space="preserve">nestemäisten polttoaineiden valmisteverolain muutos tulee voimaan 1.8.2020 ja valmisteverotuslain muutos </w:t>
      </w:r>
      <w:r w:rsidRPr="006E4C26">
        <w:rPr>
          <w:sz w:val="24"/>
        </w:rPr>
        <w:t xml:space="preserve">1.1.2020. </w:t>
      </w:r>
    </w:p>
    <w:p w:rsidR="00C6702C" w:rsidRPr="006E4C26" w:rsidRDefault="00C6702C" w:rsidP="00ED5B54">
      <w:pPr>
        <w:pStyle w:val="LLP1Otsikkotaso"/>
      </w:pPr>
      <w:bookmarkStart w:id="17" w:name="_Toc19201156"/>
      <w:r w:rsidRPr="006E4C26">
        <w:t>Suhde muihin esityksiin</w:t>
      </w:r>
      <w:bookmarkEnd w:id="17"/>
      <w:r w:rsidRPr="006E4C26">
        <w:t xml:space="preserve"> </w:t>
      </w:r>
    </w:p>
    <w:p w:rsidR="004D3CEE" w:rsidRPr="006E4C26" w:rsidRDefault="00406860" w:rsidP="004D3CEE">
      <w:pPr>
        <w:pStyle w:val="LLNormaali"/>
        <w:rPr>
          <w:sz w:val="24"/>
        </w:rPr>
      </w:pPr>
      <w:r w:rsidRPr="006E4C26">
        <w:rPr>
          <w:sz w:val="24"/>
        </w:rPr>
        <w:t xml:space="preserve">Esitys liittyy </w:t>
      </w:r>
      <w:r w:rsidR="009A3F3A" w:rsidRPr="006E4C26">
        <w:rPr>
          <w:sz w:val="24"/>
        </w:rPr>
        <w:t xml:space="preserve">esitykseen </w:t>
      </w:r>
      <w:r w:rsidRPr="006E4C26">
        <w:rPr>
          <w:sz w:val="24"/>
        </w:rPr>
        <w:t>valtion vuoden 2020 talousarvio</w:t>
      </w:r>
      <w:r w:rsidR="003F3C52" w:rsidRPr="006E4C26">
        <w:rPr>
          <w:sz w:val="24"/>
        </w:rPr>
        <w:t>ksi</w:t>
      </w:r>
      <w:r w:rsidRPr="006E4C26">
        <w:rPr>
          <w:sz w:val="24"/>
        </w:rPr>
        <w:t xml:space="preserve"> ja on tarkoitettu käsiteltäväksi sen yhteydessä.</w:t>
      </w:r>
    </w:p>
    <w:p w:rsidR="004D3CEE" w:rsidRPr="006E4C26" w:rsidRDefault="004D3CEE" w:rsidP="004D3CEE">
      <w:pPr>
        <w:pStyle w:val="LLNormaali"/>
        <w:rPr>
          <w:sz w:val="24"/>
        </w:rPr>
      </w:pPr>
    </w:p>
    <w:p w:rsidR="004D3CEE" w:rsidRPr="006E4C26" w:rsidRDefault="004D3CEE" w:rsidP="004D3CEE">
      <w:pPr>
        <w:pStyle w:val="LLNormaali"/>
        <w:rPr>
          <w:b/>
          <w:sz w:val="24"/>
        </w:rPr>
      </w:pPr>
    </w:p>
    <w:p w:rsidR="00A450DA" w:rsidRPr="006E4C26" w:rsidRDefault="004D3CEE" w:rsidP="00C8310F">
      <w:pPr>
        <w:pStyle w:val="LLNormaali"/>
        <w:rPr>
          <w:b/>
          <w:i/>
        </w:rPr>
      </w:pPr>
      <w:r w:rsidRPr="001E5ABD">
        <w:rPr>
          <w:sz w:val="24"/>
        </w:rPr>
        <w:t>Edellä esitetyn perustella annetaan eduskunnan hyväksyttäv</w:t>
      </w:r>
      <w:r w:rsidR="002F0503" w:rsidRPr="001E5ABD">
        <w:rPr>
          <w:sz w:val="24"/>
        </w:rPr>
        <w:t>i</w:t>
      </w:r>
      <w:r w:rsidRPr="001E5ABD">
        <w:rPr>
          <w:sz w:val="24"/>
        </w:rPr>
        <w:t>ksi seuraavat lakiehdotukset:</w:t>
      </w:r>
      <w:r w:rsidR="00A450DA" w:rsidRPr="006E4C26">
        <w:rPr>
          <w:b/>
          <w:i/>
        </w:rPr>
        <w:br w:type="page"/>
      </w:r>
    </w:p>
    <w:p w:rsidR="00A450DA" w:rsidRPr="006E4C26" w:rsidRDefault="00A450DA" w:rsidP="00A450DA">
      <w:pPr>
        <w:pStyle w:val="LLLakiehdotukset"/>
      </w:pPr>
      <w:bookmarkStart w:id="18" w:name="_Toc19201157"/>
      <w:r w:rsidRPr="006E4C26">
        <w:lastRenderedPageBreak/>
        <w:t>Lakiehdotukset</w:t>
      </w:r>
      <w:bookmarkEnd w:id="18"/>
    </w:p>
    <w:p w:rsidR="004D3CEE" w:rsidRPr="006E4C26" w:rsidRDefault="00A450DA" w:rsidP="00A450DA">
      <w:pPr>
        <w:pStyle w:val="LLLainNumero"/>
      </w:pPr>
      <w:r w:rsidRPr="006E4C26">
        <w:t>1.</w:t>
      </w:r>
    </w:p>
    <w:p w:rsidR="00A450DA" w:rsidRPr="006E4C26" w:rsidRDefault="00A450DA" w:rsidP="00A450DA">
      <w:pPr>
        <w:pStyle w:val="LLLaki"/>
      </w:pPr>
      <w:r w:rsidRPr="006E4C26">
        <w:t>Laki</w:t>
      </w:r>
    </w:p>
    <w:p w:rsidR="004D3CEE" w:rsidRPr="006E4C26" w:rsidRDefault="004D3CEE" w:rsidP="00A450DA">
      <w:pPr>
        <w:pStyle w:val="LLSaadoksenNimi"/>
      </w:pPr>
      <w:bookmarkStart w:id="19" w:name="_Toc19201158"/>
      <w:r w:rsidRPr="006E4C26">
        <w:t>Laki nestemäisten polttoaineiden valmisteverosta annetun lain liitteen verotaulukon muuttamisesta</w:t>
      </w:r>
      <w:bookmarkEnd w:id="19"/>
    </w:p>
    <w:p w:rsidR="004D3CEE" w:rsidRPr="006E4C26" w:rsidRDefault="00A450DA" w:rsidP="00A450DA">
      <w:pPr>
        <w:pStyle w:val="LLJohtolauseKappaleet"/>
      </w:pPr>
      <w:r w:rsidRPr="006E4C26">
        <w:t>Eduskunnan päätöksen mukaisesti</w:t>
      </w:r>
    </w:p>
    <w:p w:rsidR="00A450DA" w:rsidRPr="006E4C26" w:rsidRDefault="00A450DA" w:rsidP="00A450DA">
      <w:pPr>
        <w:pStyle w:val="LLJohtolauseKappaleet"/>
      </w:pPr>
      <w:r w:rsidRPr="006E4C26">
        <w:rPr>
          <w:i/>
        </w:rPr>
        <w:t>muutetaan</w:t>
      </w:r>
      <w:r w:rsidRPr="006E4C26">
        <w:t xml:space="preserve"> nestemäisten</w:t>
      </w:r>
      <w:r w:rsidR="000B499B">
        <w:t xml:space="preserve"> </w:t>
      </w:r>
      <w:r w:rsidRPr="006E4C26">
        <w:t>polttoaineiden valmisteverosta annetun lain</w:t>
      </w:r>
      <w:r w:rsidR="00EB7EE2" w:rsidRPr="006E4C26">
        <w:t xml:space="preserve"> (</w:t>
      </w:r>
      <w:r w:rsidR="00BF19A7" w:rsidRPr="006E4C26">
        <w:t>1472/1994)</w:t>
      </w:r>
      <w:r w:rsidRPr="006E4C26">
        <w:t xml:space="preserve"> liite, s</w:t>
      </w:r>
      <w:r w:rsidR="00EB7EE2" w:rsidRPr="006E4C26">
        <w:t>ellaisena kuin se on laissa 1225/2018</w:t>
      </w:r>
      <w:r w:rsidR="00BF19A7" w:rsidRPr="006E4C26">
        <w:t>,</w:t>
      </w:r>
      <w:r w:rsidRPr="006E4C26">
        <w:t xml:space="preserve"> seuraavasti:</w:t>
      </w:r>
    </w:p>
    <w:p w:rsidR="00A450DA" w:rsidRPr="006E4C26" w:rsidRDefault="00A450DA" w:rsidP="00A450DA">
      <w:pPr>
        <w:pStyle w:val="LLJohtolauseKappaleet"/>
      </w:pPr>
    </w:p>
    <w:p w:rsidR="00A450DA" w:rsidRPr="006E4C26" w:rsidRDefault="00A450DA" w:rsidP="00A450DA">
      <w:pPr>
        <w:pStyle w:val="LLNormaali"/>
        <w:jc w:val="center"/>
      </w:pPr>
      <w:r w:rsidRPr="006E4C26">
        <w:t>———</w:t>
      </w:r>
    </w:p>
    <w:p w:rsidR="00A450DA" w:rsidRPr="006E4C26" w:rsidRDefault="00A450DA" w:rsidP="00A450DA">
      <w:pPr>
        <w:pStyle w:val="LLNormaali"/>
      </w:pPr>
      <w:r w:rsidRPr="006E4C26">
        <w:t>Tämä laki tulee voimaan</w:t>
      </w:r>
      <w:r w:rsidR="006E4C26">
        <w:t xml:space="preserve">   </w:t>
      </w:r>
      <w:r w:rsidRPr="006E4C26">
        <w:t xml:space="preserve"> päivänä </w:t>
      </w:r>
      <w:r w:rsidR="006E4C26">
        <w:t xml:space="preserve">    </w:t>
      </w:r>
      <w:r w:rsidRPr="006E4C26">
        <w:t xml:space="preserve">kuuta 20  </w:t>
      </w:r>
      <w:proofErr w:type="gramStart"/>
      <w:r w:rsidRPr="006E4C26">
        <w:t xml:space="preserve">  .</w:t>
      </w:r>
      <w:proofErr w:type="gramEnd"/>
    </w:p>
    <w:p w:rsidR="00A450DA" w:rsidRPr="006E4C26" w:rsidRDefault="00A450DA" w:rsidP="00A450DA">
      <w:pPr>
        <w:pStyle w:val="LLNormaali"/>
        <w:jc w:val="center"/>
      </w:pPr>
      <w:r w:rsidRPr="006E4C26">
        <w:t>—————</w:t>
      </w:r>
    </w:p>
    <w:p w:rsidR="00BF19A7" w:rsidRPr="006E4C26" w:rsidRDefault="00BF19A7" w:rsidP="00A450DA">
      <w:pPr>
        <w:pStyle w:val="LLNormaali"/>
        <w:jc w:val="center"/>
      </w:pPr>
    </w:p>
    <w:p w:rsidR="004D3CEE" w:rsidRPr="006E4C26" w:rsidRDefault="004D3CEE" w:rsidP="00A450DA">
      <w:pPr>
        <w:pStyle w:val="LLNormaali"/>
      </w:pPr>
    </w:p>
    <w:p w:rsidR="004D3CEE" w:rsidRPr="006E4C26" w:rsidRDefault="004D3CEE" w:rsidP="00A450DA">
      <w:pPr>
        <w:pStyle w:val="LLNormaali"/>
      </w:pPr>
    </w:p>
    <w:p w:rsidR="004D3CEE" w:rsidRPr="006E4C26" w:rsidRDefault="00A450DA" w:rsidP="00A450DA">
      <w:pPr>
        <w:pStyle w:val="LLLiite"/>
      </w:pPr>
      <w:bookmarkStart w:id="20" w:name="_Toc19201159"/>
      <w:r w:rsidRPr="006E4C26">
        <w:t>Liite</w:t>
      </w:r>
      <w:bookmarkEnd w:id="20"/>
    </w:p>
    <w:p w:rsidR="00A450DA" w:rsidRPr="006E4C26" w:rsidRDefault="00A450DA" w:rsidP="00A450DA">
      <w:pPr>
        <w:pStyle w:val="LLNormaali"/>
      </w:pPr>
    </w:p>
    <w:tbl>
      <w:tblPr>
        <w:tblW w:w="8380" w:type="dxa"/>
        <w:tblCellMar>
          <w:left w:w="70" w:type="dxa"/>
          <w:right w:w="70" w:type="dxa"/>
        </w:tblCellMar>
        <w:tblLook w:val="04A0" w:firstRow="1" w:lastRow="0" w:firstColumn="1" w:lastColumn="0" w:noHBand="0" w:noVBand="1"/>
      </w:tblPr>
      <w:tblGrid>
        <w:gridCol w:w="2540"/>
        <w:gridCol w:w="960"/>
        <w:gridCol w:w="1178"/>
        <w:gridCol w:w="1582"/>
        <w:gridCol w:w="1160"/>
        <w:gridCol w:w="960"/>
      </w:tblGrid>
      <w:tr w:rsidR="006E4C26" w:rsidRPr="006E4C26" w:rsidTr="002525DB">
        <w:trPr>
          <w:trHeight w:val="790"/>
        </w:trPr>
        <w:tc>
          <w:tcPr>
            <w:tcW w:w="8380" w:type="dxa"/>
            <w:gridSpan w:val="6"/>
            <w:shd w:val="clear" w:color="auto" w:fill="auto"/>
            <w:vAlign w:val="bottom"/>
            <w:hideMark/>
          </w:tcPr>
          <w:p w:rsidR="00BB3319" w:rsidRPr="006E4C26" w:rsidRDefault="00BB3319" w:rsidP="00BB3319">
            <w:pPr>
              <w:jc w:val="center"/>
              <w:rPr>
                <w:b/>
                <w:bCs/>
                <w:sz w:val="22"/>
                <w:szCs w:val="22"/>
                <w:lang w:eastAsia="fi-FI"/>
              </w:rPr>
            </w:pPr>
            <w:r w:rsidRPr="006E4C26">
              <w:rPr>
                <w:b/>
                <w:bCs/>
                <w:sz w:val="22"/>
                <w:szCs w:val="22"/>
                <w:lang w:eastAsia="fi-FI"/>
              </w:rPr>
              <w:t>VEROTAULUKKO</w:t>
            </w:r>
          </w:p>
        </w:tc>
      </w:tr>
      <w:tr w:rsidR="006E4C26" w:rsidRPr="006E4C26" w:rsidTr="002525DB">
        <w:trPr>
          <w:trHeight w:val="260"/>
        </w:trPr>
        <w:tc>
          <w:tcPr>
            <w:tcW w:w="2540" w:type="dxa"/>
            <w:vMerge w:val="restart"/>
            <w:shd w:val="clear" w:color="auto" w:fill="auto"/>
            <w:hideMark/>
          </w:tcPr>
          <w:p w:rsidR="00BB3319" w:rsidRPr="006E4C26" w:rsidRDefault="00BB3319" w:rsidP="00BB3319">
            <w:pPr>
              <w:rPr>
                <w:b/>
                <w:bCs/>
                <w:sz w:val="20"/>
                <w:lang w:eastAsia="fi-FI"/>
              </w:rPr>
            </w:pPr>
            <w:r w:rsidRPr="006E4C26">
              <w:rPr>
                <w:b/>
                <w:bCs/>
                <w:sz w:val="20"/>
                <w:lang w:eastAsia="fi-FI"/>
              </w:rPr>
              <w:t>Tuote</w:t>
            </w:r>
          </w:p>
        </w:tc>
        <w:tc>
          <w:tcPr>
            <w:tcW w:w="960" w:type="dxa"/>
            <w:shd w:val="clear" w:color="auto" w:fill="auto"/>
            <w:hideMark/>
          </w:tcPr>
          <w:p w:rsidR="00BB3319" w:rsidRPr="006E4C26" w:rsidRDefault="00BB3319" w:rsidP="00BB3319">
            <w:pPr>
              <w:jc w:val="center"/>
              <w:rPr>
                <w:b/>
                <w:bCs/>
                <w:sz w:val="20"/>
                <w:lang w:eastAsia="fi-FI"/>
              </w:rPr>
            </w:pPr>
            <w:r w:rsidRPr="006E4C26">
              <w:rPr>
                <w:b/>
                <w:bCs/>
                <w:sz w:val="20"/>
                <w:lang w:eastAsia="fi-FI"/>
              </w:rPr>
              <w:t>Tuote-</w:t>
            </w:r>
          </w:p>
        </w:tc>
        <w:tc>
          <w:tcPr>
            <w:tcW w:w="1178" w:type="dxa"/>
            <w:vMerge w:val="restart"/>
            <w:shd w:val="clear" w:color="auto" w:fill="auto"/>
            <w:hideMark/>
          </w:tcPr>
          <w:p w:rsidR="00BB3319" w:rsidRPr="006E4C26" w:rsidRDefault="00BB3319" w:rsidP="00BB3319">
            <w:pPr>
              <w:jc w:val="center"/>
              <w:rPr>
                <w:b/>
                <w:bCs/>
                <w:sz w:val="20"/>
                <w:lang w:eastAsia="fi-FI"/>
              </w:rPr>
            </w:pPr>
            <w:r w:rsidRPr="006E4C26">
              <w:rPr>
                <w:b/>
                <w:bCs/>
                <w:sz w:val="20"/>
                <w:lang w:eastAsia="fi-FI"/>
              </w:rPr>
              <w:t>Energiasisältövero</w:t>
            </w:r>
          </w:p>
        </w:tc>
        <w:tc>
          <w:tcPr>
            <w:tcW w:w="1582" w:type="dxa"/>
            <w:vMerge w:val="restart"/>
            <w:shd w:val="clear" w:color="auto" w:fill="auto"/>
            <w:hideMark/>
          </w:tcPr>
          <w:p w:rsidR="00BB3319" w:rsidRPr="006E4C26" w:rsidRDefault="00BB3319" w:rsidP="00BB3319">
            <w:pPr>
              <w:jc w:val="center"/>
              <w:rPr>
                <w:b/>
                <w:bCs/>
                <w:sz w:val="20"/>
                <w:lang w:eastAsia="fi-FI"/>
              </w:rPr>
            </w:pPr>
            <w:r w:rsidRPr="006E4C26">
              <w:rPr>
                <w:b/>
                <w:bCs/>
                <w:sz w:val="20"/>
                <w:lang w:eastAsia="fi-FI"/>
              </w:rPr>
              <w:t>Hiilidioksidi-vero</w:t>
            </w:r>
          </w:p>
        </w:tc>
        <w:tc>
          <w:tcPr>
            <w:tcW w:w="1160" w:type="dxa"/>
            <w:shd w:val="clear" w:color="auto" w:fill="auto"/>
            <w:hideMark/>
          </w:tcPr>
          <w:p w:rsidR="00BB3319" w:rsidRPr="006E4C26" w:rsidRDefault="00BB3319" w:rsidP="00BB3319">
            <w:pPr>
              <w:jc w:val="center"/>
              <w:rPr>
                <w:b/>
                <w:bCs/>
                <w:sz w:val="20"/>
                <w:lang w:eastAsia="fi-FI"/>
              </w:rPr>
            </w:pPr>
            <w:r w:rsidRPr="006E4C26">
              <w:rPr>
                <w:b/>
                <w:bCs/>
                <w:sz w:val="20"/>
                <w:lang w:eastAsia="fi-FI"/>
              </w:rPr>
              <w:t>Huolto-</w:t>
            </w:r>
          </w:p>
        </w:tc>
        <w:tc>
          <w:tcPr>
            <w:tcW w:w="960" w:type="dxa"/>
            <w:vMerge w:val="restart"/>
            <w:shd w:val="clear" w:color="auto" w:fill="auto"/>
            <w:hideMark/>
          </w:tcPr>
          <w:p w:rsidR="00BB3319" w:rsidRPr="006E4C26" w:rsidRDefault="00BB3319" w:rsidP="00BB3319">
            <w:pPr>
              <w:jc w:val="center"/>
              <w:rPr>
                <w:b/>
                <w:bCs/>
                <w:sz w:val="20"/>
                <w:lang w:eastAsia="fi-FI"/>
              </w:rPr>
            </w:pPr>
            <w:r w:rsidRPr="006E4C26">
              <w:rPr>
                <w:b/>
                <w:bCs/>
                <w:sz w:val="20"/>
                <w:lang w:eastAsia="fi-FI"/>
              </w:rPr>
              <w:t>Yhteensä</w:t>
            </w:r>
          </w:p>
        </w:tc>
      </w:tr>
      <w:tr w:rsidR="006E4C26" w:rsidRPr="006E4C26" w:rsidTr="002525DB">
        <w:trPr>
          <w:trHeight w:val="260"/>
        </w:trPr>
        <w:tc>
          <w:tcPr>
            <w:tcW w:w="2540" w:type="dxa"/>
            <w:vMerge/>
            <w:vAlign w:val="center"/>
            <w:hideMark/>
          </w:tcPr>
          <w:p w:rsidR="00BB3319" w:rsidRPr="006E4C26" w:rsidRDefault="00BB3319" w:rsidP="00BB3319">
            <w:pPr>
              <w:rPr>
                <w:b/>
                <w:bCs/>
                <w:sz w:val="20"/>
                <w:lang w:eastAsia="fi-FI"/>
              </w:rPr>
            </w:pPr>
          </w:p>
        </w:tc>
        <w:tc>
          <w:tcPr>
            <w:tcW w:w="960" w:type="dxa"/>
            <w:shd w:val="clear" w:color="auto" w:fill="auto"/>
            <w:hideMark/>
          </w:tcPr>
          <w:p w:rsidR="00BB3319" w:rsidRPr="006E4C26" w:rsidRDefault="00BB3319" w:rsidP="00BB3319">
            <w:pPr>
              <w:jc w:val="center"/>
              <w:rPr>
                <w:b/>
                <w:bCs/>
                <w:sz w:val="20"/>
                <w:lang w:eastAsia="fi-FI"/>
              </w:rPr>
            </w:pPr>
            <w:r w:rsidRPr="006E4C26">
              <w:rPr>
                <w:b/>
                <w:bCs/>
                <w:sz w:val="20"/>
                <w:lang w:eastAsia="fi-FI"/>
              </w:rPr>
              <w:t>ryhmä</w:t>
            </w:r>
          </w:p>
        </w:tc>
        <w:tc>
          <w:tcPr>
            <w:tcW w:w="1178" w:type="dxa"/>
            <w:vMerge/>
            <w:vAlign w:val="center"/>
            <w:hideMark/>
          </w:tcPr>
          <w:p w:rsidR="00BB3319" w:rsidRPr="006E4C26" w:rsidRDefault="00BB3319" w:rsidP="00BB3319">
            <w:pPr>
              <w:rPr>
                <w:b/>
                <w:bCs/>
                <w:sz w:val="20"/>
                <w:lang w:eastAsia="fi-FI"/>
              </w:rPr>
            </w:pPr>
          </w:p>
        </w:tc>
        <w:tc>
          <w:tcPr>
            <w:tcW w:w="1582" w:type="dxa"/>
            <w:vMerge/>
            <w:vAlign w:val="center"/>
            <w:hideMark/>
          </w:tcPr>
          <w:p w:rsidR="00BB3319" w:rsidRPr="006E4C26" w:rsidRDefault="00BB3319" w:rsidP="00BB3319">
            <w:pPr>
              <w:rPr>
                <w:b/>
                <w:bCs/>
                <w:sz w:val="20"/>
                <w:lang w:eastAsia="fi-FI"/>
              </w:rPr>
            </w:pPr>
          </w:p>
        </w:tc>
        <w:tc>
          <w:tcPr>
            <w:tcW w:w="1160" w:type="dxa"/>
            <w:shd w:val="clear" w:color="auto" w:fill="auto"/>
            <w:hideMark/>
          </w:tcPr>
          <w:p w:rsidR="00BB3319" w:rsidRPr="006E4C26" w:rsidRDefault="00BB3319" w:rsidP="00BB3319">
            <w:pPr>
              <w:jc w:val="center"/>
              <w:rPr>
                <w:b/>
                <w:bCs/>
                <w:sz w:val="20"/>
                <w:lang w:eastAsia="fi-FI"/>
              </w:rPr>
            </w:pPr>
            <w:r w:rsidRPr="006E4C26">
              <w:rPr>
                <w:b/>
                <w:bCs/>
                <w:sz w:val="20"/>
                <w:lang w:eastAsia="fi-FI"/>
              </w:rPr>
              <w:t>varmuus-</w:t>
            </w:r>
          </w:p>
        </w:tc>
        <w:tc>
          <w:tcPr>
            <w:tcW w:w="960" w:type="dxa"/>
            <w:vMerge/>
            <w:vAlign w:val="center"/>
            <w:hideMark/>
          </w:tcPr>
          <w:p w:rsidR="00BB3319" w:rsidRPr="006E4C26" w:rsidRDefault="00BB3319" w:rsidP="00BB3319">
            <w:pPr>
              <w:rPr>
                <w:b/>
                <w:bCs/>
                <w:sz w:val="20"/>
                <w:lang w:eastAsia="fi-FI"/>
              </w:rPr>
            </w:pPr>
          </w:p>
        </w:tc>
      </w:tr>
      <w:tr w:rsidR="006E4C26" w:rsidRPr="006E4C26" w:rsidTr="002525DB">
        <w:trPr>
          <w:trHeight w:val="260"/>
        </w:trPr>
        <w:tc>
          <w:tcPr>
            <w:tcW w:w="2540" w:type="dxa"/>
            <w:vMerge/>
            <w:vAlign w:val="center"/>
            <w:hideMark/>
          </w:tcPr>
          <w:p w:rsidR="00BB3319" w:rsidRPr="006E4C26" w:rsidRDefault="00BB3319" w:rsidP="00BB3319">
            <w:pPr>
              <w:rPr>
                <w:b/>
                <w:bCs/>
                <w:sz w:val="20"/>
                <w:lang w:eastAsia="fi-FI"/>
              </w:rPr>
            </w:pPr>
          </w:p>
        </w:tc>
        <w:tc>
          <w:tcPr>
            <w:tcW w:w="960" w:type="dxa"/>
            <w:shd w:val="clear" w:color="auto" w:fill="auto"/>
            <w:hideMark/>
          </w:tcPr>
          <w:p w:rsidR="00BB3319" w:rsidRPr="006E4C26" w:rsidRDefault="00BB3319" w:rsidP="00BB3319">
            <w:pPr>
              <w:jc w:val="center"/>
              <w:rPr>
                <w:b/>
                <w:bCs/>
                <w:sz w:val="20"/>
                <w:lang w:eastAsia="fi-FI"/>
              </w:rPr>
            </w:pPr>
          </w:p>
        </w:tc>
        <w:tc>
          <w:tcPr>
            <w:tcW w:w="1178" w:type="dxa"/>
            <w:vMerge/>
            <w:vAlign w:val="center"/>
            <w:hideMark/>
          </w:tcPr>
          <w:p w:rsidR="00BB3319" w:rsidRPr="006E4C26" w:rsidRDefault="00BB3319" w:rsidP="00BB3319">
            <w:pPr>
              <w:rPr>
                <w:b/>
                <w:bCs/>
                <w:sz w:val="20"/>
                <w:lang w:eastAsia="fi-FI"/>
              </w:rPr>
            </w:pPr>
          </w:p>
        </w:tc>
        <w:tc>
          <w:tcPr>
            <w:tcW w:w="1582" w:type="dxa"/>
            <w:vMerge/>
            <w:vAlign w:val="center"/>
            <w:hideMark/>
          </w:tcPr>
          <w:p w:rsidR="00BB3319" w:rsidRPr="006E4C26" w:rsidRDefault="00BB3319" w:rsidP="00BB3319">
            <w:pPr>
              <w:rPr>
                <w:b/>
                <w:bCs/>
                <w:sz w:val="20"/>
                <w:lang w:eastAsia="fi-FI"/>
              </w:rPr>
            </w:pPr>
          </w:p>
        </w:tc>
        <w:tc>
          <w:tcPr>
            <w:tcW w:w="1160" w:type="dxa"/>
            <w:shd w:val="clear" w:color="auto" w:fill="auto"/>
            <w:hideMark/>
          </w:tcPr>
          <w:p w:rsidR="00BB3319" w:rsidRPr="006E4C26" w:rsidRDefault="00BB3319" w:rsidP="00BB3319">
            <w:pPr>
              <w:jc w:val="center"/>
              <w:rPr>
                <w:b/>
                <w:bCs/>
                <w:sz w:val="20"/>
                <w:lang w:eastAsia="fi-FI"/>
              </w:rPr>
            </w:pPr>
            <w:r w:rsidRPr="006E4C26">
              <w:rPr>
                <w:b/>
                <w:bCs/>
                <w:sz w:val="20"/>
                <w:lang w:eastAsia="fi-FI"/>
              </w:rPr>
              <w:t>maksu</w:t>
            </w:r>
          </w:p>
        </w:tc>
        <w:tc>
          <w:tcPr>
            <w:tcW w:w="960" w:type="dxa"/>
            <w:vMerge/>
            <w:vAlign w:val="center"/>
            <w:hideMark/>
          </w:tcPr>
          <w:p w:rsidR="00BB3319" w:rsidRPr="006E4C26" w:rsidRDefault="00BB3319" w:rsidP="00BB3319">
            <w:pPr>
              <w:rPr>
                <w:b/>
                <w:bCs/>
                <w:sz w:val="20"/>
                <w:lang w:eastAsia="fi-FI"/>
              </w:rPr>
            </w:pPr>
          </w:p>
        </w:tc>
      </w:tr>
      <w:tr w:rsidR="006E4C26" w:rsidRPr="006E4C26" w:rsidTr="002525DB">
        <w:trPr>
          <w:trHeight w:val="260"/>
        </w:trPr>
        <w:tc>
          <w:tcPr>
            <w:tcW w:w="2540" w:type="dxa"/>
            <w:shd w:val="clear" w:color="auto" w:fill="auto"/>
            <w:hideMark/>
          </w:tcPr>
          <w:p w:rsidR="00BB3319" w:rsidRPr="006E4C26" w:rsidRDefault="00BB3319" w:rsidP="00BB3319">
            <w:pPr>
              <w:rPr>
                <w:sz w:val="20"/>
                <w:lang w:eastAsia="fi-FI"/>
              </w:rPr>
            </w:pPr>
            <w:r w:rsidRPr="006E4C26">
              <w:rPr>
                <w:sz w:val="20"/>
                <w:lang w:eastAsia="fi-FI"/>
              </w:rPr>
              <w:t xml:space="preserve">Moottoribensiini </w:t>
            </w:r>
            <w:proofErr w:type="spellStart"/>
            <w:r w:rsidRPr="006E4C26">
              <w:rPr>
                <w:sz w:val="20"/>
                <w:lang w:eastAsia="fi-FI"/>
              </w:rPr>
              <w:t>snt</w:t>
            </w:r>
            <w:proofErr w:type="spellEnd"/>
            <w:r w:rsidRPr="006E4C26">
              <w:rPr>
                <w:sz w:val="20"/>
                <w:lang w:eastAsia="fi-FI"/>
              </w:rPr>
              <w:t>/l</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10</w:t>
            </w:r>
          </w:p>
        </w:tc>
        <w:tc>
          <w:tcPr>
            <w:tcW w:w="1178" w:type="dxa"/>
            <w:shd w:val="clear" w:color="auto" w:fill="auto"/>
            <w:hideMark/>
          </w:tcPr>
          <w:p w:rsidR="00BB3319" w:rsidRPr="006E4C26" w:rsidRDefault="00BB3319" w:rsidP="00BB3319">
            <w:pPr>
              <w:jc w:val="center"/>
              <w:rPr>
                <w:sz w:val="20"/>
                <w:lang w:eastAsia="fi-FI"/>
              </w:rPr>
            </w:pPr>
            <w:r w:rsidRPr="006E4C26">
              <w:rPr>
                <w:sz w:val="20"/>
                <w:lang w:eastAsia="fi-FI"/>
              </w:rPr>
              <w:t>57,54</w:t>
            </w:r>
          </w:p>
        </w:tc>
        <w:tc>
          <w:tcPr>
            <w:tcW w:w="1582" w:type="dxa"/>
            <w:shd w:val="clear" w:color="auto" w:fill="auto"/>
            <w:hideMark/>
          </w:tcPr>
          <w:p w:rsidR="00BB3319" w:rsidRPr="006E4C26" w:rsidRDefault="00BB3319" w:rsidP="00BB3319">
            <w:pPr>
              <w:jc w:val="center"/>
              <w:rPr>
                <w:sz w:val="20"/>
                <w:lang w:eastAsia="fi-FI"/>
              </w:rPr>
            </w:pPr>
            <w:r w:rsidRPr="006E4C26">
              <w:rPr>
                <w:sz w:val="20"/>
                <w:lang w:eastAsia="fi-FI"/>
              </w:rPr>
              <w:t>17,30</w:t>
            </w:r>
          </w:p>
        </w:tc>
        <w:tc>
          <w:tcPr>
            <w:tcW w:w="1160" w:type="dxa"/>
            <w:shd w:val="clear" w:color="auto" w:fill="auto"/>
            <w:hideMark/>
          </w:tcPr>
          <w:p w:rsidR="00BB3319" w:rsidRPr="006E4C26" w:rsidRDefault="00BB3319" w:rsidP="00BB3319">
            <w:pPr>
              <w:jc w:val="center"/>
              <w:rPr>
                <w:sz w:val="20"/>
                <w:lang w:eastAsia="fi-FI"/>
              </w:rPr>
            </w:pPr>
            <w:r w:rsidRPr="006E4C26">
              <w:rPr>
                <w:sz w:val="20"/>
                <w:lang w:eastAsia="fi-FI"/>
              </w:rPr>
              <w:t>0,68</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75,52</w:t>
            </w:r>
          </w:p>
        </w:tc>
      </w:tr>
      <w:tr w:rsidR="006E4C26" w:rsidRPr="006E4C26" w:rsidTr="002525DB">
        <w:trPr>
          <w:trHeight w:val="260"/>
        </w:trPr>
        <w:tc>
          <w:tcPr>
            <w:tcW w:w="2540" w:type="dxa"/>
            <w:shd w:val="clear" w:color="auto" w:fill="auto"/>
            <w:hideMark/>
          </w:tcPr>
          <w:p w:rsidR="00BB3319" w:rsidRPr="006E4C26" w:rsidRDefault="00BB3319" w:rsidP="00BB3319">
            <w:pPr>
              <w:rPr>
                <w:sz w:val="20"/>
                <w:lang w:eastAsia="fi-FI"/>
              </w:rPr>
            </w:pPr>
            <w:r w:rsidRPr="006E4C26">
              <w:rPr>
                <w:sz w:val="20"/>
                <w:lang w:eastAsia="fi-FI"/>
              </w:rPr>
              <w:t xml:space="preserve">Pienmoottoribensiini </w:t>
            </w:r>
            <w:proofErr w:type="spellStart"/>
            <w:r w:rsidRPr="006E4C26">
              <w:rPr>
                <w:sz w:val="20"/>
                <w:lang w:eastAsia="fi-FI"/>
              </w:rPr>
              <w:t>snt</w:t>
            </w:r>
            <w:proofErr w:type="spellEnd"/>
            <w:r w:rsidRPr="006E4C26">
              <w:rPr>
                <w:sz w:val="20"/>
                <w:lang w:eastAsia="fi-FI"/>
              </w:rPr>
              <w:t>/l</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11</w:t>
            </w:r>
          </w:p>
        </w:tc>
        <w:tc>
          <w:tcPr>
            <w:tcW w:w="1178" w:type="dxa"/>
            <w:shd w:val="clear" w:color="auto" w:fill="auto"/>
            <w:hideMark/>
          </w:tcPr>
          <w:p w:rsidR="00BB3319" w:rsidRPr="006E4C26" w:rsidRDefault="00BB3319" w:rsidP="00BB3319">
            <w:pPr>
              <w:jc w:val="center"/>
              <w:rPr>
                <w:sz w:val="20"/>
                <w:lang w:eastAsia="fi-FI"/>
              </w:rPr>
            </w:pPr>
            <w:r w:rsidRPr="006E4C26">
              <w:rPr>
                <w:sz w:val="20"/>
                <w:lang w:eastAsia="fi-FI"/>
              </w:rPr>
              <w:t>37,54</w:t>
            </w:r>
          </w:p>
        </w:tc>
        <w:tc>
          <w:tcPr>
            <w:tcW w:w="1582" w:type="dxa"/>
            <w:shd w:val="clear" w:color="auto" w:fill="auto"/>
            <w:hideMark/>
          </w:tcPr>
          <w:p w:rsidR="00BB3319" w:rsidRPr="006E4C26" w:rsidRDefault="00BB3319" w:rsidP="00BB3319">
            <w:pPr>
              <w:jc w:val="center"/>
              <w:rPr>
                <w:sz w:val="20"/>
                <w:lang w:eastAsia="fi-FI"/>
              </w:rPr>
            </w:pPr>
            <w:r w:rsidRPr="006E4C26">
              <w:rPr>
                <w:sz w:val="20"/>
                <w:lang w:eastAsia="fi-FI"/>
              </w:rPr>
              <w:t>17,30</w:t>
            </w:r>
          </w:p>
        </w:tc>
        <w:tc>
          <w:tcPr>
            <w:tcW w:w="1160" w:type="dxa"/>
            <w:shd w:val="clear" w:color="auto" w:fill="auto"/>
            <w:hideMark/>
          </w:tcPr>
          <w:p w:rsidR="00BB3319" w:rsidRPr="006E4C26" w:rsidRDefault="00BB3319" w:rsidP="00BB3319">
            <w:pPr>
              <w:jc w:val="center"/>
              <w:rPr>
                <w:sz w:val="20"/>
                <w:lang w:eastAsia="fi-FI"/>
              </w:rPr>
            </w:pPr>
            <w:r w:rsidRPr="006E4C26">
              <w:rPr>
                <w:sz w:val="20"/>
                <w:lang w:eastAsia="fi-FI"/>
              </w:rPr>
              <w:t>0,68</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55,52</w:t>
            </w:r>
          </w:p>
        </w:tc>
      </w:tr>
      <w:tr w:rsidR="006E4C26" w:rsidRPr="006E4C26" w:rsidTr="002525DB">
        <w:trPr>
          <w:trHeight w:val="260"/>
        </w:trPr>
        <w:tc>
          <w:tcPr>
            <w:tcW w:w="2540" w:type="dxa"/>
            <w:shd w:val="clear" w:color="auto" w:fill="auto"/>
            <w:hideMark/>
          </w:tcPr>
          <w:p w:rsidR="00BB3319" w:rsidRPr="006E4C26" w:rsidRDefault="00BB3319" w:rsidP="00BB3319">
            <w:pPr>
              <w:rPr>
                <w:sz w:val="20"/>
                <w:lang w:eastAsia="fi-FI"/>
              </w:rPr>
            </w:pPr>
            <w:r w:rsidRPr="006E4C26">
              <w:rPr>
                <w:sz w:val="20"/>
                <w:lang w:eastAsia="fi-FI"/>
              </w:rPr>
              <w:t xml:space="preserve">Bioetanoli </w:t>
            </w:r>
            <w:proofErr w:type="spellStart"/>
            <w:r w:rsidRPr="006E4C26">
              <w:rPr>
                <w:sz w:val="20"/>
                <w:lang w:eastAsia="fi-FI"/>
              </w:rPr>
              <w:t>snt</w:t>
            </w:r>
            <w:proofErr w:type="spellEnd"/>
            <w:r w:rsidRPr="006E4C26">
              <w:rPr>
                <w:sz w:val="20"/>
                <w:lang w:eastAsia="fi-FI"/>
              </w:rPr>
              <w:t>/l</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20</w:t>
            </w:r>
          </w:p>
        </w:tc>
        <w:tc>
          <w:tcPr>
            <w:tcW w:w="1178" w:type="dxa"/>
            <w:shd w:val="clear" w:color="auto" w:fill="auto"/>
            <w:hideMark/>
          </w:tcPr>
          <w:p w:rsidR="00BB3319" w:rsidRPr="006E4C26" w:rsidRDefault="00BB3319" w:rsidP="00BB3319">
            <w:pPr>
              <w:jc w:val="center"/>
              <w:rPr>
                <w:sz w:val="20"/>
                <w:lang w:eastAsia="fi-FI"/>
              </w:rPr>
            </w:pPr>
            <w:r w:rsidRPr="006E4C26">
              <w:rPr>
                <w:sz w:val="20"/>
                <w:lang w:eastAsia="fi-FI"/>
              </w:rPr>
              <w:t>37,76</w:t>
            </w:r>
          </w:p>
        </w:tc>
        <w:tc>
          <w:tcPr>
            <w:tcW w:w="1582" w:type="dxa"/>
            <w:shd w:val="clear" w:color="auto" w:fill="auto"/>
            <w:hideMark/>
          </w:tcPr>
          <w:p w:rsidR="00BB3319" w:rsidRPr="006E4C26" w:rsidRDefault="00BB3319" w:rsidP="00BB3319">
            <w:pPr>
              <w:jc w:val="center"/>
              <w:rPr>
                <w:sz w:val="20"/>
                <w:lang w:eastAsia="fi-FI"/>
              </w:rPr>
            </w:pPr>
            <w:r w:rsidRPr="006E4C26">
              <w:rPr>
                <w:sz w:val="20"/>
                <w:lang w:eastAsia="fi-FI"/>
              </w:rPr>
              <w:t>11,35</w:t>
            </w:r>
          </w:p>
        </w:tc>
        <w:tc>
          <w:tcPr>
            <w:tcW w:w="1160" w:type="dxa"/>
            <w:shd w:val="clear" w:color="auto" w:fill="auto"/>
            <w:hideMark/>
          </w:tcPr>
          <w:p w:rsidR="00BB3319" w:rsidRPr="006E4C26" w:rsidRDefault="00BB3319" w:rsidP="00BB3319">
            <w:pPr>
              <w:jc w:val="center"/>
              <w:rPr>
                <w:sz w:val="20"/>
                <w:lang w:eastAsia="fi-FI"/>
              </w:rPr>
            </w:pPr>
            <w:r w:rsidRPr="006E4C26">
              <w:rPr>
                <w:sz w:val="20"/>
                <w:lang w:eastAsia="fi-FI"/>
              </w:rPr>
              <w:t>0,68</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49,79</w:t>
            </w:r>
          </w:p>
        </w:tc>
      </w:tr>
      <w:tr w:rsidR="006E4C26" w:rsidRPr="006E4C26" w:rsidTr="002525DB">
        <w:trPr>
          <w:trHeight w:val="260"/>
        </w:trPr>
        <w:tc>
          <w:tcPr>
            <w:tcW w:w="2540" w:type="dxa"/>
            <w:shd w:val="clear" w:color="auto" w:fill="auto"/>
            <w:hideMark/>
          </w:tcPr>
          <w:p w:rsidR="00BB3319" w:rsidRPr="006E4C26" w:rsidRDefault="00BB3319" w:rsidP="00BB3319">
            <w:pPr>
              <w:rPr>
                <w:sz w:val="20"/>
                <w:lang w:eastAsia="fi-FI"/>
              </w:rPr>
            </w:pPr>
            <w:r w:rsidRPr="006E4C26">
              <w:rPr>
                <w:sz w:val="20"/>
                <w:lang w:eastAsia="fi-FI"/>
              </w:rPr>
              <w:t xml:space="preserve">Bioetanoli R </w:t>
            </w:r>
            <w:proofErr w:type="spellStart"/>
            <w:r w:rsidRPr="006E4C26">
              <w:rPr>
                <w:sz w:val="20"/>
                <w:lang w:eastAsia="fi-FI"/>
              </w:rPr>
              <w:t>snt</w:t>
            </w:r>
            <w:proofErr w:type="spellEnd"/>
            <w:r w:rsidRPr="006E4C26">
              <w:rPr>
                <w:sz w:val="20"/>
                <w:lang w:eastAsia="fi-FI"/>
              </w:rPr>
              <w:t>/l</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21</w:t>
            </w:r>
          </w:p>
        </w:tc>
        <w:tc>
          <w:tcPr>
            <w:tcW w:w="1178" w:type="dxa"/>
            <w:shd w:val="clear" w:color="auto" w:fill="auto"/>
            <w:hideMark/>
          </w:tcPr>
          <w:p w:rsidR="00BB3319" w:rsidRPr="006E4C26" w:rsidRDefault="00BB3319" w:rsidP="00BB3319">
            <w:pPr>
              <w:jc w:val="center"/>
              <w:rPr>
                <w:sz w:val="20"/>
                <w:lang w:eastAsia="fi-FI"/>
              </w:rPr>
            </w:pPr>
            <w:r w:rsidRPr="006E4C26">
              <w:rPr>
                <w:sz w:val="20"/>
                <w:lang w:eastAsia="fi-FI"/>
              </w:rPr>
              <w:t>37,76</w:t>
            </w:r>
          </w:p>
        </w:tc>
        <w:tc>
          <w:tcPr>
            <w:tcW w:w="1582" w:type="dxa"/>
            <w:shd w:val="clear" w:color="auto" w:fill="auto"/>
            <w:hideMark/>
          </w:tcPr>
          <w:p w:rsidR="00BB3319" w:rsidRPr="006E4C26" w:rsidRDefault="00BB3319" w:rsidP="00BB3319">
            <w:pPr>
              <w:jc w:val="center"/>
              <w:rPr>
                <w:sz w:val="20"/>
                <w:lang w:eastAsia="fi-FI"/>
              </w:rPr>
            </w:pPr>
            <w:r w:rsidRPr="006E4C26">
              <w:rPr>
                <w:sz w:val="20"/>
                <w:lang w:eastAsia="fi-FI"/>
              </w:rPr>
              <w:t>5,68</w:t>
            </w:r>
          </w:p>
        </w:tc>
        <w:tc>
          <w:tcPr>
            <w:tcW w:w="1160" w:type="dxa"/>
            <w:shd w:val="clear" w:color="auto" w:fill="auto"/>
            <w:hideMark/>
          </w:tcPr>
          <w:p w:rsidR="00BB3319" w:rsidRPr="006E4C26" w:rsidRDefault="00BB3319" w:rsidP="00BB3319">
            <w:pPr>
              <w:jc w:val="center"/>
              <w:rPr>
                <w:sz w:val="20"/>
                <w:lang w:eastAsia="fi-FI"/>
              </w:rPr>
            </w:pPr>
            <w:r w:rsidRPr="006E4C26">
              <w:rPr>
                <w:sz w:val="20"/>
                <w:lang w:eastAsia="fi-FI"/>
              </w:rPr>
              <w:t>0,68</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44,12</w:t>
            </w:r>
          </w:p>
        </w:tc>
      </w:tr>
      <w:tr w:rsidR="006E4C26" w:rsidRPr="006E4C26" w:rsidTr="002525DB">
        <w:trPr>
          <w:trHeight w:val="260"/>
        </w:trPr>
        <w:tc>
          <w:tcPr>
            <w:tcW w:w="2540" w:type="dxa"/>
            <w:shd w:val="clear" w:color="auto" w:fill="auto"/>
            <w:hideMark/>
          </w:tcPr>
          <w:p w:rsidR="00BB3319" w:rsidRPr="006E4C26" w:rsidRDefault="00BB3319" w:rsidP="00BB3319">
            <w:pPr>
              <w:rPr>
                <w:sz w:val="20"/>
                <w:lang w:eastAsia="fi-FI"/>
              </w:rPr>
            </w:pPr>
            <w:r w:rsidRPr="006E4C26">
              <w:rPr>
                <w:sz w:val="20"/>
                <w:lang w:eastAsia="fi-FI"/>
              </w:rPr>
              <w:t xml:space="preserve">Bioetanoli T </w:t>
            </w:r>
            <w:proofErr w:type="spellStart"/>
            <w:r w:rsidRPr="006E4C26">
              <w:rPr>
                <w:sz w:val="20"/>
                <w:lang w:eastAsia="fi-FI"/>
              </w:rPr>
              <w:t>snt</w:t>
            </w:r>
            <w:proofErr w:type="spellEnd"/>
            <w:r w:rsidRPr="006E4C26">
              <w:rPr>
                <w:sz w:val="20"/>
                <w:lang w:eastAsia="fi-FI"/>
              </w:rPr>
              <w:t>/l</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22</w:t>
            </w:r>
          </w:p>
        </w:tc>
        <w:tc>
          <w:tcPr>
            <w:tcW w:w="1178" w:type="dxa"/>
            <w:shd w:val="clear" w:color="auto" w:fill="auto"/>
            <w:hideMark/>
          </w:tcPr>
          <w:p w:rsidR="00BB3319" w:rsidRPr="006E4C26" w:rsidRDefault="00BB3319" w:rsidP="00BB3319">
            <w:pPr>
              <w:jc w:val="center"/>
              <w:rPr>
                <w:sz w:val="20"/>
                <w:lang w:eastAsia="fi-FI"/>
              </w:rPr>
            </w:pPr>
            <w:r w:rsidRPr="006E4C26">
              <w:rPr>
                <w:sz w:val="20"/>
                <w:lang w:eastAsia="fi-FI"/>
              </w:rPr>
              <w:t>37,76</w:t>
            </w:r>
          </w:p>
        </w:tc>
        <w:tc>
          <w:tcPr>
            <w:tcW w:w="1582" w:type="dxa"/>
            <w:shd w:val="clear" w:color="auto" w:fill="auto"/>
            <w:hideMark/>
          </w:tcPr>
          <w:p w:rsidR="00BB3319" w:rsidRPr="006E4C26" w:rsidRDefault="00BB3319" w:rsidP="00BB3319">
            <w:pPr>
              <w:jc w:val="center"/>
              <w:rPr>
                <w:sz w:val="20"/>
                <w:lang w:eastAsia="fi-FI"/>
              </w:rPr>
            </w:pPr>
            <w:r w:rsidRPr="006E4C26">
              <w:rPr>
                <w:sz w:val="20"/>
                <w:lang w:eastAsia="fi-FI"/>
              </w:rPr>
              <w:t>0,00</w:t>
            </w:r>
          </w:p>
        </w:tc>
        <w:tc>
          <w:tcPr>
            <w:tcW w:w="1160" w:type="dxa"/>
            <w:shd w:val="clear" w:color="auto" w:fill="auto"/>
            <w:hideMark/>
          </w:tcPr>
          <w:p w:rsidR="00BB3319" w:rsidRPr="006E4C26" w:rsidRDefault="00BB3319" w:rsidP="00BB3319">
            <w:pPr>
              <w:jc w:val="center"/>
              <w:rPr>
                <w:sz w:val="20"/>
                <w:lang w:eastAsia="fi-FI"/>
              </w:rPr>
            </w:pPr>
            <w:r w:rsidRPr="006E4C26">
              <w:rPr>
                <w:sz w:val="20"/>
                <w:lang w:eastAsia="fi-FI"/>
              </w:rPr>
              <w:t>0,68</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38,44</w:t>
            </w:r>
          </w:p>
        </w:tc>
      </w:tr>
      <w:tr w:rsidR="006E4C26" w:rsidRPr="006E4C26" w:rsidTr="002525DB">
        <w:trPr>
          <w:trHeight w:val="260"/>
        </w:trPr>
        <w:tc>
          <w:tcPr>
            <w:tcW w:w="2540" w:type="dxa"/>
            <w:shd w:val="clear" w:color="auto" w:fill="auto"/>
            <w:hideMark/>
          </w:tcPr>
          <w:p w:rsidR="00BB3319" w:rsidRPr="006E4C26" w:rsidRDefault="00BB3319" w:rsidP="00BB3319">
            <w:pPr>
              <w:rPr>
                <w:sz w:val="20"/>
                <w:lang w:eastAsia="fi-FI"/>
              </w:rPr>
            </w:pPr>
            <w:proofErr w:type="spellStart"/>
            <w:r w:rsidRPr="006E4C26">
              <w:rPr>
                <w:sz w:val="20"/>
                <w:lang w:eastAsia="fi-FI"/>
              </w:rPr>
              <w:t>MTBE</w:t>
            </w:r>
            <w:proofErr w:type="spellEnd"/>
            <w:r w:rsidRPr="006E4C26">
              <w:rPr>
                <w:sz w:val="20"/>
                <w:lang w:eastAsia="fi-FI"/>
              </w:rPr>
              <w:t xml:space="preserve"> </w:t>
            </w:r>
            <w:proofErr w:type="spellStart"/>
            <w:r w:rsidRPr="006E4C26">
              <w:rPr>
                <w:sz w:val="20"/>
                <w:lang w:eastAsia="fi-FI"/>
              </w:rPr>
              <w:t>snt</w:t>
            </w:r>
            <w:proofErr w:type="spellEnd"/>
            <w:r w:rsidRPr="006E4C26">
              <w:rPr>
                <w:sz w:val="20"/>
                <w:lang w:eastAsia="fi-FI"/>
              </w:rPr>
              <w:t>/l</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23</w:t>
            </w:r>
          </w:p>
        </w:tc>
        <w:tc>
          <w:tcPr>
            <w:tcW w:w="1178" w:type="dxa"/>
            <w:shd w:val="clear" w:color="auto" w:fill="auto"/>
            <w:hideMark/>
          </w:tcPr>
          <w:p w:rsidR="00BB3319" w:rsidRPr="006E4C26" w:rsidRDefault="00BB3319" w:rsidP="00BB3319">
            <w:pPr>
              <w:jc w:val="center"/>
              <w:rPr>
                <w:sz w:val="20"/>
                <w:lang w:eastAsia="fi-FI"/>
              </w:rPr>
            </w:pPr>
            <w:r w:rsidRPr="006E4C26">
              <w:rPr>
                <w:sz w:val="20"/>
                <w:lang w:eastAsia="fi-FI"/>
              </w:rPr>
              <w:t>46,75</w:t>
            </w:r>
          </w:p>
        </w:tc>
        <w:tc>
          <w:tcPr>
            <w:tcW w:w="1582" w:type="dxa"/>
            <w:shd w:val="clear" w:color="auto" w:fill="auto"/>
            <w:hideMark/>
          </w:tcPr>
          <w:p w:rsidR="00BB3319" w:rsidRPr="006E4C26" w:rsidRDefault="00BB3319" w:rsidP="00BB3319">
            <w:pPr>
              <w:jc w:val="center"/>
              <w:rPr>
                <w:sz w:val="20"/>
                <w:lang w:eastAsia="fi-FI"/>
              </w:rPr>
            </w:pPr>
            <w:r w:rsidRPr="006E4C26">
              <w:rPr>
                <w:sz w:val="20"/>
                <w:lang w:eastAsia="fi-FI"/>
              </w:rPr>
              <w:t>14,06</w:t>
            </w:r>
          </w:p>
        </w:tc>
        <w:tc>
          <w:tcPr>
            <w:tcW w:w="1160" w:type="dxa"/>
            <w:shd w:val="clear" w:color="auto" w:fill="auto"/>
            <w:hideMark/>
          </w:tcPr>
          <w:p w:rsidR="00BB3319" w:rsidRPr="006E4C26" w:rsidRDefault="00BB3319" w:rsidP="00BB3319">
            <w:pPr>
              <w:jc w:val="center"/>
              <w:rPr>
                <w:sz w:val="20"/>
                <w:lang w:eastAsia="fi-FI"/>
              </w:rPr>
            </w:pPr>
            <w:r w:rsidRPr="006E4C26">
              <w:rPr>
                <w:sz w:val="20"/>
                <w:lang w:eastAsia="fi-FI"/>
              </w:rPr>
              <w:t>0,68</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61,49</w:t>
            </w:r>
          </w:p>
        </w:tc>
      </w:tr>
      <w:tr w:rsidR="006E4C26" w:rsidRPr="006E4C26" w:rsidTr="002525DB">
        <w:trPr>
          <w:trHeight w:val="260"/>
        </w:trPr>
        <w:tc>
          <w:tcPr>
            <w:tcW w:w="2540" w:type="dxa"/>
            <w:shd w:val="clear" w:color="auto" w:fill="auto"/>
            <w:hideMark/>
          </w:tcPr>
          <w:p w:rsidR="00BB3319" w:rsidRPr="006E4C26" w:rsidRDefault="00BB3319" w:rsidP="00BB3319">
            <w:pPr>
              <w:rPr>
                <w:sz w:val="20"/>
                <w:lang w:eastAsia="fi-FI"/>
              </w:rPr>
            </w:pPr>
            <w:proofErr w:type="spellStart"/>
            <w:r w:rsidRPr="006E4C26">
              <w:rPr>
                <w:sz w:val="20"/>
                <w:lang w:eastAsia="fi-FI"/>
              </w:rPr>
              <w:t>MTBE</w:t>
            </w:r>
            <w:proofErr w:type="spellEnd"/>
            <w:r w:rsidRPr="006E4C26">
              <w:rPr>
                <w:sz w:val="20"/>
                <w:lang w:eastAsia="fi-FI"/>
              </w:rPr>
              <w:t xml:space="preserve"> R </w:t>
            </w:r>
            <w:proofErr w:type="spellStart"/>
            <w:r w:rsidRPr="006E4C26">
              <w:rPr>
                <w:sz w:val="20"/>
                <w:lang w:eastAsia="fi-FI"/>
              </w:rPr>
              <w:t>snt</w:t>
            </w:r>
            <w:proofErr w:type="spellEnd"/>
            <w:r w:rsidRPr="006E4C26">
              <w:rPr>
                <w:sz w:val="20"/>
                <w:lang w:eastAsia="fi-FI"/>
              </w:rPr>
              <w:t>/l</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24</w:t>
            </w:r>
          </w:p>
        </w:tc>
        <w:tc>
          <w:tcPr>
            <w:tcW w:w="1178" w:type="dxa"/>
            <w:shd w:val="clear" w:color="auto" w:fill="auto"/>
            <w:hideMark/>
          </w:tcPr>
          <w:p w:rsidR="00BB3319" w:rsidRPr="006E4C26" w:rsidRDefault="00BB3319" w:rsidP="00BB3319">
            <w:pPr>
              <w:jc w:val="center"/>
              <w:rPr>
                <w:sz w:val="20"/>
                <w:lang w:eastAsia="fi-FI"/>
              </w:rPr>
            </w:pPr>
            <w:r w:rsidRPr="006E4C26">
              <w:rPr>
                <w:sz w:val="20"/>
                <w:lang w:eastAsia="fi-FI"/>
              </w:rPr>
              <w:t>46,75</w:t>
            </w:r>
          </w:p>
        </w:tc>
        <w:tc>
          <w:tcPr>
            <w:tcW w:w="1582" w:type="dxa"/>
            <w:shd w:val="clear" w:color="auto" w:fill="auto"/>
            <w:hideMark/>
          </w:tcPr>
          <w:p w:rsidR="00BB3319" w:rsidRPr="006E4C26" w:rsidRDefault="00BB3319" w:rsidP="00BB3319">
            <w:pPr>
              <w:jc w:val="center"/>
              <w:rPr>
                <w:sz w:val="20"/>
                <w:lang w:eastAsia="fi-FI"/>
              </w:rPr>
            </w:pPr>
            <w:r w:rsidRPr="006E4C26">
              <w:rPr>
                <w:sz w:val="20"/>
                <w:lang w:eastAsia="fi-FI"/>
              </w:rPr>
              <w:t>12,51</w:t>
            </w:r>
          </w:p>
        </w:tc>
        <w:tc>
          <w:tcPr>
            <w:tcW w:w="1160" w:type="dxa"/>
            <w:shd w:val="clear" w:color="auto" w:fill="auto"/>
            <w:hideMark/>
          </w:tcPr>
          <w:p w:rsidR="00BB3319" w:rsidRPr="006E4C26" w:rsidRDefault="00BB3319" w:rsidP="00BB3319">
            <w:pPr>
              <w:jc w:val="center"/>
              <w:rPr>
                <w:sz w:val="20"/>
                <w:lang w:eastAsia="fi-FI"/>
              </w:rPr>
            </w:pPr>
            <w:r w:rsidRPr="006E4C26">
              <w:rPr>
                <w:sz w:val="20"/>
                <w:lang w:eastAsia="fi-FI"/>
              </w:rPr>
              <w:t>0,68</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59,94</w:t>
            </w:r>
          </w:p>
        </w:tc>
      </w:tr>
      <w:tr w:rsidR="006E4C26" w:rsidRPr="006E4C26" w:rsidTr="002525DB">
        <w:trPr>
          <w:trHeight w:val="260"/>
        </w:trPr>
        <w:tc>
          <w:tcPr>
            <w:tcW w:w="2540" w:type="dxa"/>
            <w:shd w:val="clear" w:color="auto" w:fill="auto"/>
            <w:hideMark/>
          </w:tcPr>
          <w:p w:rsidR="00BB3319" w:rsidRPr="006E4C26" w:rsidRDefault="00BB3319" w:rsidP="00BB3319">
            <w:pPr>
              <w:rPr>
                <w:sz w:val="20"/>
                <w:lang w:eastAsia="fi-FI"/>
              </w:rPr>
            </w:pPr>
            <w:proofErr w:type="spellStart"/>
            <w:r w:rsidRPr="006E4C26">
              <w:rPr>
                <w:sz w:val="20"/>
                <w:lang w:eastAsia="fi-FI"/>
              </w:rPr>
              <w:t>MTBE</w:t>
            </w:r>
            <w:proofErr w:type="spellEnd"/>
            <w:r w:rsidRPr="006E4C26">
              <w:rPr>
                <w:sz w:val="20"/>
                <w:lang w:eastAsia="fi-FI"/>
              </w:rPr>
              <w:t xml:space="preserve"> T </w:t>
            </w:r>
            <w:proofErr w:type="spellStart"/>
            <w:r w:rsidRPr="006E4C26">
              <w:rPr>
                <w:sz w:val="20"/>
                <w:lang w:eastAsia="fi-FI"/>
              </w:rPr>
              <w:t>snt</w:t>
            </w:r>
            <w:proofErr w:type="spellEnd"/>
            <w:r w:rsidRPr="006E4C26">
              <w:rPr>
                <w:sz w:val="20"/>
                <w:lang w:eastAsia="fi-FI"/>
              </w:rPr>
              <w:t>/l</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25</w:t>
            </w:r>
          </w:p>
        </w:tc>
        <w:tc>
          <w:tcPr>
            <w:tcW w:w="1178" w:type="dxa"/>
            <w:shd w:val="clear" w:color="auto" w:fill="auto"/>
            <w:hideMark/>
          </w:tcPr>
          <w:p w:rsidR="00BB3319" w:rsidRPr="006E4C26" w:rsidRDefault="00BB3319" w:rsidP="00BB3319">
            <w:pPr>
              <w:jc w:val="center"/>
              <w:rPr>
                <w:sz w:val="20"/>
                <w:lang w:eastAsia="fi-FI"/>
              </w:rPr>
            </w:pPr>
            <w:r w:rsidRPr="006E4C26">
              <w:rPr>
                <w:sz w:val="20"/>
                <w:lang w:eastAsia="fi-FI"/>
              </w:rPr>
              <w:t>46,75</w:t>
            </w:r>
          </w:p>
        </w:tc>
        <w:tc>
          <w:tcPr>
            <w:tcW w:w="1582" w:type="dxa"/>
            <w:shd w:val="clear" w:color="auto" w:fill="auto"/>
            <w:hideMark/>
          </w:tcPr>
          <w:p w:rsidR="00BB3319" w:rsidRPr="006E4C26" w:rsidRDefault="00BB3319" w:rsidP="00BB3319">
            <w:pPr>
              <w:jc w:val="center"/>
              <w:rPr>
                <w:sz w:val="20"/>
                <w:lang w:eastAsia="fi-FI"/>
              </w:rPr>
            </w:pPr>
            <w:r w:rsidRPr="006E4C26">
              <w:rPr>
                <w:sz w:val="20"/>
                <w:lang w:eastAsia="fi-FI"/>
              </w:rPr>
              <w:t>10,96</w:t>
            </w:r>
          </w:p>
        </w:tc>
        <w:tc>
          <w:tcPr>
            <w:tcW w:w="1160" w:type="dxa"/>
            <w:shd w:val="clear" w:color="auto" w:fill="auto"/>
            <w:hideMark/>
          </w:tcPr>
          <w:p w:rsidR="00BB3319" w:rsidRPr="006E4C26" w:rsidRDefault="00BB3319" w:rsidP="00BB3319">
            <w:pPr>
              <w:jc w:val="center"/>
              <w:rPr>
                <w:sz w:val="20"/>
                <w:lang w:eastAsia="fi-FI"/>
              </w:rPr>
            </w:pPr>
            <w:r w:rsidRPr="006E4C26">
              <w:rPr>
                <w:sz w:val="20"/>
                <w:lang w:eastAsia="fi-FI"/>
              </w:rPr>
              <w:t>0,68</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58,39</w:t>
            </w:r>
          </w:p>
        </w:tc>
      </w:tr>
      <w:tr w:rsidR="006E4C26" w:rsidRPr="006E4C26" w:rsidTr="002525DB">
        <w:trPr>
          <w:trHeight w:val="260"/>
        </w:trPr>
        <w:tc>
          <w:tcPr>
            <w:tcW w:w="2540" w:type="dxa"/>
            <w:shd w:val="clear" w:color="auto" w:fill="auto"/>
            <w:hideMark/>
          </w:tcPr>
          <w:p w:rsidR="00BB3319" w:rsidRPr="006E4C26" w:rsidRDefault="00BB3319" w:rsidP="00BB3319">
            <w:pPr>
              <w:rPr>
                <w:sz w:val="20"/>
                <w:lang w:eastAsia="fi-FI"/>
              </w:rPr>
            </w:pPr>
            <w:proofErr w:type="spellStart"/>
            <w:r w:rsidRPr="006E4C26">
              <w:rPr>
                <w:sz w:val="20"/>
                <w:lang w:eastAsia="fi-FI"/>
              </w:rPr>
              <w:t>TAME</w:t>
            </w:r>
            <w:proofErr w:type="spellEnd"/>
            <w:r w:rsidRPr="006E4C26">
              <w:rPr>
                <w:sz w:val="20"/>
                <w:lang w:eastAsia="fi-FI"/>
              </w:rPr>
              <w:t xml:space="preserve"> </w:t>
            </w:r>
            <w:proofErr w:type="spellStart"/>
            <w:r w:rsidRPr="006E4C26">
              <w:rPr>
                <w:sz w:val="20"/>
                <w:lang w:eastAsia="fi-FI"/>
              </w:rPr>
              <w:t>snt</w:t>
            </w:r>
            <w:proofErr w:type="spellEnd"/>
            <w:r w:rsidRPr="006E4C26">
              <w:rPr>
                <w:sz w:val="20"/>
                <w:lang w:eastAsia="fi-FI"/>
              </w:rPr>
              <w:t>/l</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26</w:t>
            </w:r>
          </w:p>
        </w:tc>
        <w:tc>
          <w:tcPr>
            <w:tcW w:w="1178" w:type="dxa"/>
            <w:shd w:val="clear" w:color="auto" w:fill="auto"/>
            <w:hideMark/>
          </w:tcPr>
          <w:p w:rsidR="00BB3319" w:rsidRPr="006E4C26" w:rsidRDefault="00BB3319" w:rsidP="00BB3319">
            <w:pPr>
              <w:jc w:val="center"/>
              <w:rPr>
                <w:sz w:val="20"/>
                <w:lang w:eastAsia="fi-FI"/>
              </w:rPr>
            </w:pPr>
            <w:r w:rsidRPr="006E4C26">
              <w:rPr>
                <w:sz w:val="20"/>
                <w:lang w:eastAsia="fi-FI"/>
              </w:rPr>
              <w:t>50,34</w:t>
            </w:r>
          </w:p>
        </w:tc>
        <w:tc>
          <w:tcPr>
            <w:tcW w:w="1582" w:type="dxa"/>
            <w:shd w:val="clear" w:color="auto" w:fill="auto"/>
            <w:hideMark/>
          </w:tcPr>
          <w:p w:rsidR="00BB3319" w:rsidRPr="006E4C26" w:rsidRDefault="00BB3319" w:rsidP="00BB3319">
            <w:pPr>
              <w:jc w:val="center"/>
              <w:rPr>
                <w:sz w:val="20"/>
                <w:lang w:eastAsia="fi-FI"/>
              </w:rPr>
            </w:pPr>
            <w:r w:rsidRPr="006E4C26">
              <w:rPr>
                <w:sz w:val="20"/>
                <w:lang w:eastAsia="fi-FI"/>
              </w:rPr>
              <w:t>15,14</w:t>
            </w:r>
          </w:p>
        </w:tc>
        <w:tc>
          <w:tcPr>
            <w:tcW w:w="1160" w:type="dxa"/>
            <w:shd w:val="clear" w:color="auto" w:fill="auto"/>
            <w:hideMark/>
          </w:tcPr>
          <w:p w:rsidR="00BB3319" w:rsidRPr="006E4C26" w:rsidRDefault="00BB3319" w:rsidP="00BB3319">
            <w:pPr>
              <w:jc w:val="center"/>
              <w:rPr>
                <w:sz w:val="20"/>
                <w:lang w:eastAsia="fi-FI"/>
              </w:rPr>
            </w:pPr>
            <w:r w:rsidRPr="006E4C26">
              <w:rPr>
                <w:sz w:val="20"/>
                <w:lang w:eastAsia="fi-FI"/>
              </w:rPr>
              <w:t>0,68</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66,16</w:t>
            </w:r>
          </w:p>
        </w:tc>
      </w:tr>
      <w:tr w:rsidR="006E4C26" w:rsidRPr="006E4C26" w:rsidTr="002525DB">
        <w:trPr>
          <w:trHeight w:val="260"/>
        </w:trPr>
        <w:tc>
          <w:tcPr>
            <w:tcW w:w="2540" w:type="dxa"/>
            <w:shd w:val="clear" w:color="auto" w:fill="auto"/>
            <w:hideMark/>
          </w:tcPr>
          <w:p w:rsidR="00BB3319" w:rsidRPr="006E4C26" w:rsidRDefault="00BB3319" w:rsidP="00BB3319">
            <w:pPr>
              <w:rPr>
                <w:sz w:val="20"/>
                <w:lang w:eastAsia="fi-FI"/>
              </w:rPr>
            </w:pPr>
            <w:proofErr w:type="spellStart"/>
            <w:r w:rsidRPr="006E4C26">
              <w:rPr>
                <w:sz w:val="20"/>
                <w:lang w:eastAsia="fi-FI"/>
              </w:rPr>
              <w:t>TAME</w:t>
            </w:r>
            <w:proofErr w:type="spellEnd"/>
            <w:r w:rsidRPr="006E4C26">
              <w:rPr>
                <w:sz w:val="20"/>
                <w:lang w:eastAsia="fi-FI"/>
              </w:rPr>
              <w:t xml:space="preserve"> R </w:t>
            </w:r>
            <w:proofErr w:type="spellStart"/>
            <w:r w:rsidRPr="006E4C26">
              <w:rPr>
                <w:sz w:val="20"/>
                <w:lang w:eastAsia="fi-FI"/>
              </w:rPr>
              <w:t>snt</w:t>
            </w:r>
            <w:proofErr w:type="spellEnd"/>
            <w:r w:rsidRPr="006E4C26">
              <w:rPr>
                <w:sz w:val="20"/>
                <w:lang w:eastAsia="fi-FI"/>
              </w:rPr>
              <w:t>/l</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27</w:t>
            </w:r>
          </w:p>
        </w:tc>
        <w:tc>
          <w:tcPr>
            <w:tcW w:w="1178" w:type="dxa"/>
            <w:shd w:val="clear" w:color="auto" w:fill="auto"/>
            <w:hideMark/>
          </w:tcPr>
          <w:p w:rsidR="00BB3319" w:rsidRPr="006E4C26" w:rsidRDefault="00BB3319" w:rsidP="00BB3319">
            <w:pPr>
              <w:jc w:val="center"/>
              <w:rPr>
                <w:sz w:val="20"/>
                <w:lang w:eastAsia="fi-FI"/>
              </w:rPr>
            </w:pPr>
            <w:r w:rsidRPr="006E4C26">
              <w:rPr>
                <w:sz w:val="20"/>
                <w:lang w:eastAsia="fi-FI"/>
              </w:rPr>
              <w:t>50,34</w:t>
            </w:r>
          </w:p>
        </w:tc>
        <w:tc>
          <w:tcPr>
            <w:tcW w:w="1582" w:type="dxa"/>
            <w:shd w:val="clear" w:color="auto" w:fill="auto"/>
            <w:hideMark/>
          </w:tcPr>
          <w:p w:rsidR="00BB3319" w:rsidRPr="006E4C26" w:rsidRDefault="00BB3319" w:rsidP="00BB3319">
            <w:pPr>
              <w:jc w:val="center"/>
              <w:rPr>
                <w:sz w:val="20"/>
                <w:lang w:eastAsia="fi-FI"/>
              </w:rPr>
            </w:pPr>
            <w:r w:rsidRPr="006E4C26">
              <w:rPr>
                <w:sz w:val="20"/>
                <w:lang w:eastAsia="fi-FI"/>
              </w:rPr>
              <w:t>13,78</w:t>
            </w:r>
          </w:p>
        </w:tc>
        <w:tc>
          <w:tcPr>
            <w:tcW w:w="1160" w:type="dxa"/>
            <w:shd w:val="clear" w:color="auto" w:fill="auto"/>
            <w:hideMark/>
          </w:tcPr>
          <w:p w:rsidR="00BB3319" w:rsidRPr="006E4C26" w:rsidRDefault="00BB3319" w:rsidP="00BB3319">
            <w:pPr>
              <w:jc w:val="center"/>
              <w:rPr>
                <w:sz w:val="20"/>
                <w:lang w:eastAsia="fi-FI"/>
              </w:rPr>
            </w:pPr>
            <w:r w:rsidRPr="006E4C26">
              <w:rPr>
                <w:sz w:val="20"/>
                <w:lang w:eastAsia="fi-FI"/>
              </w:rPr>
              <w:t>0,68</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64,80</w:t>
            </w:r>
          </w:p>
        </w:tc>
      </w:tr>
      <w:tr w:rsidR="006E4C26" w:rsidRPr="006E4C26" w:rsidTr="002525DB">
        <w:trPr>
          <w:trHeight w:val="260"/>
        </w:trPr>
        <w:tc>
          <w:tcPr>
            <w:tcW w:w="2540" w:type="dxa"/>
            <w:shd w:val="clear" w:color="auto" w:fill="auto"/>
            <w:hideMark/>
          </w:tcPr>
          <w:p w:rsidR="00BB3319" w:rsidRPr="006E4C26" w:rsidRDefault="00BB3319" w:rsidP="00BB3319">
            <w:pPr>
              <w:rPr>
                <w:sz w:val="20"/>
                <w:lang w:eastAsia="fi-FI"/>
              </w:rPr>
            </w:pPr>
            <w:proofErr w:type="spellStart"/>
            <w:r w:rsidRPr="006E4C26">
              <w:rPr>
                <w:sz w:val="20"/>
                <w:lang w:eastAsia="fi-FI"/>
              </w:rPr>
              <w:t>TAME</w:t>
            </w:r>
            <w:proofErr w:type="spellEnd"/>
            <w:r w:rsidRPr="006E4C26">
              <w:rPr>
                <w:sz w:val="20"/>
                <w:lang w:eastAsia="fi-FI"/>
              </w:rPr>
              <w:t xml:space="preserve"> T </w:t>
            </w:r>
            <w:proofErr w:type="spellStart"/>
            <w:r w:rsidRPr="006E4C26">
              <w:rPr>
                <w:sz w:val="20"/>
                <w:lang w:eastAsia="fi-FI"/>
              </w:rPr>
              <w:t>snt</w:t>
            </w:r>
            <w:proofErr w:type="spellEnd"/>
            <w:r w:rsidRPr="006E4C26">
              <w:rPr>
                <w:sz w:val="20"/>
                <w:lang w:eastAsia="fi-FI"/>
              </w:rPr>
              <w:t>/l</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28</w:t>
            </w:r>
          </w:p>
        </w:tc>
        <w:tc>
          <w:tcPr>
            <w:tcW w:w="1178" w:type="dxa"/>
            <w:shd w:val="clear" w:color="auto" w:fill="auto"/>
            <w:hideMark/>
          </w:tcPr>
          <w:p w:rsidR="00BB3319" w:rsidRPr="006E4C26" w:rsidRDefault="00BB3319" w:rsidP="00BB3319">
            <w:pPr>
              <w:jc w:val="center"/>
              <w:rPr>
                <w:sz w:val="20"/>
                <w:lang w:eastAsia="fi-FI"/>
              </w:rPr>
            </w:pPr>
            <w:r w:rsidRPr="006E4C26">
              <w:rPr>
                <w:sz w:val="20"/>
                <w:lang w:eastAsia="fi-FI"/>
              </w:rPr>
              <w:t>50,34</w:t>
            </w:r>
          </w:p>
        </w:tc>
        <w:tc>
          <w:tcPr>
            <w:tcW w:w="1582" w:type="dxa"/>
            <w:shd w:val="clear" w:color="auto" w:fill="auto"/>
            <w:hideMark/>
          </w:tcPr>
          <w:p w:rsidR="00BB3319" w:rsidRPr="006E4C26" w:rsidRDefault="00BB3319" w:rsidP="00BB3319">
            <w:pPr>
              <w:jc w:val="center"/>
              <w:rPr>
                <w:sz w:val="20"/>
                <w:lang w:eastAsia="fi-FI"/>
              </w:rPr>
            </w:pPr>
            <w:r w:rsidRPr="006E4C26">
              <w:rPr>
                <w:sz w:val="20"/>
                <w:lang w:eastAsia="fi-FI"/>
              </w:rPr>
              <w:t>12,41</w:t>
            </w:r>
          </w:p>
        </w:tc>
        <w:tc>
          <w:tcPr>
            <w:tcW w:w="1160" w:type="dxa"/>
            <w:shd w:val="clear" w:color="auto" w:fill="auto"/>
            <w:hideMark/>
          </w:tcPr>
          <w:p w:rsidR="00BB3319" w:rsidRPr="006E4C26" w:rsidRDefault="00BB3319" w:rsidP="00BB3319">
            <w:pPr>
              <w:jc w:val="center"/>
              <w:rPr>
                <w:sz w:val="20"/>
                <w:lang w:eastAsia="fi-FI"/>
              </w:rPr>
            </w:pPr>
            <w:r w:rsidRPr="006E4C26">
              <w:rPr>
                <w:sz w:val="20"/>
                <w:lang w:eastAsia="fi-FI"/>
              </w:rPr>
              <w:t>0,68</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63,43</w:t>
            </w:r>
          </w:p>
        </w:tc>
      </w:tr>
      <w:tr w:rsidR="006E4C26" w:rsidRPr="006E4C26" w:rsidTr="002525DB">
        <w:trPr>
          <w:trHeight w:val="260"/>
        </w:trPr>
        <w:tc>
          <w:tcPr>
            <w:tcW w:w="2540" w:type="dxa"/>
            <w:shd w:val="clear" w:color="auto" w:fill="auto"/>
            <w:hideMark/>
          </w:tcPr>
          <w:p w:rsidR="00BB3319" w:rsidRPr="006E4C26" w:rsidRDefault="00BB3319" w:rsidP="00BB3319">
            <w:pPr>
              <w:rPr>
                <w:sz w:val="20"/>
                <w:lang w:eastAsia="fi-FI"/>
              </w:rPr>
            </w:pPr>
            <w:proofErr w:type="spellStart"/>
            <w:r w:rsidRPr="006E4C26">
              <w:rPr>
                <w:sz w:val="20"/>
                <w:lang w:eastAsia="fi-FI"/>
              </w:rPr>
              <w:t>ETBE</w:t>
            </w:r>
            <w:proofErr w:type="spellEnd"/>
            <w:r w:rsidRPr="006E4C26">
              <w:rPr>
                <w:sz w:val="20"/>
                <w:lang w:eastAsia="fi-FI"/>
              </w:rPr>
              <w:t xml:space="preserve"> </w:t>
            </w:r>
            <w:proofErr w:type="spellStart"/>
            <w:r w:rsidRPr="006E4C26">
              <w:rPr>
                <w:sz w:val="20"/>
                <w:lang w:eastAsia="fi-FI"/>
              </w:rPr>
              <w:t>snt</w:t>
            </w:r>
            <w:proofErr w:type="spellEnd"/>
            <w:r w:rsidRPr="006E4C26">
              <w:rPr>
                <w:sz w:val="20"/>
                <w:lang w:eastAsia="fi-FI"/>
              </w:rPr>
              <w:t>/l</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29</w:t>
            </w:r>
          </w:p>
        </w:tc>
        <w:tc>
          <w:tcPr>
            <w:tcW w:w="1178" w:type="dxa"/>
            <w:shd w:val="clear" w:color="auto" w:fill="auto"/>
            <w:hideMark/>
          </w:tcPr>
          <w:p w:rsidR="00BB3319" w:rsidRPr="006E4C26" w:rsidRDefault="00BB3319" w:rsidP="00BB3319">
            <w:pPr>
              <w:jc w:val="center"/>
              <w:rPr>
                <w:sz w:val="20"/>
                <w:lang w:eastAsia="fi-FI"/>
              </w:rPr>
            </w:pPr>
            <w:r w:rsidRPr="006E4C26">
              <w:rPr>
                <w:sz w:val="20"/>
                <w:lang w:eastAsia="fi-FI"/>
              </w:rPr>
              <w:t>48,55</w:t>
            </w:r>
          </w:p>
        </w:tc>
        <w:tc>
          <w:tcPr>
            <w:tcW w:w="1582" w:type="dxa"/>
            <w:shd w:val="clear" w:color="auto" w:fill="auto"/>
            <w:hideMark/>
          </w:tcPr>
          <w:p w:rsidR="00BB3319" w:rsidRPr="006E4C26" w:rsidRDefault="00BB3319" w:rsidP="00BB3319">
            <w:pPr>
              <w:jc w:val="center"/>
              <w:rPr>
                <w:sz w:val="20"/>
                <w:lang w:eastAsia="fi-FI"/>
              </w:rPr>
            </w:pPr>
            <w:r w:rsidRPr="006E4C26">
              <w:rPr>
                <w:sz w:val="20"/>
                <w:lang w:eastAsia="fi-FI"/>
              </w:rPr>
              <w:t>14,60</w:t>
            </w:r>
          </w:p>
        </w:tc>
        <w:tc>
          <w:tcPr>
            <w:tcW w:w="1160" w:type="dxa"/>
            <w:shd w:val="clear" w:color="auto" w:fill="auto"/>
            <w:hideMark/>
          </w:tcPr>
          <w:p w:rsidR="00BB3319" w:rsidRPr="006E4C26" w:rsidRDefault="00BB3319" w:rsidP="00BB3319">
            <w:pPr>
              <w:jc w:val="center"/>
              <w:rPr>
                <w:sz w:val="20"/>
                <w:lang w:eastAsia="fi-FI"/>
              </w:rPr>
            </w:pPr>
            <w:r w:rsidRPr="006E4C26">
              <w:rPr>
                <w:sz w:val="20"/>
                <w:lang w:eastAsia="fi-FI"/>
              </w:rPr>
              <w:t>0,68</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63,83</w:t>
            </w:r>
          </w:p>
        </w:tc>
      </w:tr>
      <w:tr w:rsidR="006E4C26" w:rsidRPr="006E4C26" w:rsidTr="002525DB">
        <w:trPr>
          <w:trHeight w:val="260"/>
        </w:trPr>
        <w:tc>
          <w:tcPr>
            <w:tcW w:w="2540" w:type="dxa"/>
            <w:shd w:val="clear" w:color="auto" w:fill="auto"/>
            <w:hideMark/>
          </w:tcPr>
          <w:p w:rsidR="00BB3319" w:rsidRPr="006E4C26" w:rsidRDefault="00BB3319" w:rsidP="00BB3319">
            <w:pPr>
              <w:rPr>
                <w:sz w:val="20"/>
                <w:lang w:eastAsia="fi-FI"/>
              </w:rPr>
            </w:pPr>
            <w:proofErr w:type="spellStart"/>
            <w:r w:rsidRPr="006E4C26">
              <w:rPr>
                <w:sz w:val="20"/>
                <w:lang w:eastAsia="fi-FI"/>
              </w:rPr>
              <w:t>ETBE</w:t>
            </w:r>
            <w:proofErr w:type="spellEnd"/>
            <w:r w:rsidRPr="006E4C26">
              <w:rPr>
                <w:sz w:val="20"/>
                <w:lang w:eastAsia="fi-FI"/>
              </w:rPr>
              <w:t xml:space="preserve"> R </w:t>
            </w:r>
            <w:proofErr w:type="spellStart"/>
            <w:r w:rsidRPr="006E4C26">
              <w:rPr>
                <w:sz w:val="20"/>
                <w:lang w:eastAsia="fi-FI"/>
              </w:rPr>
              <w:t>snt</w:t>
            </w:r>
            <w:proofErr w:type="spellEnd"/>
            <w:r w:rsidRPr="006E4C26">
              <w:rPr>
                <w:sz w:val="20"/>
                <w:lang w:eastAsia="fi-FI"/>
              </w:rPr>
              <w:t>/l</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30</w:t>
            </w:r>
          </w:p>
        </w:tc>
        <w:tc>
          <w:tcPr>
            <w:tcW w:w="1178" w:type="dxa"/>
            <w:shd w:val="clear" w:color="auto" w:fill="auto"/>
            <w:hideMark/>
          </w:tcPr>
          <w:p w:rsidR="00BB3319" w:rsidRPr="006E4C26" w:rsidRDefault="00BB3319" w:rsidP="00BB3319">
            <w:pPr>
              <w:jc w:val="center"/>
              <w:rPr>
                <w:sz w:val="20"/>
                <w:lang w:eastAsia="fi-FI"/>
              </w:rPr>
            </w:pPr>
            <w:r w:rsidRPr="006E4C26">
              <w:rPr>
                <w:sz w:val="20"/>
                <w:lang w:eastAsia="fi-FI"/>
              </w:rPr>
              <w:t>48,55</w:t>
            </w:r>
          </w:p>
        </w:tc>
        <w:tc>
          <w:tcPr>
            <w:tcW w:w="1582" w:type="dxa"/>
            <w:shd w:val="clear" w:color="auto" w:fill="auto"/>
            <w:hideMark/>
          </w:tcPr>
          <w:p w:rsidR="00BB3319" w:rsidRPr="006E4C26" w:rsidRDefault="00BB3319" w:rsidP="00BB3319">
            <w:pPr>
              <w:jc w:val="center"/>
              <w:rPr>
                <w:sz w:val="20"/>
                <w:lang w:eastAsia="fi-FI"/>
              </w:rPr>
            </w:pPr>
            <w:r w:rsidRPr="006E4C26">
              <w:rPr>
                <w:sz w:val="20"/>
                <w:lang w:eastAsia="fi-FI"/>
              </w:rPr>
              <w:t>11,90</w:t>
            </w:r>
          </w:p>
        </w:tc>
        <w:tc>
          <w:tcPr>
            <w:tcW w:w="1160" w:type="dxa"/>
            <w:shd w:val="clear" w:color="auto" w:fill="auto"/>
            <w:hideMark/>
          </w:tcPr>
          <w:p w:rsidR="00BB3319" w:rsidRPr="006E4C26" w:rsidRDefault="00BB3319" w:rsidP="00BB3319">
            <w:pPr>
              <w:jc w:val="center"/>
              <w:rPr>
                <w:sz w:val="20"/>
                <w:lang w:eastAsia="fi-FI"/>
              </w:rPr>
            </w:pPr>
            <w:r w:rsidRPr="006E4C26">
              <w:rPr>
                <w:sz w:val="20"/>
                <w:lang w:eastAsia="fi-FI"/>
              </w:rPr>
              <w:t>0,68</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61,13</w:t>
            </w:r>
          </w:p>
        </w:tc>
      </w:tr>
      <w:tr w:rsidR="006E4C26" w:rsidRPr="006E4C26" w:rsidTr="002525DB">
        <w:trPr>
          <w:trHeight w:val="260"/>
        </w:trPr>
        <w:tc>
          <w:tcPr>
            <w:tcW w:w="2540" w:type="dxa"/>
            <w:shd w:val="clear" w:color="auto" w:fill="auto"/>
            <w:hideMark/>
          </w:tcPr>
          <w:p w:rsidR="00BB3319" w:rsidRPr="006E4C26" w:rsidRDefault="00BB3319" w:rsidP="00BB3319">
            <w:pPr>
              <w:rPr>
                <w:sz w:val="20"/>
                <w:lang w:eastAsia="fi-FI"/>
              </w:rPr>
            </w:pPr>
            <w:proofErr w:type="spellStart"/>
            <w:r w:rsidRPr="006E4C26">
              <w:rPr>
                <w:sz w:val="20"/>
                <w:lang w:eastAsia="fi-FI"/>
              </w:rPr>
              <w:t>ETBE</w:t>
            </w:r>
            <w:proofErr w:type="spellEnd"/>
            <w:r w:rsidRPr="006E4C26">
              <w:rPr>
                <w:sz w:val="20"/>
                <w:lang w:eastAsia="fi-FI"/>
              </w:rPr>
              <w:t xml:space="preserve"> T </w:t>
            </w:r>
            <w:proofErr w:type="spellStart"/>
            <w:r w:rsidRPr="006E4C26">
              <w:rPr>
                <w:sz w:val="20"/>
                <w:lang w:eastAsia="fi-FI"/>
              </w:rPr>
              <w:t>snt</w:t>
            </w:r>
            <w:proofErr w:type="spellEnd"/>
            <w:r w:rsidRPr="006E4C26">
              <w:rPr>
                <w:sz w:val="20"/>
                <w:lang w:eastAsia="fi-FI"/>
              </w:rPr>
              <w:t>/l</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31</w:t>
            </w:r>
          </w:p>
        </w:tc>
        <w:tc>
          <w:tcPr>
            <w:tcW w:w="1178" w:type="dxa"/>
            <w:shd w:val="clear" w:color="auto" w:fill="auto"/>
            <w:hideMark/>
          </w:tcPr>
          <w:p w:rsidR="00BB3319" w:rsidRPr="006E4C26" w:rsidRDefault="00BB3319" w:rsidP="00BB3319">
            <w:pPr>
              <w:jc w:val="center"/>
              <w:rPr>
                <w:sz w:val="20"/>
                <w:lang w:eastAsia="fi-FI"/>
              </w:rPr>
            </w:pPr>
            <w:r w:rsidRPr="006E4C26">
              <w:rPr>
                <w:sz w:val="20"/>
                <w:lang w:eastAsia="fi-FI"/>
              </w:rPr>
              <w:t>48,55</w:t>
            </w:r>
          </w:p>
        </w:tc>
        <w:tc>
          <w:tcPr>
            <w:tcW w:w="1582" w:type="dxa"/>
            <w:shd w:val="clear" w:color="auto" w:fill="auto"/>
            <w:hideMark/>
          </w:tcPr>
          <w:p w:rsidR="00BB3319" w:rsidRPr="006E4C26" w:rsidRDefault="00BB3319" w:rsidP="00BB3319">
            <w:pPr>
              <w:jc w:val="center"/>
              <w:rPr>
                <w:sz w:val="20"/>
                <w:lang w:eastAsia="fi-FI"/>
              </w:rPr>
            </w:pPr>
            <w:r w:rsidRPr="006E4C26">
              <w:rPr>
                <w:sz w:val="20"/>
                <w:lang w:eastAsia="fi-FI"/>
              </w:rPr>
              <w:t>9,20</w:t>
            </w:r>
          </w:p>
        </w:tc>
        <w:tc>
          <w:tcPr>
            <w:tcW w:w="1160" w:type="dxa"/>
            <w:shd w:val="clear" w:color="auto" w:fill="auto"/>
            <w:hideMark/>
          </w:tcPr>
          <w:p w:rsidR="00BB3319" w:rsidRPr="006E4C26" w:rsidRDefault="00BB3319" w:rsidP="00BB3319">
            <w:pPr>
              <w:jc w:val="center"/>
              <w:rPr>
                <w:sz w:val="20"/>
                <w:lang w:eastAsia="fi-FI"/>
              </w:rPr>
            </w:pPr>
            <w:r w:rsidRPr="006E4C26">
              <w:rPr>
                <w:sz w:val="20"/>
                <w:lang w:eastAsia="fi-FI"/>
              </w:rPr>
              <w:t>0,68</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58,43</w:t>
            </w:r>
          </w:p>
        </w:tc>
      </w:tr>
      <w:tr w:rsidR="006E4C26" w:rsidRPr="006E4C26" w:rsidTr="002525DB">
        <w:trPr>
          <w:trHeight w:val="260"/>
        </w:trPr>
        <w:tc>
          <w:tcPr>
            <w:tcW w:w="2540" w:type="dxa"/>
            <w:shd w:val="clear" w:color="auto" w:fill="auto"/>
            <w:hideMark/>
          </w:tcPr>
          <w:p w:rsidR="00BB3319" w:rsidRPr="006E4C26" w:rsidRDefault="00BB3319" w:rsidP="00BB3319">
            <w:pPr>
              <w:rPr>
                <w:sz w:val="20"/>
                <w:lang w:eastAsia="fi-FI"/>
              </w:rPr>
            </w:pPr>
            <w:proofErr w:type="spellStart"/>
            <w:r w:rsidRPr="006E4C26">
              <w:rPr>
                <w:sz w:val="20"/>
                <w:lang w:eastAsia="fi-FI"/>
              </w:rPr>
              <w:t>TAEE</w:t>
            </w:r>
            <w:proofErr w:type="spellEnd"/>
            <w:r w:rsidRPr="006E4C26">
              <w:rPr>
                <w:sz w:val="20"/>
                <w:lang w:eastAsia="fi-FI"/>
              </w:rPr>
              <w:t xml:space="preserve"> </w:t>
            </w:r>
            <w:proofErr w:type="spellStart"/>
            <w:r w:rsidRPr="006E4C26">
              <w:rPr>
                <w:sz w:val="20"/>
                <w:lang w:eastAsia="fi-FI"/>
              </w:rPr>
              <w:t>snt</w:t>
            </w:r>
            <w:proofErr w:type="spellEnd"/>
            <w:r w:rsidRPr="006E4C26">
              <w:rPr>
                <w:sz w:val="20"/>
                <w:lang w:eastAsia="fi-FI"/>
              </w:rPr>
              <w:t>/l</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32</w:t>
            </w:r>
          </w:p>
        </w:tc>
        <w:tc>
          <w:tcPr>
            <w:tcW w:w="1178" w:type="dxa"/>
            <w:shd w:val="clear" w:color="auto" w:fill="auto"/>
            <w:hideMark/>
          </w:tcPr>
          <w:p w:rsidR="00BB3319" w:rsidRPr="006E4C26" w:rsidRDefault="00BB3319" w:rsidP="00BB3319">
            <w:pPr>
              <w:jc w:val="center"/>
              <w:rPr>
                <w:sz w:val="20"/>
                <w:lang w:eastAsia="fi-FI"/>
              </w:rPr>
            </w:pPr>
            <w:r w:rsidRPr="006E4C26">
              <w:rPr>
                <w:sz w:val="20"/>
                <w:lang w:eastAsia="fi-FI"/>
              </w:rPr>
              <w:t>52,14</w:t>
            </w:r>
          </w:p>
        </w:tc>
        <w:tc>
          <w:tcPr>
            <w:tcW w:w="1582" w:type="dxa"/>
            <w:shd w:val="clear" w:color="auto" w:fill="auto"/>
            <w:hideMark/>
          </w:tcPr>
          <w:p w:rsidR="00BB3319" w:rsidRPr="006E4C26" w:rsidRDefault="00BB3319" w:rsidP="00BB3319">
            <w:pPr>
              <w:jc w:val="center"/>
              <w:rPr>
                <w:sz w:val="20"/>
                <w:lang w:eastAsia="fi-FI"/>
              </w:rPr>
            </w:pPr>
            <w:r w:rsidRPr="006E4C26">
              <w:rPr>
                <w:sz w:val="20"/>
                <w:lang w:eastAsia="fi-FI"/>
              </w:rPr>
              <w:t>15,68</w:t>
            </w:r>
          </w:p>
        </w:tc>
        <w:tc>
          <w:tcPr>
            <w:tcW w:w="1160" w:type="dxa"/>
            <w:shd w:val="clear" w:color="auto" w:fill="auto"/>
            <w:hideMark/>
          </w:tcPr>
          <w:p w:rsidR="00BB3319" w:rsidRPr="006E4C26" w:rsidRDefault="00BB3319" w:rsidP="00BB3319">
            <w:pPr>
              <w:jc w:val="center"/>
              <w:rPr>
                <w:sz w:val="20"/>
                <w:lang w:eastAsia="fi-FI"/>
              </w:rPr>
            </w:pPr>
            <w:r w:rsidRPr="006E4C26">
              <w:rPr>
                <w:sz w:val="20"/>
                <w:lang w:eastAsia="fi-FI"/>
              </w:rPr>
              <w:t>0,68</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68,50</w:t>
            </w:r>
          </w:p>
        </w:tc>
      </w:tr>
      <w:tr w:rsidR="006E4C26" w:rsidRPr="006E4C26" w:rsidTr="002525DB">
        <w:trPr>
          <w:trHeight w:val="260"/>
        </w:trPr>
        <w:tc>
          <w:tcPr>
            <w:tcW w:w="2540" w:type="dxa"/>
            <w:shd w:val="clear" w:color="auto" w:fill="auto"/>
            <w:hideMark/>
          </w:tcPr>
          <w:p w:rsidR="00BB3319" w:rsidRPr="006E4C26" w:rsidRDefault="00BB3319" w:rsidP="00BB3319">
            <w:pPr>
              <w:rPr>
                <w:sz w:val="20"/>
                <w:lang w:eastAsia="fi-FI"/>
              </w:rPr>
            </w:pPr>
            <w:proofErr w:type="spellStart"/>
            <w:r w:rsidRPr="006E4C26">
              <w:rPr>
                <w:sz w:val="20"/>
                <w:lang w:eastAsia="fi-FI"/>
              </w:rPr>
              <w:t>TAEE</w:t>
            </w:r>
            <w:proofErr w:type="spellEnd"/>
            <w:r w:rsidRPr="006E4C26">
              <w:rPr>
                <w:sz w:val="20"/>
                <w:lang w:eastAsia="fi-FI"/>
              </w:rPr>
              <w:t xml:space="preserve"> R </w:t>
            </w:r>
            <w:proofErr w:type="spellStart"/>
            <w:r w:rsidRPr="006E4C26">
              <w:rPr>
                <w:sz w:val="20"/>
                <w:lang w:eastAsia="fi-FI"/>
              </w:rPr>
              <w:t>snt</w:t>
            </w:r>
            <w:proofErr w:type="spellEnd"/>
            <w:r w:rsidRPr="006E4C26">
              <w:rPr>
                <w:sz w:val="20"/>
                <w:lang w:eastAsia="fi-FI"/>
              </w:rPr>
              <w:t>/l</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33</w:t>
            </w:r>
          </w:p>
        </w:tc>
        <w:tc>
          <w:tcPr>
            <w:tcW w:w="1178" w:type="dxa"/>
            <w:shd w:val="clear" w:color="auto" w:fill="auto"/>
            <w:hideMark/>
          </w:tcPr>
          <w:p w:rsidR="00BB3319" w:rsidRPr="006E4C26" w:rsidRDefault="00BB3319" w:rsidP="00BB3319">
            <w:pPr>
              <w:jc w:val="center"/>
              <w:rPr>
                <w:sz w:val="20"/>
                <w:lang w:eastAsia="fi-FI"/>
              </w:rPr>
            </w:pPr>
            <w:r w:rsidRPr="006E4C26">
              <w:rPr>
                <w:sz w:val="20"/>
                <w:lang w:eastAsia="fi-FI"/>
              </w:rPr>
              <w:t>52,14</w:t>
            </w:r>
          </w:p>
        </w:tc>
        <w:tc>
          <w:tcPr>
            <w:tcW w:w="1582" w:type="dxa"/>
            <w:shd w:val="clear" w:color="auto" w:fill="auto"/>
            <w:hideMark/>
          </w:tcPr>
          <w:p w:rsidR="00BB3319" w:rsidRPr="006E4C26" w:rsidRDefault="00BB3319" w:rsidP="00BB3319">
            <w:pPr>
              <w:jc w:val="center"/>
              <w:rPr>
                <w:sz w:val="20"/>
                <w:lang w:eastAsia="fi-FI"/>
              </w:rPr>
            </w:pPr>
            <w:r w:rsidRPr="006E4C26">
              <w:rPr>
                <w:sz w:val="20"/>
                <w:lang w:eastAsia="fi-FI"/>
              </w:rPr>
              <w:t>13,41</w:t>
            </w:r>
          </w:p>
        </w:tc>
        <w:tc>
          <w:tcPr>
            <w:tcW w:w="1160" w:type="dxa"/>
            <w:shd w:val="clear" w:color="auto" w:fill="auto"/>
            <w:hideMark/>
          </w:tcPr>
          <w:p w:rsidR="00BB3319" w:rsidRPr="006E4C26" w:rsidRDefault="00BB3319" w:rsidP="00BB3319">
            <w:pPr>
              <w:jc w:val="center"/>
              <w:rPr>
                <w:sz w:val="20"/>
                <w:lang w:eastAsia="fi-FI"/>
              </w:rPr>
            </w:pPr>
            <w:r w:rsidRPr="006E4C26">
              <w:rPr>
                <w:sz w:val="20"/>
                <w:lang w:eastAsia="fi-FI"/>
              </w:rPr>
              <w:t>0,68</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66,23</w:t>
            </w:r>
          </w:p>
        </w:tc>
      </w:tr>
      <w:tr w:rsidR="006E4C26" w:rsidRPr="006E4C26" w:rsidTr="002525DB">
        <w:trPr>
          <w:trHeight w:val="260"/>
        </w:trPr>
        <w:tc>
          <w:tcPr>
            <w:tcW w:w="2540" w:type="dxa"/>
            <w:shd w:val="clear" w:color="auto" w:fill="auto"/>
            <w:hideMark/>
          </w:tcPr>
          <w:p w:rsidR="00BB3319" w:rsidRPr="006E4C26" w:rsidRDefault="00BB3319" w:rsidP="00BB3319">
            <w:pPr>
              <w:rPr>
                <w:sz w:val="20"/>
                <w:lang w:eastAsia="fi-FI"/>
              </w:rPr>
            </w:pPr>
            <w:proofErr w:type="spellStart"/>
            <w:r w:rsidRPr="006E4C26">
              <w:rPr>
                <w:sz w:val="20"/>
                <w:lang w:eastAsia="fi-FI"/>
              </w:rPr>
              <w:t>TAEE</w:t>
            </w:r>
            <w:proofErr w:type="spellEnd"/>
            <w:r w:rsidRPr="006E4C26">
              <w:rPr>
                <w:sz w:val="20"/>
                <w:lang w:eastAsia="fi-FI"/>
              </w:rPr>
              <w:t xml:space="preserve"> T </w:t>
            </w:r>
            <w:proofErr w:type="spellStart"/>
            <w:r w:rsidRPr="006E4C26">
              <w:rPr>
                <w:sz w:val="20"/>
                <w:lang w:eastAsia="fi-FI"/>
              </w:rPr>
              <w:t>snt</w:t>
            </w:r>
            <w:proofErr w:type="spellEnd"/>
            <w:r w:rsidRPr="006E4C26">
              <w:rPr>
                <w:sz w:val="20"/>
                <w:lang w:eastAsia="fi-FI"/>
              </w:rPr>
              <w:t>/l</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34</w:t>
            </w:r>
          </w:p>
        </w:tc>
        <w:tc>
          <w:tcPr>
            <w:tcW w:w="1178" w:type="dxa"/>
            <w:shd w:val="clear" w:color="auto" w:fill="auto"/>
            <w:hideMark/>
          </w:tcPr>
          <w:p w:rsidR="00BB3319" w:rsidRPr="006E4C26" w:rsidRDefault="00BB3319" w:rsidP="00BB3319">
            <w:pPr>
              <w:jc w:val="center"/>
              <w:rPr>
                <w:sz w:val="20"/>
                <w:lang w:eastAsia="fi-FI"/>
              </w:rPr>
            </w:pPr>
            <w:r w:rsidRPr="006E4C26">
              <w:rPr>
                <w:sz w:val="20"/>
                <w:lang w:eastAsia="fi-FI"/>
              </w:rPr>
              <w:t>52,14</w:t>
            </w:r>
          </w:p>
        </w:tc>
        <w:tc>
          <w:tcPr>
            <w:tcW w:w="1582" w:type="dxa"/>
            <w:shd w:val="clear" w:color="auto" w:fill="auto"/>
            <w:hideMark/>
          </w:tcPr>
          <w:p w:rsidR="00BB3319" w:rsidRPr="006E4C26" w:rsidRDefault="00BB3319" w:rsidP="00BB3319">
            <w:pPr>
              <w:jc w:val="center"/>
              <w:rPr>
                <w:sz w:val="20"/>
                <w:lang w:eastAsia="fi-FI"/>
              </w:rPr>
            </w:pPr>
            <w:r w:rsidRPr="006E4C26">
              <w:rPr>
                <w:sz w:val="20"/>
                <w:lang w:eastAsia="fi-FI"/>
              </w:rPr>
              <w:t>11,13</w:t>
            </w:r>
          </w:p>
        </w:tc>
        <w:tc>
          <w:tcPr>
            <w:tcW w:w="1160" w:type="dxa"/>
            <w:shd w:val="clear" w:color="auto" w:fill="auto"/>
            <w:hideMark/>
          </w:tcPr>
          <w:p w:rsidR="00BB3319" w:rsidRPr="006E4C26" w:rsidRDefault="00BB3319" w:rsidP="00BB3319">
            <w:pPr>
              <w:jc w:val="center"/>
              <w:rPr>
                <w:sz w:val="20"/>
                <w:lang w:eastAsia="fi-FI"/>
              </w:rPr>
            </w:pPr>
            <w:r w:rsidRPr="006E4C26">
              <w:rPr>
                <w:sz w:val="20"/>
                <w:lang w:eastAsia="fi-FI"/>
              </w:rPr>
              <w:t>0,68</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63,95</w:t>
            </w:r>
          </w:p>
        </w:tc>
      </w:tr>
      <w:tr w:rsidR="006E4C26" w:rsidRPr="006E4C26" w:rsidTr="002525DB">
        <w:trPr>
          <w:trHeight w:val="260"/>
        </w:trPr>
        <w:tc>
          <w:tcPr>
            <w:tcW w:w="2540" w:type="dxa"/>
            <w:shd w:val="clear" w:color="auto" w:fill="auto"/>
            <w:hideMark/>
          </w:tcPr>
          <w:p w:rsidR="00BB3319" w:rsidRPr="006E4C26" w:rsidRDefault="00BB3319" w:rsidP="00BB3319">
            <w:pPr>
              <w:rPr>
                <w:sz w:val="20"/>
                <w:lang w:eastAsia="fi-FI"/>
              </w:rPr>
            </w:pPr>
            <w:r w:rsidRPr="006E4C26">
              <w:rPr>
                <w:sz w:val="20"/>
                <w:lang w:eastAsia="fi-FI"/>
              </w:rPr>
              <w:t xml:space="preserve">Biobensiini </w:t>
            </w:r>
            <w:proofErr w:type="spellStart"/>
            <w:r w:rsidRPr="006E4C26">
              <w:rPr>
                <w:sz w:val="20"/>
                <w:lang w:eastAsia="fi-FI"/>
              </w:rPr>
              <w:t>snt</w:t>
            </w:r>
            <w:proofErr w:type="spellEnd"/>
            <w:r w:rsidRPr="006E4C26">
              <w:rPr>
                <w:sz w:val="20"/>
                <w:lang w:eastAsia="fi-FI"/>
              </w:rPr>
              <w:t>/l</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38</w:t>
            </w:r>
          </w:p>
        </w:tc>
        <w:tc>
          <w:tcPr>
            <w:tcW w:w="1178" w:type="dxa"/>
            <w:shd w:val="clear" w:color="auto" w:fill="auto"/>
            <w:hideMark/>
          </w:tcPr>
          <w:p w:rsidR="00BB3319" w:rsidRPr="006E4C26" w:rsidRDefault="00BB3319" w:rsidP="00BB3319">
            <w:pPr>
              <w:jc w:val="center"/>
              <w:rPr>
                <w:sz w:val="20"/>
                <w:lang w:eastAsia="fi-FI"/>
              </w:rPr>
            </w:pPr>
            <w:r w:rsidRPr="006E4C26">
              <w:rPr>
                <w:sz w:val="20"/>
                <w:lang w:eastAsia="fi-FI"/>
              </w:rPr>
              <w:t>57,54</w:t>
            </w:r>
          </w:p>
        </w:tc>
        <w:tc>
          <w:tcPr>
            <w:tcW w:w="1582" w:type="dxa"/>
            <w:shd w:val="clear" w:color="auto" w:fill="auto"/>
            <w:hideMark/>
          </w:tcPr>
          <w:p w:rsidR="00BB3319" w:rsidRPr="006E4C26" w:rsidRDefault="00BB3319" w:rsidP="00BB3319">
            <w:pPr>
              <w:jc w:val="center"/>
              <w:rPr>
                <w:sz w:val="20"/>
                <w:lang w:eastAsia="fi-FI"/>
              </w:rPr>
            </w:pPr>
            <w:r w:rsidRPr="006E4C26">
              <w:rPr>
                <w:sz w:val="20"/>
                <w:lang w:eastAsia="fi-FI"/>
              </w:rPr>
              <w:t>17,30</w:t>
            </w:r>
          </w:p>
        </w:tc>
        <w:tc>
          <w:tcPr>
            <w:tcW w:w="1160" w:type="dxa"/>
            <w:shd w:val="clear" w:color="auto" w:fill="auto"/>
            <w:hideMark/>
          </w:tcPr>
          <w:p w:rsidR="00BB3319" w:rsidRPr="006E4C26" w:rsidRDefault="00BB3319" w:rsidP="00BB3319">
            <w:pPr>
              <w:jc w:val="center"/>
              <w:rPr>
                <w:sz w:val="20"/>
                <w:lang w:eastAsia="fi-FI"/>
              </w:rPr>
            </w:pPr>
            <w:r w:rsidRPr="006E4C26">
              <w:rPr>
                <w:sz w:val="20"/>
                <w:lang w:eastAsia="fi-FI"/>
              </w:rPr>
              <w:t>0,68</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75,52</w:t>
            </w:r>
          </w:p>
        </w:tc>
      </w:tr>
      <w:tr w:rsidR="006E4C26" w:rsidRPr="006E4C26" w:rsidTr="002525DB">
        <w:trPr>
          <w:trHeight w:val="260"/>
        </w:trPr>
        <w:tc>
          <w:tcPr>
            <w:tcW w:w="2540" w:type="dxa"/>
            <w:shd w:val="clear" w:color="auto" w:fill="auto"/>
            <w:hideMark/>
          </w:tcPr>
          <w:p w:rsidR="00BB3319" w:rsidRPr="006E4C26" w:rsidRDefault="00BB3319" w:rsidP="00BB3319">
            <w:pPr>
              <w:rPr>
                <w:sz w:val="20"/>
                <w:lang w:eastAsia="fi-FI"/>
              </w:rPr>
            </w:pPr>
            <w:r w:rsidRPr="006E4C26">
              <w:rPr>
                <w:sz w:val="20"/>
                <w:lang w:eastAsia="fi-FI"/>
              </w:rPr>
              <w:t xml:space="preserve">Biobensiini R </w:t>
            </w:r>
            <w:proofErr w:type="spellStart"/>
            <w:r w:rsidRPr="006E4C26">
              <w:rPr>
                <w:sz w:val="20"/>
                <w:lang w:eastAsia="fi-FI"/>
              </w:rPr>
              <w:t>snt</w:t>
            </w:r>
            <w:proofErr w:type="spellEnd"/>
            <w:r w:rsidRPr="006E4C26">
              <w:rPr>
                <w:sz w:val="20"/>
                <w:lang w:eastAsia="fi-FI"/>
              </w:rPr>
              <w:t>/l</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39</w:t>
            </w:r>
          </w:p>
        </w:tc>
        <w:tc>
          <w:tcPr>
            <w:tcW w:w="1178" w:type="dxa"/>
            <w:shd w:val="clear" w:color="auto" w:fill="auto"/>
            <w:hideMark/>
          </w:tcPr>
          <w:p w:rsidR="00BB3319" w:rsidRPr="006E4C26" w:rsidRDefault="00BB3319" w:rsidP="00BB3319">
            <w:pPr>
              <w:jc w:val="center"/>
              <w:rPr>
                <w:sz w:val="20"/>
                <w:lang w:eastAsia="fi-FI"/>
              </w:rPr>
            </w:pPr>
            <w:r w:rsidRPr="006E4C26">
              <w:rPr>
                <w:sz w:val="20"/>
                <w:lang w:eastAsia="fi-FI"/>
              </w:rPr>
              <w:t>57,54</w:t>
            </w:r>
          </w:p>
        </w:tc>
        <w:tc>
          <w:tcPr>
            <w:tcW w:w="1582" w:type="dxa"/>
            <w:shd w:val="clear" w:color="auto" w:fill="auto"/>
            <w:hideMark/>
          </w:tcPr>
          <w:p w:rsidR="00BB3319" w:rsidRPr="006E4C26" w:rsidRDefault="00BB3319" w:rsidP="00BB3319">
            <w:pPr>
              <w:jc w:val="center"/>
              <w:rPr>
                <w:sz w:val="20"/>
                <w:lang w:eastAsia="fi-FI"/>
              </w:rPr>
            </w:pPr>
            <w:r w:rsidRPr="006E4C26">
              <w:rPr>
                <w:sz w:val="20"/>
                <w:lang w:eastAsia="fi-FI"/>
              </w:rPr>
              <w:t>8,65</w:t>
            </w:r>
          </w:p>
        </w:tc>
        <w:tc>
          <w:tcPr>
            <w:tcW w:w="1160" w:type="dxa"/>
            <w:shd w:val="clear" w:color="auto" w:fill="auto"/>
            <w:hideMark/>
          </w:tcPr>
          <w:p w:rsidR="00BB3319" w:rsidRPr="006E4C26" w:rsidRDefault="00BB3319" w:rsidP="00BB3319">
            <w:pPr>
              <w:jc w:val="center"/>
              <w:rPr>
                <w:sz w:val="20"/>
                <w:lang w:eastAsia="fi-FI"/>
              </w:rPr>
            </w:pPr>
            <w:r w:rsidRPr="006E4C26">
              <w:rPr>
                <w:sz w:val="20"/>
                <w:lang w:eastAsia="fi-FI"/>
              </w:rPr>
              <w:t>0,68</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66,87</w:t>
            </w:r>
          </w:p>
        </w:tc>
      </w:tr>
      <w:tr w:rsidR="006E4C26" w:rsidRPr="006E4C26" w:rsidTr="002525DB">
        <w:trPr>
          <w:trHeight w:val="260"/>
        </w:trPr>
        <w:tc>
          <w:tcPr>
            <w:tcW w:w="2540" w:type="dxa"/>
            <w:shd w:val="clear" w:color="auto" w:fill="auto"/>
            <w:hideMark/>
          </w:tcPr>
          <w:p w:rsidR="00BB3319" w:rsidRPr="006E4C26" w:rsidRDefault="00BB3319" w:rsidP="00BB3319">
            <w:pPr>
              <w:rPr>
                <w:sz w:val="20"/>
                <w:lang w:eastAsia="fi-FI"/>
              </w:rPr>
            </w:pPr>
            <w:r w:rsidRPr="006E4C26">
              <w:rPr>
                <w:sz w:val="20"/>
                <w:lang w:eastAsia="fi-FI"/>
              </w:rPr>
              <w:t xml:space="preserve">Biobensiini T </w:t>
            </w:r>
            <w:proofErr w:type="spellStart"/>
            <w:r w:rsidRPr="006E4C26">
              <w:rPr>
                <w:sz w:val="20"/>
                <w:lang w:eastAsia="fi-FI"/>
              </w:rPr>
              <w:t>snt</w:t>
            </w:r>
            <w:proofErr w:type="spellEnd"/>
            <w:r w:rsidRPr="006E4C26">
              <w:rPr>
                <w:sz w:val="20"/>
                <w:lang w:eastAsia="fi-FI"/>
              </w:rPr>
              <w:t>/l</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40</w:t>
            </w:r>
          </w:p>
        </w:tc>
        <w:tc>
          <w:tcPr>
            <w:tcW w:w="1178" w:type="dxa"/>
            <w:shd w:val="clear" w:color="auto" w:fill="auto"/>
            <w:hideMark/>
          </w:tcPr>
          <w:p w:rsidR="00BB3319" w:rsidRPr="006E4C26" w:rsidRDefault="00BB3319" w:rsidP="00BB3319">
            <w:pPr>
              <w:jc w:val="center"/>
              <w:rPr>
                <w:sz w:val="20"/>
                <w:lang w:eastAsia="fi-FI"/>
              </w:rPr>
            </w:pPr>
            <w:r w:rsidRPr="006E4C26">
              <w:rPr>
                <w:sz w:val="20"/>
                <w:lang w:eastAsia="fi-FI"/>
              </w:rPr>
              <w:t>57,54</w:t>
            </w:r>
          </w:p>
        </w:tc>
        <w:tc>
          <w:tcPr>
            <w:tcW w:w="1582" w:type="dxa"/>
            <w:shd w:val="clear" w:color="auto" w:fill="auto"/>
            <w:hideMark/>
          </w:tcPr>
          <w:p w:rsidR="00BB3319" w:rsidRPr="006E4C26" w:rsidRDefault="00BB3319" w:rsidP="00BB3319">
            <w:pPr>
              <w:jc w:val="center"/>
              <w:rPr>
                <w:sz w:val="20"/>
                <w:lang w:eastAsia="fi-FI"/>
              </w:rPr>
            </w:pPr>
            <w:r w:rsidRPr="006E4C26">
              <w:rPr>
                <w:sz w:val="20"/>
                <w:lang w:eastAsia="fi-FI"/>
              </w:rPr>
              <w:t>0,00</w:t>
            </w:r>
          </w:p>
        </w:tc>
        <w:tc>
          <w:tcPr>
            <w:tcW w:w="1160" w:type="dxa"/>
            <w:shd w:val="clear" w:color="auto" w:fill="auto"/>
            <w:hideMark/>
          </w:tcPr>
          <w:p w:rsidR="00BB3319" w:rsidRPr="006E4C26" w:rsidRDefault="00BB3319" w:rsidP="00BB3319">
            <w:pPr>
              <w:jc w:val="center"/>
              <w:rPr>
                <w:sz w:val="20"/>
                <w:lang w:eastAsia="fi-FI"/>
              </w:rPr>
            </w:pPr>
            <w:r w:rsidRPr="006E4C26">
              <w:rPr>
                <w:sz w:val="20"/>
                <w:lang w:eastAsia="fi-FI"/>
              </w:rPr>
              <w:t>0,68</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58,22</w:t>
            </w:r>
          </w:p>
        </w:tc>
      </w:tr>
      <w:tr w:rsidR="006E4C26" w:rsidRPr="006E4C26" w:rsidTr="002525DB">
        <w:trPr>
          <w:trHeight w:val="260"/>
        </w:trPr>
        <w:tc>
          <w:tcPr>
            <w:tcW w:w="2540" w:type="dxa"/>
            <w:shd w:val="clear" w:color="auto" w:fill="auto"/>
            <w:hideMark/>
          </w:tcPr>
          <w:p w:rsidR="00BB3319" w:rsidRPr="006E4C26" w:rsidRDefault="00BB3319" w:rsidP="00BB3319">
            <w:pPr>
              <w:rPr>
                <w:sz w:val="20"/>
                <w:lang w:eastAsia="fi-FI"/>
              </w:rPr>
            </w:pPr>
            <w:r w:rsidRPr="006E4C26">
              <w:rPr>
                <w:sz w:val="20"/>
                <w:lang w:eastAsia="fi-FI"/>
              </w:rPr>
              <w:lastRenderedPageBreak/>
              <w:t xml:space="preserve">Etanolidiesel </w:t>
            </w:r>
            <w:proofErr w:type="spellStart"/>
            <w:r w:rsidRPr="006E4C26">
              <w:rPr>
                <w:sz w:val="20"/>
                <w:lang w:eastAsia="fi-FI"/>
              </w:rPr>
              <w:t>snt</w:t>
            </w:r>
            <w:proofErr w:type="spellEnd"/>
            <w:r w:rsidRPr="006E4C26">
              <w:rPr>
                <w:sz w:val="20"/>
                <w:lang w:eastAsia="fi-FI"/>
              </w:rPr>
              <w:t>/l</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47</w:t>
            </w:r>
          </w:p>
        </w:tc>
        <w:tc>
          <w:tcPr>
            <w:tcW w:w="1178" w:type="dxa"/>
            <w:shd w:val="clear" w:color="auto" w:fill="auto"/>
            <w:hideMark/>
          </w:tcPr>
          <w:p w:rsidR="00BB3319" w:rsidRPr="006E4C26" w:rsidRDefault="00BB3319" w:rsidP="00BB3319">
            <w:pPr>
              <w:jc w:val="center"/>
              <w:rPr>
                <w:sz w:val="20"/>
                <w:lang w:eastAsia="fi-FI"/>
              </w:rPr>
            </w:pPr>
            <w:r w:rsidRPr="006E4C26">
              <w:rPr>
                <w:sz w:val="20"/>
                <w:lang w:eastAsia="fi-FI"/>
              </w:rPr>
              <w:t>18,70</w:t>
            </w:r>
          </w:p>
        </w:tc>
        <w:tc>
          <w:tcPr>
            <w:tcW w:w="1582" w:type="dxa"/>
            <w:shd w:val="clear" w:color="auto" w:fill="auto"/>
            <w:hideMark/>
          </w:tcPr>
          <w:p w:rsidR="00BB3319" w:rsidRPr="006E4C26" w:rsidRDefault="00BB3319" w:rsidP="00BB3319">
            <w:pPr>
              <w:jc w:val="center"/>
              <w:rPr>
                <w:sz w:val="20"/>
                <w:lang w:eastAsia="fi-FI"/>
              </w:rPr>
            </w:pPr>
            <w:r w:rsidRPr="006E4C26">
              <w:rPr>
                <w:sz w:val="20"/>
                <w:lang w:eastAsia="fi-FI"/>
              </w:rPr>
              <w:t>11,58</w:t>
            </w:r>
          </w:p>
        </w:tc>
        <w:tc>
          <w:tcPr>
            <w:tcW w:w="1160" w:type="dxa"/>
            <w:shd w:val="clear" w:color="auto" w:fill="auto"/>
            <w:hideMark/>
          </w:tcPr>
          <w:p w:rsidR="00BB3319" w:rsidRPr="006E4C26" w:rsidRDefault="00BB3319" w:rsidP="00BB3319">
            <w:pPr>
              <w:jc w:val="center"/>
              <w:rPr>
                <w:sz w:val="20"/>
                <w:lang w:eastAsia="fi-FI"/>
              </w:rPr>
            </w:pPr>
            <w:r w:rsidRPr="006E4C26">
              <w:rPr>
                <w:sz w:val="20"/>
                <w:lang w:eastAsia="fi-FI"/>
              </w:rPr>
              <w:t>0,35</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30,63</w:t>
            </w:r>
          </w:p>
        </w:tc>
      </w:tr>
      <w:tr w:rsidR="006E4C26" w:rsidRPr="006E4C26" w:rsidTr="002525DB">
        <w:trPr>
          <w:trHeight w:val="260"/>
        </w:trPr>
        <w:tc>
          <w:tcPr>
            <w:tcW w:w="2540" w:type="dxa"/>
            <w:shd w:val="clear" w:color="auto" w:fill="auto"/>
            <w:hideMark/>
          </w:tcPr>
          <w:p w:rsidR="00BB3319" w:rsidRPr="006E4C26" w:rsidRDefault="00BB3319" w:rsidP="00BB3319">
            <w:pPr>
              <w:rPr>
                <w:sz w:val="20"/>
                <w:lang w:eastAsia="fi-FI"/>
              </w:rPr>
            </w:pPr>
            <w:r w:rsidRPr="006E4C26">
              <w:rPr>
                <w:sz w:val="20"/>
                <w:lang w:eastAsia="fi-FI"/>
              </w:rPr>
              <w:t xml:space="preserve">Etanolidiesel </w:t>
            </w:r>
            <w:proofErr w:type="spellStart"/>
            <w:r w:rsidRPr="006E4C26">
              <w:rPr>
                <w:sz w:val="20"/>
                <w:lang w:eastAsia="fi-FI"/>
              </w:rPr>
              <w:t>snt</w:t>
            </w:r>
            <w:proofErr w:type="spellEnd"/>
            <w:r w:rsidRPr="006E4C26">
              <w:rPr>
                <w:sz w:val="20"/>
                <w:lang w:eastAsia="fi-FI"/>
              </w:rPr>
              <w:t>/l R</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48</w:t>
            </w:r>
          </w:p>
        </w:tc>
        <w:tc>
          <w:tcPr>
            <w:tcW w:w="1178" w:type="dxa"/>
            <w:shd w:val="clear" w:color="auto" w:fill="auto"/>
            <w:hideMark/>
          </w:tcPr>
          <w:p w:rsidR="00BB3319" w:rsidRPr="006E4C26" w:rsidRDefault="00BB3319" w:rsidP="00BB3319">
            <w:pPr>
              <w:jc w:val="center"/>
              <w:rPr>
                <w:sz w:val="20"/>
                <w:lang w:eastAsia="fi-FI"/>
              </w:rPr>
            </w:pPr>
            <w:r w:rsidRPr="006E4C26">
              <w:rPr>
                <w:sz w:val="20"/>
                <w:lang w:eastAsia="fi-FI"/>
              </w:rPr>
              <w:t>18,70</w:t>
            </w:r>
          </w:p>
        </w:tc>
        <w:tc>
          <w:tcPr>
            <w:tcW w:w="1582" w:type="dxa"/>
            <w:shd w:val="clear" w:color="auto" w:fill="auto"/>
            <w:hideMark/>
          </w:tcPr>
          <w:p w:rsidR="00BB3319" w:rsidRPr="006E4C26" w:rsidRDefault="00BB3319" w:rsidP="00BB3319">
            <w:pPr>
              <w:jc w:val="center"/>
              <w:rPr>
                <w:sz w:val="20"/>
                <w:lang w:eastAsia="fi-FI"/>
              </w:rPr>
            </w:pPr>
            <w:r w:rsidRPr="006E4C26">
              <w:rPr>
                <w:sz w:val="20"/>
                <w:lang w:eastAsia="fi-FI"/>
              </w:rPr>
              <w:t>6,36</w:t>
            </w:r>
          </w:p>
        </w:tc>
        <w:tc>
          <w:tcPr>
            <w:tcW w:w="1160" w:type="dxa"/>
            <w:shd w:val="clear" w:color="auto" w:fill="auto"/>
            <w:hideMark/>
          </w:tcPr>
          <w:p w:rsidR="00BB3319" w:rsidRPr="006E4C26" w:rsidRDefault="00BB3319" w:rsidP="00BB3319">
            <w:pPr>
              <w:jc w:val="center"/>
              <w:rPr>
                <w:sz w:val="20"/>
                <w:lang w:eastAsia="fi-FI"/>
              </w:rPr>
            </w:pPr>
            <w:r w:rsidRPr="006E4C26">
              <w:rPr>
                <w:sz w:val="20"/>
                <w:lang w:eastAsia="fi-FI"/>
              </w:rPr>
              <w:t>0,35</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25,41</w:t>
            </w:r>
          </w:p>
        </w:tc>
      </w:tr>
      <w:tr w:rsidR="006E4C26" w:rsidRPr="006E4C26" w:rsidTr="002525DB">
        <w:trPr>
          <w:trHeight w:val="260"/>
        </w:trPr>
        <w:tc>
          <w:tcPr>
            <w:tcW w:w="2540" w:type="dxa"/>
            <w:shd w:val="clear" w:color="auto" w:fill="auto"/>
            <w:hideMark/>
          </w:tcPr>
          <w:p w:rsidR="00BB3319" w:rsidRPr="006E4C26" w:rsidRDefault="00BB3319" w:rsidP="00BB3319">
            <w:pPr>
              <w:rPr>
                <w:sz w:val="20"/>
                <w:lang w:eastAsia="fi-FI"/>
              </w:rPr>
            </w:pPr>
            <w:r w:rsidRPr="006E4C26">
              <w:rPr>
                <w:sz w:val="20"/>
                <w:lang w:eastAsia="fi-FI"/>
              </w:rPr>
              <w:t xml:space="preserve">Etanolidiesel </w:t>
            </w:r>
            <w:proofErr w:type="spellStart"/>
            <w:r w:rsidRPr="006E4C26">
              <w:rPr>
                <w:sz w:val="20"/>
                <w:lang w:eastAsia="fi-FI"/>
              </w:rPr>
              <w:t>snt</w:t>
            </w:r>
            <w:proofErr w:type="spellEnd"/>
            <w:r w:rsidRPr="006E4C26">
              <w:rPr>
                <w:sz w:val="20"/>
                <w:lang w:eastAsia="fi-FI"/>
              </w:rPr>
              <w:t>/l T</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49</w:t>
            </w:r>
          </w:p>
        </w:tc>
        <w:tc>
          <w:tcPr>
            <w:tcW w:w="1178" w:type="dxa"/>
            <w:shd w:val="clear" w:color="auto" w:fill="auto"/>
            <w:hideMark/>
          </w:tcPr>
          <w:p w:rsidR="00BB3319" w:rsidRPr="006E4C26" w:rsidRDefault="00BB3319" w:rsidP="00BB3319">
            <w:pPr>
              <w:jc w:val="center"/>
              <w:rPr>
                <w:sz w:val="20"/>
                <w:lang w:eastAsia="fi-FI"/>
              </w:rPr>
            </w:pPr>
            <w:r w:rsidRPr="006E4C26">
              <w:rPr>
                <w:sz w:val="20"/>
                <w:lang w:eastAsia="fi-FI"/>
              </w:rPr>
              <w:t>18,70</w:t>
            </w:r>
          </w:p>
        </w:tc>
        <w:tc>
          <w:tcPr>
            <w:tcW w:w="1582" w:type="dxa"/>
            <w:shd w:val="clear" w:color="auto" w:fill="auto"/>
            <w:hideMark/>
          </w:tcPr>
          <w:p w:rsidR="00BB3319" w:rsidRPr="006E4C26" w:rsidRDefault="00BB3319" w:rsidP="00BB3319">
            <w:pPr>
              <w:jc w:val="center"/>
              <w:rPr>
                <w:sz w:val="20"/>
                <w:lang w:eastAsia="fi-FI"/>
              </w:rPr>
            </w:pPr>
            <w:r w:rsidRPr="006E4C26">
              <w:rPr>
                <w:sz w:val="20"/>
                <w:lang w:eastAsia="fi-FI"/>
              </w:rPr>
              <w:t>1,14</w:t>
            </w:r>
          </w:p>
        </w:tc>
        <w:tc>
          <w:tcPr>
            <w:tcW w:w="1160" w:type="dxa"/>
            <w:shd w:val="clear" w:color="auto" w:fill="auto"/>
            <w:hideMark/>
          </w:tcPr>
          <w:p w:rsidR="00BB3319" w:rsidRPr="006E4C26" w:rsidRDefault="00BB3319" w:rsidP="00BB3319">
            <w:pPr>
              <w:jc w:val="center"/>
              <w:rPr>
                <w:sz w:val="20"/>
                <w:lang w:eastAsia="fi-FI"/>
              </w:rPr>
            </w:pPr>
            <w:r w:rsidRPr="006E4C26">
              <w:rPr>
                <w:sz w:val="20"/>
                <w:lang w:eastAsia="fi-FI"/>
              </w:rPr>
              <w:t>0,35</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20,19</w:t>
            </w:r>
          </w:p>
        </w:tc>
      </w:tr>
      <w:tr w:rsidR="006E4C26" w:rsidRPr="006E4C26" w:rsidTr="002525DB">
        <w:trPr>
          <w:trHeight w:val="260"/>
        </w:trPr>
        <w:tc>
          <w:tcPr>
            <w:tcW w:w="2540" w:type="dxa"/>
            <w:shd w:val="clear" w:color="auto" w:fill="auto"/>
            <w:hideMark/>
          </w:tcPr>
          <w:p w:rsidR="00BB3319" w:rsidRPr="006E4C26" w:rsidRDefault="00BB3319" w:rsidP="00BB3319">
            <w:pPr>
              <w:rPr>
                <w:sz w:val="20"/>
                <w:lang w:eastAsia="fi-FI"/>
              </w:rPr>
            </w:pPr>
            <w:r w:rsidRPr="006E4C26">
              <w:rPr>
                <w:sz w:val="20"/>
                <w:lang w:eastAsia="fi-FI"/>
              </w:rPr>
              <w:t xml:space="preserve">Dieselöljy </w:t>
            </w:r>
            <w:proofErr w:type="spellStart"/>
            <w:r w:rsidRPr="006E4C26">
              <w:rPr>
                <w:sz w:val="20"/>
                <w:lang w:eastAsia="fi-FI"/>
              </w:rPr>
              <w:t>snt</w:t>
            </w:r>
            <w:proofErr w:type="spellEnd"/>
            <w:r w:rsidRPr="006E4C26">
              <w:rPr>
                <w:sz w:val="20"/>
                <w:lang w:eastAsia="fi-FI"/>
              </w:rPr>
              <w:t>/l</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50</w:t>
            </w:r>
          </w:p>
        </w:tc>
        <w:tc>
          <w:tcPr>
            <w:tcW w:w="1178" w:type="dxa"/>
            <w:shd w:val="clear" w:color="auto" w:fill="auto"/>
            <w:hideMark/>
          </w:tcPr>
          <w:p w:rsidR="00BB3319" w:rsidRPr="006E4C26" w:rsidRDefault="00BB3319" w:rsidP="00BB3319">
            <w:pPr>
              <w:jc w:val="center"/>
              <w:rPr>
                <w:sz w:val="20"/>
                <w:lang w:eastAsia="fi-FI"/>
              </w:rPr>
            </w:pPr>
            <w:r w:rsidRPr="006E4C26">
              <w:rPr>
                <w:sz w:val="20"/>
                <w:lang w:eastAsia="fi-FI"/>
              </w:rPr>
              <w:t>38,78</w:t>
            </w:r>
          </w:p>
        </w:tc>
        <w:tc>
          <w:tcPr>
            <w:tcW w:w="1582" w:type="dxa"/>
            <w:shd w:val="clear" w:color="auto" w:fill="auto"/>
            <w:hideMark/>
          </w:tcPr>
          <w:p w:rsidR="00BB3319" w:rsidRPr="006E4C26" w:rsidRDefault="00BB3319" w:rsidP="00BB3319">
            <w:pPr>
              <w:jc w:val="center"/>
              <w:rPr>
                <w:sz w:val="20"/>
                <w:lang w:eastAsia="fi-FI"/>
              </w:rPr>
            </w:pPr>
            <w:r w:rsidRPr="006E4C26">
              <w:rPr>
                <w:sz w:val="20"/>
                <w:lang w:eastAsia="fi-FI"/>
              </w:rPr>
              <w:t>19,78</w:t>
            </w:r>
          </w:p>
        </w:tc>
        <w:tc>
          <w:tcPr>
            <w:tcW w:w="1160" w:type="dxa"/>
            <w:shd w:val="clear" w:color="auto" w:fill="auto"/>
            <w:hideMark/>
          </w:tcPr>
          <w:p w:rsidR="00BB3319" w:rsidRPr="006E4C26" w:rsidRDefault="00BB3319" w:rsidP="00BB3319">
            <w:pPr>
              <w:jc w:val="center"/>
              <w:rPr>
                <w:sz w:val="20"/>
                <w:lang w:eastAsia="fi-FI"/>
              </w:rPr>
            </w:pPr>
            <w:r w:rsidRPr="006E4C26">
              <w:rPr>
                <w:sz w:val="20"/>
                <w:lang w:eastAsia="fi-FI"/>
              </w:rPr>
              <w:t>0,35</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58,91</w:t>
            </w:r>
          </w:p>
        </w:tc>
      </w:tr>
      <w:tr w:rsidR="006E4C26" w:rsidRPr="006E4C26" w:rsidTr="002525DB">
        <w:trPr>
          <w:trHeight w:val="260"/>
        </w:trPr>
        <w:tc>
          <w:tcPr>
            <w:tcW w:w="2540" w:type="dxa"/>
            <w:shd w:val="clear" w:color="auto" w:fill="auto"/>
            <w:hideMark/>
          </w:tcPr>
          <w:p w:rsidR="00BB3319" w:rsidRPr="006E4C26" w:rsidRDefault="00BB3319" w:rsidP="00BB3319">
            <w:pPr>
              <w:rPr>
                <w:sz w:val="20"/>
                <w:lang w:eastAsia="fi-FI"/>
              </w:rPr>
            </w:pPr>
            <w:r w:rsidRPr="006E4C26">
              <w:rPr>
                <w:sz w:val="20"/>
                <w:lang w:eastAsia="fi-FI"/>
              </w:rPr>
              <w:t xml:space="preserve">Dieselöljy </w:t>
            </w:r>
            <w:proofErr w:type="spellStart"/>
            <w:r w:rsidRPr="006E4C26">
              <w:rPr>
                <w:sz w:val="20"/>
                <w:lang w:eastAsia="fi-FI"/>
              </w:rPr>
              <w:t>para</w:t>
            </w:r>
            <w:proofErr w:type="spellEnd"/>
            <w:r w:rsidRPr="006E4C26">
              <w:rPr>
                <w:sz w:val="20"/>
                <w:lang w:eastAsia="fi-FI"/>
              </w:rPr>
              <w:t xml:space="preserve"> </w:t>
            </w:r>
            <w:proofErr w:type="spellStart"/>
            <w:r w:rsidRPr="006E4C26">
              <w:rPr>
                <w:sz w:val="20"/>
                <w:lang w:eastAsia="fi-FI"/>
              </w:rPr>
              <w:t>snt</w:t>
            </w:r>
            <w:proofErr w:type="spellEnd"/>
            <w:r w:rsidRPr="006E4C26">
              <w:rPr>
                <w:sz w:val="20"/>
                <w:lang w:eastAsia="fi-FI"/>
              </w:rPr>
              <w:t>/l</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51</w:t>
            </w:r>
          </w:p>
        </w:tc>
        <w:tc>
          <w:tcPr>
            <w:tcW w:w="1178" w:type="dxa"/>
            <w:shd w:val="clear" w:color="auto" w:fill="auto"/>
            <w:hideMark/>
          </w:tcPr>
          <w:p w:rsidR="00BB3319" w:rsidRPr="006E4C26" w:rsidRDefault="00BB3319" w:rsidP="00BB3319">
            <w:pPr>
              <w:jc w:val="center"/>
              <w:rPr>
                <w:sz w:val="20"/>
                <w:lang w:eastAsia="fi-FI"/>
              </w:rPr>
            </w:pPr>
            <w:r w:rsidRPr="006E4C26">
              <w:rPr>
                <w:sz w:val="20"/>
                <w:lang w:eastAsia="fi-FI"/>
              </w:rPr>
              <w:t>31,62</w:t>
            </w:r>
          </w:p>
        </w:tc>
        <w:tc>
          <w:tcPr>
            <w:tcW w:w="1582" w:type="dxa"/>
            <w:shd w:val="clear" w:color="auto" w:fill="auto"/>
            <w:hideMark/>
          </w:tcPr>
          <w:p w:rsidR="00BB3319" w:rsidRPr="006E4C26" w:rsidRDefault="00BB3319" w:rsidP="00BB3319">
            <w:pPr>
              <w:jc w:val="center"/>
              <w:rPr>
                <w:sz w:val="20"/>
                <w:lang w:eastAsia="fi-FI"/>
              </w:rPr>
            </w:pPr>
            <w:r w:rsidRPr="006E4C26">
              <w:rPr>
                <w:sz w:val="20"/>
                <w:lang w:eastAsia="fi-FI"/>
              </w:rPr>
              <w:t>18,68</w:t>
            </w:r>
          </w:p>
        </w:tc>
        <w:tc>
          <w:tcPr>
            <w:tcW w:w="1160" w:type="dxa"/>
            <w:shd w:val="clear" w:color="auto" w:fill="auto"/>
            <w:hideMark/>
          </w:tcPr>
          <w:p w:rsidR="00BB3319" w:rsidRPr="006E4C26" w:rsidRDefault="00BB3319" w:rsidP="00BB3319">
            <w:pPr>
              <w:jc w:val="center"/>
              <w:rPr>
                <w:sz w:val="20"/>
                <w:lang w:eastAsia="fi-FI"/>
              </w:rPr>
            </w:pPr>
            <w:r w:rsidRPr="006E4C26">
              <w:rPr>
                <w:sz w:val="20"/>
                <w:lang w:eastAsia="fi-FI"/>
              </w:rPr>
              <w:t>0,35</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50,65</w:t>
            </w:r>
          </w:p>
        </w:tc>
      </w:tr>
      <w:tr w:rsidR="006E4C26" w:rsidRPr="006E4C26" w:rsidTr="002525DB">
        <w:trPr>
          <w:trHeight w:val="260"/>
        </w:trPr>
        <w:tc>
          <w:tcPr>
            <w:tcW w:w="2540" w:type="dxa"/>
            <w:shd w:val="clear" w:color="auto" w:fill="auto"/>
            <w:hideMark/>
          </w:tcPr>
          <w:p w:rsidR="00BB3319" w:rsidRPr="006E4C26" w:rsidRDefault="00BB3319" w:rsidP="00BB3319">
            <w:pPr>
              <w:rPr>
                <w:sz w:val="20"/>
                <w:lang w:eastAsia="fi-FI"/>
              </w:rPr>
            </w:pPr>
            <w:r w:rsidRPr="006E4C26">
              <w:rPr>
                <w:sz w:val="20"/>
                <w:lang w:eastAsia="fi-FI"/>
              </w:rPr>
              <w:t xml:space="preserve">Biodieselöljy </w:t>
            </w:r>
            <w:proofErr w:type="spellStart"/>
            <w:r w:rsidRPr="006E4C26">
              <w:rPr>
                <w:sz w:val="20"/>
                <w:lang w:eastAsia="fi-FI"/>
              </w:rPr>
              <w:t>snt</w:t>
            </w:r>
            <w:proofErr w:type="spellEnd"/>
            <w:r w:rsidRPr="006E4C26">
              <w:rPr>
                <w:sz w:val="20"/>
                <w:lang w:eastAsia="fi-FI"/>
              </w:rPr>
              <w:t>/l</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52</w:t>
            </w:r>
          </w:p>
        </w:tc>
        <w:tc>
          <w:tcPr>
            <w:tcW w:w="1178" w:type="dxa"/>
            <w:shd w:val="clear" w:color="auto" w:fill="auto"/>
            <w:hideMark/>
          </w:tcPr>
          <w:p w:rsidR="00BB3319" w:rsidRPr="006E4C26" w:rsidRDefault="00BB3319" w:rsidP="00BB3319">
            <w:pPr>
              <w:jc w:val="center"/>
              <w:rPr>
                <w:sz w:val="20"/>
                <w:lang w:eastAsia="fi-FI"/>
              </w:rPr>
            </w:pPr>
            <w:r w:rsidRPr="006E4C26">
              <w:rPr>
                <w:sz w:val="20"/>
                <w:lang w:eastAsia="fi-FI"/>
              </w:rPr>
              <w:t>35,55</w:t>
            </w:r>
          </w:p>
        </w:tc>
        <w:tc>
          <w:tcPr>
            <w:tcW w:w="1582" w:type="dxa"/>
            <w:shd w:val="clear" w:color="auto" w:fill="auto"/>
            <w:hideMark/>
          </w:tcPr>
          <w:p w:rsidR="00BB3319" w:rsidRPr="006E4C26" w:rsidRDefault="00BB3319" w:rsidP="00BB3319">
            <w:pPr>
              <w:jc w:val="center"/>
              <w:rPr>
                <w:sz w:val="20"/>
                <w:lang w:eastAsia="fi-FI"/>
              </w:rPr>
            </w:pPr>
            <w:r w:rsidRPr="006E4C26">
              <w:rPr>
                <w:sz w:val="20"/>
                <w:lang w:eastAsia="fi-FI"/>
              </w:rPr>
              <w:t>18,13</w:t>
            </w:r>
          </w:p>
        </w:tc>
        <w:tc>
          <w:tcPr>
            <w:tcW w:w="1160" w:type="dxa"/>
            <w:shd w:val="clear" w:color="auto" w:fill="auto"/>
            <w:hideMark/>
          </w:tcPr>
          <w:p w:rsidR="00BB3319" w:rsidRPr="006E4C26" w:rsidRDefault="00BB3319" w:rsidP="00BB3319">
            <w:pPr>
              <w:jc w:val="center"/>
              <w:rPr>
                <w:sz w:val="20"/>
                <w:lang w:eastAsia="fi-FI"/>
              </w:rPr>
            </w:pPr>
            <w:r w:rsidRPr="006E4C26">
              <w:rPr>
                <w:sz w:val="20"/>
                <w:lang w:eastAsia="fi-FI"/>
              </w:rPr>
              <w:t>0,35</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54,03</w:t>
            </w:r>
          </w:p>
        </w:tc>
      </w:tr>
      <w:tr w:rsidR="006E4C26" w:rsidRPr="006E4C26" w:rsidTr="002525DB">
        <w:trPr>
          <w:trHeight w:val="260"/>
        </w:trPr>
        <w:tc>
          <w:tcPr>
            <w:tcW w:w="2540" w:type="dxa"/>
            <w:shd w:val="clear" w:color="auto" w:fill="auto"/>
            <w:hideMark/>
          </w:tcPr>
          <w:p w:rsidR="00BB3319" w:rsidRPr="006E4C26" w:rsidRDefault="00BB3319" w:rsidP="00BB3319">
            <w:pPr>
              <w:rPr>
                <w:sz w:val="20"/>
                <w:lang w:eastAsia="fi-FI"/>
              </w:rPr>
            </w:pPr>
            <w:r w:rsidRPr="006E4C26">
              <w:rPr>
                <w:sz w:val="20"/>
                <w:lang w:eastAsia="fi-FI"/>
              </w:rPr>
              <w:t xml:space="preserve">Biodieselöljy R </w:t>
            </w:r>
            <w:proofErr w:type="spellStart"/>
            <w:r w:rsidRPr="006E4C26">
              <w:rPr>
                <w:sz w:val="20"/>
                <w:lang w:eastAsia="fi-FI"/>
              </w:rPr>
              <w:t>snt</w:t>
            </w:r>
            <w:proofErr w:type="spellEnd"/>
            <w:r w:rsidRPr="006E4C26">
              <w:rPr>
                <w:sz w:val="20"/>
                <w:lang w:eastAsia="fi-FI"/>
              </w:rPr>
              <w:t>/l</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53</w:t>
            </w:r>
          </w:p>
        </w:tc>
        <w:tc>
          <w:tcPr>
            <w:tcW w:w="1178" w:type="dxa"/>
            <w:shd w:val="clear" w:color="auto" w:fill="auto"/>
            <w:hideMark/>
          </w:tcPr>
          <w:p w:rsidR="00BB3319" w:rsidRPr="006E4C26" w:rsidRDefault="00BB3319" w:rsidP="00BB3319">
            <w:pPr>
              <w:jc w:val="center"/>
              <w:rPr>
                <w:sz w:val="20"/>
                <w:lang w:eastAsia="fi-FI"/>
              </w:rPr>
            </w:pPr>
            <w:r w:rsidRPr="006E4C26">
              <w:rPr>
                <w:sz w:val="20"/>
                <w:lang w:eastAsia="fi-FI"/>
              </w:rPr>
              <w:t>35,55</w:t>
            </w:r>
          </w:p>
        </w:tc>
        <w:tc>
          <w:tcPr>
            <w:tcW w:w="1582" w:type="dxa"/>
            <w:shd w:val="clear" w:color="auto" w:fill="auto"/>
            <w:hideMark/>
          </w:tcPr>
          <w:p w:rsidR="00BB3319" w:rsidRPr="006E4C26" w:rsidRDefault="00BB3319" w:rsidP="00BB3319">
            <w:pPr>
              <w:jc w:val="center"/>
              <w:rPr>
                <w:sz w:val="20"/>
                <w:lang w:eastAsia="fi-FI"/>
              </w:rPr>
            </w:pPr>
            <w:r w:rsidRPr="006E4C26">
              <w:rPr>
                <w:sz w:val="20"/>
                <w:lang w:eastAsia="fi-FI"/>
              </w:rPr>
              <w:t>9,06</w:t>
            </w:r>
          </w:p>
        </w:tc>
        <w:tc>
          <w:tcPr>
            <w:tcW w:w="1160" w:type="dxa"/>
            <w:shd w:val="clear" w:color="auto" w:fill="auto"/>
            <w:hideMark/>
          </w:tcPr>
          <w:p w:rsidR="00BB3319" w:rsidRPr="006E4C26" w:rsidRDefault="00BB3319" w:rsidP="00BB3319">
            <w:pPr>
              <w:jc w:val="center"/>
              <w:rPr>
                <w:sz w:val="20"/>
                <w:lang w:eastAsia="fi-FI"/>
              </w:rPr>
            </w:pPr>
            <w:r w:rsidRPr="006E4C26">
              <w:rPr>
                <w:sz w:val="20"/>
                <w:lang w:eastAsia="fi-FI"/>
              </w:rPr>
              <w:t>0,35</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44,96</w:t>
            </w:r>
          </w:p>
        </w:tc>
      </w:tr>
      <w:tr w:rsidR="006E4C26" w:rsidRPr="006E4C26" w:rsidTr="002525DB">
        <w:trPr>
          <w:trHeight w:val="260"/>
        </w:trPr>
        <w:tc>
          <w:tcPr>
            <w:tcW w:w="2540" w:type="dxa"/>
            <w:shd w:val="clear" w:color="auto" w:fill="auto"/>
            <w:hideMark/>
          </w:tcPr>
          <w:p w:rsidR="00BB3319" w:rsidRPr="006E4C26" w:rsidRDefault="00BB3319" w:rsidP="00BB3319">
            <w:pPr>
              <w:rPr>
                <w:sz w:val="20"/>
                <w:lang w:eastAsia="fi-FI"/>
              </w:rPr>
            </w:pPr>
            <w:r w:rsidRPr="006E4C26">
              <w:rPr>
                <w:sz w:val="20"/>
                <w:lang w:eastAsia="fi-FI"/>
              </w:rPr>
              <w:t xml:space="preserve">Biodieselöljy T </w:t>
            </w:r>
            <w:proofErr w:type="spellStart"/>
            <w:r w:rsidRPr="006E4C26">
              <w:rPr>
                <w:sz w:val="20"/>
                <w:lang w:eastAsia="fi-FI"/>
              </w:rPr>
              <w:t>snt</w:t>
            </w:r>
            <w:proofErr w:type="spellEnd"/>
            <w:r w:rsidRPr="006E4C26">
              <w:rPr>
                <w:sz w:val="20"/>
                <w:lang w:eastAsia="fi-FI"/>
              </w:rPr>
              <w:t>/l</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54</w:t>
            </w:r>
          </w:p>
        </w:tc>
        <w:tc>
          <w:tcPr>
            <w:tcW w:w="1178" w:type="dxa"/>
            <w:shd w:val="clear" w:color="auto" w:fill="auto"/>
            <w:hideMark/>
          </w:tcPr>
          <w:p w:rsidR="00BB3319" w:rsidRPr="006E4C26" w:rsidRDefault="00BB3319" w:rsidP="00BB3319">
            <w:pPr>
              <w:jc w:val="center"/>
              <w:rPr>
                <w:sz w:val="20"/>
                <w:lang w:eastAsia="fi-FI"/>
              </w:rPr>
            </w:pPr>
            <w:r w:rsidRPr="006E4C26">
              <w:rPr>
                <w:sz w:val="20"/>
                <w:lang w:eastAsia="fi-FI"/>
              </w:rPr>
              <w:t>35,55</w:t>
            </w:r>
          </w:p>
        </w:tc>
        <w:tc>
          <w:tcPr>
            <w:tcW w:w="1582" w:type="dxa"/>
            <w:shd w:val="clear" w:color="auto" w:fill="auto"/>
            <w:hideMark/>
          </w:tcPr>
          <w:p w:rsidR="00BB3319" w:rsidRPr="006E4C26" w:rsidRDefault="00BB3319" w:rsidP="00BB3319">
            <w:pPr>
              <w:jc w:val="center"/>
              <w:rPr>
                <w:sz w:val="20"/>
                <w:lang w:eastAsia="fi-FI"/>
              </w:rPr>
            </w:pPr>
            <w:r w:rsidRPr="006E4C26">
              <w:rPr>
                <w:sz w:val="20"/>
                <w:lang w:eastAsia="fi-FI"/>
              </w:rPr>
              <w:t>0,00</w:t>
            </w:r>
          </w:p>
        </w:tc>
        <w:tc>
          <w:tcPr>
            <w:tcW w:w="1160" w:type="dxa"/>
            <w:shd w:val="clear" w:color="auto" w:fill="auto"/>
            <w:hideMark/>
          </w:tcPr>
          <w:p w:rsidR="00BB3319" w:rsidRPr="006E4C26" w:rsidRDefault="00BB3319" w:rsidP="00BB3319">
            <w:pPr>
              <w:jc w:val="center"/>
              <w:rPr>
                <w:sz w:val="20"/>
                <w:lang w:eastAsia="fi-FI"/>
              </w:rPr>
            </w:pPr>
            <w:r w:rsidRPr="006E4C26">
              <w:rPr>
                <w:sz w:val="20"/>
                <w:lang w:eastAsia="fi-FI"/>
              </w:rPr>
              <w:t>0,35</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35,90</w:t>
            </w:r>
          </w:p>
        </w:tc>
      </w:tr>
      <w:tr w:rsidR="006E4C26" w:rsidRPr="006E4C26" w:rsidTr="002525DB">
        <w:trPr>
          <w:trHeight w:val="260"/>
        </w:trPr>
        <w:tc>
          <w:tcPr>
            <w:tcW w:w="2540" w:type="dxa"/>
            <w:shd w:val="clear" w:color="auto" w:fill="auto"/>
            <w:hideMark/>
          </w:tcPr>
          <w:p w:rsidR="00BB3319" w:rsidRPr="006E4C26" w:rsidRDefault="00BB3319" w:rsidP="00BB3319">
            <w:pPr>
              <w:rPr>
                <w:sz w:val="20"/>
                <w:lang w:eastAsia="fi-FI"/>
              </w:rPr>
            </w:pPr>
            <w:r w:rsidRPr="006E4C26">
              <w:rPr>
                <w:sz w:val="20"/>
                <w:lang w:eastAsia="fi-FI"/>
              </w:rPr>
              <w:t xml:space="preserve">Biodieselöljy P </w:t>
            </w:r>
            <w:proofErr w:type="spellStart"/>
            <w:r w:rsidRPr="006E4C26">
              <w:rPr>
                <w:sz w:val="20"/>
                <w:lang w:eastAsia="fi-FI"/>
              </w:rPr>
              <w:t>snt</w:t>
            </w:r>
            <w:proofErr w:type="spellEnd"/>
            <w:r w:rsidRPr="006E4C26">
              <w:rPr>
                <w:sz w:val="20"/>
                <w:lang w:eastAsia="fi-FI"/>
              </w:rPr>
              <w:t>/l</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55</w:t>
            </w:r>
          </w:p>
        </w:tc>
        <w:tc>
          <w:tcPr>
            <w:tcW w:w="1178" w:type="dxa"/>
            <w:shd w:val="clear" w:color="auto" w:fill="auto"/>
            <w:hideMark/>
          </w:tcPr>
          <w:p w:rsidR="00BB3319" w:rsidRPr="006E4C26" w:rsidRDefault="00BB3319" w:rsidP="00BB3319">
            <w:pPr>
              <w:jc w:val="center"/>
              <w:rPr>
                <w:sz w:val="20"/>
                <w:lang w:eastAsia="fi-FI"/>
              </w:rPr>
            </w:pPr>
            <w:r w:rsidRPr="006E4C26">
              <w:rPr>
                <w:sz w:val="20"/>
                <w:lang w:eastAsia="fi-FI"/>
              </w:rPr>
              <w:t>31,62</w:t>
            </w:r>
          </w:p>
        </w:tc>
        <w:tc>
          <w:tcPr>
            <w:tcW w:w="1582" w:type="dxa"/>
            <w:shd w:val="clear" w:color="auto" w:fill="auto"/>
            <w:hideMark/>
          </w:tcPr>
          <w:p w:rsidR="00BB3319" w:rsidRPr="006E4C26" w:rsidRDefault="00BB3319" w:rsidP="00BB3319">
            <w:pPr>
              <w:jc w:val="center"/>
              <w:rPr>
                <w:sz w:val="20"/>
                <w:lang w:eastAsia="fi-FI"/>
              </w:rPr>
            </w:pPr>
            <w:r w:rsidRPr="006E4C26">
              <w:rPr>
                <w:sz w:val="20"/>
                <w:lang w:eastAsia="fi-FI"/>
              </w:rPr>
              <w:t>18,68</w:t>
            </w:r>
          </w:p>
        </w:tc>
        <w:tc>
          <w:tcPr>
            <w:tcW w:w="1160" w:type="dxa"/>
            <w:shd w:val="clear" w:color="auto" w:fill="auto"/>
            <w:hideMark/>
          </w:tcPr>
          <w:p w:rsidR="00BB3319" w:rsidRPr="006E4C26" w:rsidRDefault="00BB3319" w:rsidP="00BB3319">
            <w:pPr>
              <w:jc w:val="center"/>
              <w:rPr>
                <w:sz w:val="20"/>
                <w:lang w:eastAsia="fi-FI"/>
              </w:rPr>
            </w:pPr>
            <w:r w:rsidRPr="006E4C26">
              <w:rPr>
                <w:sz w:val="20"/>
                <w:lang w:eastAsia="fi-FI"/>
              </w:rPr>
              <w:t>0,35</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50,65</w:t>
            </w:r>
          </w:p>
        </w:tc>
      </w:tr>
      <w:tr w:rsidR="006E4C26" w:rsidRPr="006E4C26" w:rsidTr="002525DB">
        <w:trPr>
          <w:trHeight w:val="260"/>
        </w:trPr>
        <w:tc>
          <w:tcPr>
            <w:tcW w:w="2540" w:type="dxa"/>
            <w:shd w:val="clear" w:color="auto" w:fill="auto"/>
            <w:hideMark/>
          </w:tcPr>
          <w:p w:rsidR="00BB3319" w:rsidRPr="006E4C26" w:rsidRDefault="00BB3319" w:rsidP="00BB3319">
            <w:pPr>
              <w:rPr>
                <w:sz w:val="20"/>
                <w:lang w:val="en-US" w:eastAsia="fi-FI"/>
              </w:rPr>
            </w:pPr>
            <w:proofErr w:type="spellStart"/>
            <w:r w:rsidRPr="006E4C26">
              <w:rPr>
                <w:sz w:val="20"/>
                <w:lang w:val="en-US" w:eastAsia="fi-FI"/>
              </w:rPr>
              <w:t>Biodieselöljy</w:t>
            </w:r>
            <w:proofErr w:type="spellEnd"/>
            <w:r w:rsidRPr="006E4C26">
              <w:rPr>
                <w:sz w:val="20"/>
                <w:lang w:val="en-US" w:eastAsia="fi-FI"/>
              </w:rPr>
              <w:t xml:space="preserve"> P R </w:t>
            </w:r>
            <w:proofErr w:type="spellStart"/>
            <w:r w:rsidRPr="006E4C26">
              <w:rPr>
                <w:sz w:val="20"/>
                <w:lang w:val="en-US" w:eastAsia="fi-FI"/>
              </w:rPr>
              <w:t>snt</w:t>
            </w:r>
            <w:proofErr w:type="spellEnd"/>
            <w:r w:rsidRPr="006E4C26">
              <w:rPr>
                <w:sz w:val="20"/>
                <w:lang w:val="en-US" w:eastAsia="fi-FI"/>
              </w:rPr>
              <w:t>/l</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56</w:t>
            </w:r>
          </w:p>
        </w:tc>
        <w:tc>
          <w:tcPr>
            <w:tcW w:w="1178" w:type="dxa"/>
            <w:shd w:val="clear" w:color="auto" w:fill="auto"/>
            <w:hideMark/>
          </w:tcPr>
          <w:p w:rsidR="00BB3319" w:rsidRPr="006E4C26" w:rsidRDefault="00BB3319" w:rsidP="00BB3319">
            <w:pPr>
              <w:jc w:val="center"/>
              <w:rPr>
                <w:sz w:val="20"/>
                <w:lang w:eastAsia="fi-FI"/>
              </w:rPr>
            </w:pPr>
            <w:r w:rsidRPr="006E4C26">
              <w:rPr>
                <w:sz w:val="20"/>
                <w:lang w:eastAsia="fi-FI"/>
              </w:rPr>
              <w:t>31,62</w:t>
            </w:r>
          </w:p>
        </w:tc>
        <w:tc>
          <w:tcPr>
            <w:tcW w:w="1582" w:type="dxa"/>
            <w:shd w:val="clear" w:color="auto" w:fill="auto"/>
            <w:hideMark/>
          </w:tcPr>
          <w:p w:rsidR="00BB3319" w:rsidRPr="006E4C26" w:rsidRDefault="00BB3319" w:rsidP="00BB3319">
            <w:pPr>
              <w:jc w:val="center"/>
              <w:rPr>
                <w:sz w:val="20"/>
                <w:lang w:eastAsia="fi-FI"/>
              </w:rPr>
            </w:pPr>
            <w:r w:rsidRPr="006E4C26">
              <w:rPr>
                <w:sz w:val="20"/>
                <w:lang w:eastAsia="fi-FI"/>
              </w:rPr>
              <w:t>9,34</w:t>
            </w:r>
          </w:p>
        </w:tc>
        <w:tc>
          <w:tcPr>
            <w:tcW w:w="1160" w:type="dxa"/>
            <w:shd w:val="clear" w:color="auto" w:fill="auto"/>
            <w:hideMark/>
          </w:tcPr>
          <w:p w:rsidR="00BB3319" w:rsidRPr="006E4C26" w:rsidRDefault="00BB3319" w:rsidP="00BB3319">
            <w:pPr>
              <w:jc w:val="center"/>
              <w:rPr>
                <w:sz w:val="20"/>
                <w:lang w:eastAsia="fi-FI"/>
              </w:rPr>
            </w:pPr>
            <w:r w:rsidRPr="006E4C26">
              <w:rPr>
                <w:sz w:val="20"/>
                <w:lang w:eastAsia="fi-FI"/>
              </w:rPr>
              <w:t>0,35</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41,31</w:t>
            </w:r>
          </w:p>
        </w:tc>
      </w:tr>
      <w:tr w:rsidR="006E4C26" w:rsidRPr="006E4C26" w:rsidTr="002525DB">
        <w:trPr>
          <w:trHeight w:val="260"/>
        </w:trPr>
        <w:tc>
          <w:tcPr>
            <w:tcW w:w="2540" w:type="dxa"/>
            <w:shd w:val="clear" w:color="auto" w:fill="auto"/>
            <w:hideMark/>
          </w:tcPr>
          <w:p w:rsidR="00BB3319" w:rsidRPr="006E4C26" w:rsidRDefault="00BB3319" w:rsidP="00BB3319">
            <w:pPr>
              <w:rPr>
                <w:sz w:val="20"/>
                <w:lang w:val="en-US" w:eastAsia="fi-FI"/>
              </w:rPr>
            </w:pPr>
            <w:proofErr w:type="spellStart"/>
            <w:r w:rsidRPr="006E4C26">
              <w:rPr>
                <w:sz w:val="20"/>
                <w:lang w:val="en-US" w:eastAsia="fi-FI"/>
              </w:rPr>
              <w:t>Biodieselöljy</w:t>
            </w:r>
            <w:proofErr w:type="spellEnd"/>
            <w:r w:rsidRPr="006E4C26">
              <w:rPr>
                <w:sz w:val="20"/>
                <w:lang w:val="en-US" w:eastAsia="fi-FI"/>
              </w:rPr>
              <w:t xml:space="preserve"> P T </w:t>
            </w:r>
            <w:proofErr w:type="spellStart"/>
            <w:r w:rsidRPr="006E4C26">
              <w:rPr>
                <w:sz w:val="20"/>
                <w:lang w:val="en-US" w:eastAsia="fi-FI"/>
              </w:rPr>
              <w:t>snt</w:t>
            </w:r>
            <w:proofErr w:type="spellEnd"/>
            <w:r w:rsidRPr="006E4C26">
              <w:rPr>
                <w:sz w:val="20"/>
                <w:lang w:val="en-US" w:eastAsia="fi-FI"/>
              </w:rPr>
              <w:t>/l</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57</w:t>
            </w:r>
          </w:p>
        </w:tc>
        <w:tc>
          <w:tcPr>
            <w:tcW w:w="1178" w:type="dxa"/>
            <w:shd w:val="clear" w:color="auto" w:fill="auto"/>
            <w:hideMark/>
          </w:tcPr>
          <w:p w:rsidR="00BB3319" w:rsidRPr="006E4C26" w:rsidRDefault="00BB3319" w:rsidP="00BB3319">
            <w:pPr>
              <w:jc w:val="center"/>
              <w:rPr>
                <w:sz w:val="20"/>
                <w:lang w:eastAsia="fi-FI"/>
              </w:rPr>
            </w:pPr>
            <w:r w:rsidRPr="006E4C26">
              <w:rPr>
                <w:sz w:val="20"/>
                <w:lang w:eastAsia="fi-FI"/>
              </w:rPr>
              <w:t>31,62</w:t>
            </w:r>
          </w:p>
        </w:tc>
        <w:tc>
          <w:tcPr>
            <w:tcW w:w="1582" w:type="dxa"/>
            <w:shd w:val="clear" w:color="auto" w:fill="auto"/>
            <w:hideMark/>
          </w:tcPr>
          <w:p w:rsidR="00BB3319" w:rsidRPr="006E4C26" w:rsidRDefault="00BB3319" w:rsidP="00BB3319">
            <w:pPr>
              <w:jc w:val="center"/>
              <w:rPr>
                <w:sz w:val="20"/>
                <w:lang w:eastAsia="fi-FI"/>
              </w:rPr>
            </w:pPr>
            <w:r w:rsidRPr="006E4C26">
              <w:rPr>
                <w:sz w:val="20"/>
                <w:lang w:eastAsia="fi-FI"/>
              </w:rPr>
              <w:t>0,00</w:t>
            </w:r>
          </w:p>
        </w:tc>
        <w:tc>
          <w:tcPr>
            <w:tcW w:w="1160" w:type="dxa"/>
            <w:shd w:val="clear" w:color="auto" w:fill="auto"/>
            <w:hideMark/>
          </w:tcPr>
          <w:p w:rsidR="00BB3319" w:rsidRPr="006E4C26" w:rsidRDefault="00BB3319" w:rsidP="00BB3319">
            <w:pPr>
              <w:jc w:val="center"/>
              <w:rPr>
                <w:sz w:val="20"/>
                <w:lang w:eastAsia="fi-FI"/>
              </w:rPr>
            </w:pPr>
            <w:r w:rsidRPr="006E4C26">
              <w:rPr>
                <w:sz w:val="20"/>
                <w:lang w:eastAsia="fi-FI"/>
              </w:rPr>
              <w:t>0,35</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31,97</w:t>
            </w:r>
          </w:p>
        </w:tc>
      </w:tr>
      <w:tr w:rsidR="006E4C26" w:rsidRPr="006E4C26" w:rsidTr="002525DB">
        <w:trPr>
          <w:trHeight w:val="260"/>
        </w:trPr>
        <w:tc>
          <w:tcPr>
            <w:tcW w:w="2540" w:type="dxa"/>
            <w:shd w:val="clear" w:color="auto" w:fill="auto"/>
            <w:hideMark/>
          </w:tcPr>
          <w:p w:rsidR="00BB3319" w:rsidRPr="006E4C26" w:rsidRDefault="00BB3319" w:rsidP="00BB3319">
            <w:pPr>
              <w:rPr>
                <w:sz w:val="20"/>
                <w:lang w:eastAsia="fi-FI"/>
              </w:rPr>
            </w:pPr>
            <w:r w:rsidRPr="006E4C26">
              <w:rPr>
                <w:sz w:val="20"/>
                <w:lang w:eastAsia="fi-FI"/>
              </w:rPr>
              <w:t xml:space="preserve">Kevyt polttoöljy </w:t>
            </w:r>
            <w:proofErr w:type="spellStart"/>
            <w:r w:rsidRPr="006E4C26">
              <w:rPr>
                <w:sz w:val="20"/>
                <w:lang w:eastAsia="fi-FI"/>
              </w:rPr>
              <w:t>snt</w:t>
            </w:r>
            <w:proofErr w:type="spellEnd"/>
            <w:r w:rsidRPr="006E4C26">
              <w:rPr>
                <w:sz w:val="20"/>
                <w:lang w:eastAsia="fi-FI"/>
              </w:rPr>
              <w:t>/l</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60</w:t>
            </w:r>
          </w:p>
        </w:tc>
        <w:tc>
          <w:tcPr>
            <w:tcW w:w="1178" w:type="dxa"/>
            <w:shd w:val="clear" w:color="auto" w:fill="auto"/>
            <w:hideMark/>
          </w:tcPr>
          <w:p w:rsidR="00BB3319" w:rsidRPr="006E4C26" w:rsidRDefault="00BB3319" w:rsidP="00BB3319">
            <w:pPr>
              <w:jc w:val="center"/>
              <w:rPr>
                <w:sz w:val="20"/>
                <w:lang w:eastAsia="fi-FI"/>
              </w:rPr>
            </w:pPr>
            <w:r w:rsidRPr="006E4C26">
              <w:rPr>
                <w:sz w:val="20"/>
                <w:lang w:eastAsia="fi-FI"/>
              </w:rPr>
              <w:t>10,28</w:t>
            </w:r>
          </w:p>
        </w:tc>
        <w:tc>
          <w:tcPr>
            <w:tcW w:w="1582" w:type="dxa"/>
            <w:shd w:val="clear" w:color="auto" w:fill="auto"/>
            <w:hideMark/>
          </w:tcPr>
          <w:p w:rsidR="00BB3319" w:rsidRPr="006E4C26" w:rsidRDefault="00BB3319" w:rsidP="00BB3319">
            <w:pPr>
              <w:jc w:val="center"/>
              <w:rPr>
                <w:sz w:val="20"/>
                <w:lang w:eastAsia="fi-FI"/>
              </w:rPr>
            </w:pPr>
            <w:r w:rsidRPr="006E4C26">
              <w:rPr>
                <w:sz w:val="20"/>
                <w:lang w:eastAsia="fi-FI"/>
              </w:rPr>
              <w:t>16,90</w:t>
            </w:r>
          </w:p>
        </w:tc>
        <w:tc>
          <w:tcPr>
            <w:tcW w:w="1160" w:type="dxa"/>
            <w:shd w:val="clear" w:color="auto" w:fill="auto"/>
            <w:hideMark/>
          </w:tcPr>
          <w:p w:rsidR="00BB3319" w:rsidRPr="006E4C26" w:rsidRDefault="00BB3319" w:rsidP="00BB3319">
            <w:pPr>
              <w:jc w:val="center"/>
              <w:rPr>
                <w:sz w:val="20"/>
                <w:lang w:eastAsia="fi-FI"/>
              </w:rPr>
            </w:pPr>
            <w:r w:rsidRPr="006E4C26">
              <w:rPr>
                <w:sz w:val="20"/>
                <w:lang w:eastAsia="fi-FI"/>
              </w:rPr>
              <w:t>0,35</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27,53</w:t>
            </w:r>
          </w:p>
        </w:tc>
      </w:tr>
      <w:tr w:rsidR="006E4C26" w:rsidRPr="006E4C26" w:rsidTr="002525DB">
        <w:trPr>
          <w:trHeight w:val="260"/>
        </w:trPr>
        <w:tc>
          <w:tcPr>
            <w:tcW w:w="2540" w:type="dxa"/>
            <w:shd w:val="clear" w:color="auto" w:fill="auto"/>
            <w:hideMark/>
          </w:tcPr>
          <w:p w:rsidR="00BB3319" w:rsidRPr="006E4C26" w:rsidRDefault="00BB3319" w:rsidP="00BB3319">
            <w:pPr>
              <w:rPr>
                <w:sz w:val="20"/>
                <w:lang w:eastAsia="fi-FI"/>
              </w:rPr>
            </w:pPr>
            <w:r w:rsidRPr="006E4C26">
              <w:rPr>
                <w:sz w:val="20"/>
                <w:lang w:eastAsia="fi-FI"/>
              </w:rPr>
              <w:t xml:space="preserve">Kevyt polttoöljy rikitön </w:t>
            </w:r>
            <w:proofErr w:type="spellStart"/>
            <w:r w:rsidRPr="006E4C26">
              <w:rPr>
                <w:sz w:val="20"/>
                <w:lang w:eastAsia="fi-FI"/>
              </w:rPr>
              <w:t>snt</w:t>
            </w:r>
            <w:proofErr w:type="spellEnd"/>
            <w:r w:rsidRPr="006E4C26">
              <w:rPr>
                <w:sz w:val="20"/>
                <w:lang w:eastAsia="fi-FI"/>
              </w:rPr>
              <w:t>/l</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61</w:t>
            </w:r>
          </w:p>
        </w:tc>
        <w:tc>
          <w:tcPr>
            <w:tcW w:w="1178" w:type="dxa"/>
            <w:shd w:val="clear" w:color="auto" w:fill="auto"/>
            <w:hideMark/>
          </w:tcPr>
          <w:p w:rsidR="00BB3319" w:rsidRPr="006E4C26" w:rsidRDefault="00BB3319" w:rsidP="00BB3319">
            <w:pPr>
              <w:jc w:val="center"/>
              <w:rPr>
                <w:sz w:val="20"/>
                <w:lang w:eastAsia="fi-FI"/>
              </w:rPr>
            </w:pPr>
            <w:r w:rsidRPr="006E4C26">
              <w:rPr>
                <w:sz w:val="20"/>
                <w:lang w:eastAsia="fi-FI"/>
              </w:rPr>
              <w:t>7,63</w:t>
            </w:r>
          </w:p>
        </w:tc>
        <w:tc>
          <w:tcPr>
            <w:tcW w:w="1582" w:type="dxa"/>
            <w:shd w:val="clear" w:color="auto" w:fill="auto"/>
            <w:hideMark/>
          </w:tcPr>
          <w:p w:rsidR="00BB3319" w:rsidRPr="006E4C26" w:rsidRDefault="00BB3319" w:rsidP="00BB3319">
            <w:pPr>
              <w:jc w:val="center"/>
              <w:rPr>
                <w:sz w:val="20"/>
                <w:lang w:eastAsia="fi-FI"/>
              </w:rPr>
            </w:pPr>
            <w:r w:rsidRPr="006E4C26">
              <w:rPr>
                <w:sz w:val="20"/>
                <w:lang w:eastAsia="fi-FI"/>
              </w:rPr>
              <w:t>16,90</w:t>
            </w:r>
          </w:p>
        </w:tc>
        <w:tc>
          <w:tcPr>
            <w:tcW w:w="1160" w:type="dxa"/>
            <w:shd w:val="clear" w:color="auto" w:fill="auto"/>
            <w:hideMark/>
          </w:tcPr>
          <w:p w:rsidR="00BB3319" w:rsidRPr="006E4C26" w:rsidRDefault="00BB3319" w:rsidP="00BB3319">
            <w:pPr>
              <w:jc w:val="center"/>
              <w:rPr>
                <w:sz w:val="20"/>
                <w:lang w:eastAsia="fi-FI"/>
              </w:rPr>
            </w:pPr>
            <w:r w:rsidRPr="006E4C26">
              <w:rPr>
                <w:sz w:val="20"/>
                <w:lang w:eastAsia="fi-FI"/>
              </w:rPr>
              <w:t>0,35</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24,88</w:t>
            </w:r>
          </w:p>
        </w:tc>
      </w:tr>
      <w:tr w:rsidR="006E4C26" w:rsidRPr="006E4C26" w:rsidTr="002525DB">
        <w:trPr>
          <w:trHeight w:val="260"/>
        </w:trPr>
        <w:tc>
          <w:tcPr>
            <w:tcW w:w="2540" w:type="dxa"/>
            <w:shd w:val="clear" w:color="auto" w:fill="auto"/>
            <w:hideMark/>
          </w:tcPr>
          <w:p w:rsidR="00BB3319" w:rsidRPr="006E4C26" w:rsidRDefault="00BB3319" w:rsidP="00BB3319">
            <w:pPr>
              <w:rPr>
                <w:sz w:val="20"/>
                <w:lang w:eastAsia="fi-FI"/>
              </w:rPr>
            </w:pPr>
            <w:r w:rsidRPr="006E4C26">
              <w:rPr>
                <w:sz w:val="20"/>
                <w:lang w:eastAsia="fi-FI"/>
              </w:rPr>
              <w:t xml:space="preserve">Biopolttoöljy </w:t>
            </w:r>
            <w:proofErr w:type="spellStart"/>
            <w:r w:rsidRPr="006E4C26">
              <w:rPr>
                <w:sz w:val="20"/>
                <w:lang w:eastAsia="fi-FI"/>
              </w:rPr>
              <w:t>snt</w:t>
            </w:r>
            <w:proofErr w:type="spellEnd"/>
            <w:r w:rsidRPr="006E4C26">
              <w:rPr>
                <w:sz w:val="20"/>
                <w:lang w:eastAsia="fi-FI"/>
              </w:rPr>
              <w:t>/l</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62</w:t>
            </w:r>
          </w:p>
        </w:tc>
        <w:tc>
          <w:tcPr>
            <w:tcW w:w="1178" w:type="dxa"/>
            <w:shd w:val="clear" w:color="auto" w:fill="auto"/>
            <w:hideMark/>
          </w:tcPr>
          <w:p w:rsidR="00BB3319" w:rsidRPr="006E4C26" w:rsidRDefault="00BB3319" w:rsidP="00BB3319">
            <w:pPr>
              <w:jc w:val="center"/>
              <w:rPr>
                <w:sz w:val="20"/>
                <w:lang w:eastAsia="fi-FI"/>
              </w:rPr>
            </w:pPr>
            <w:r w:rsidRPr="006E4C26">
              <w:rPr>
                <w:sz w:val="20"/>
                <w:lang w:eastAsia="fi-FI"/>
              </w:rPr>
              <w:t>7,63</w:t>
            </w:r>
          </w:p>
        </w:tc>
        <w:tc>
          <w:tcPr>
            <w:tcW w:w="1582" w:type="dxa"/>
            <w:shd w:val="clear" w:color="auto" w:fill="auto"/>
            <w:hideMark/>
          </w:tcPr>
          <w:p w:rsidR="00BB3319" w:rsidRPr="006E4C26" w:rsidRDefault="00BB3319" w:rsidP="00BB3319">
            <w:pPr>
              <w:jc w:val="center"/>
              <w:rPr>
                <w:sz w:val="20"/>
                <w:lang w:eastAsia="fi-FI"/>
              </w:rPr>
            </w:pPr>
            <w:r w:rsidRPr="006E4C26">
              <w:rPr>
                <w:sz w:val="20"/>
                <w:lang w:eastAsia="fi-FI"/>
              </w:rPr>
              <w:t>16,90</w:t>
            </w:r>
          </w:p>
        </w:tc>
        <w:tc>
          <w:tcPr>
            <w:tcW w:w="1160" w:type="dxa"/>
            <w:shd w:val="clear" w:color="auto" w:fill="auto"/>
            <w:hideMark/>
          </w:tcPr>
          <w:p w:rsidR="00BB3319" w:rsidRPr="006E4C26" w:rsidRDefault="00BB3319" w:rsidP="00BB3319">
            <w:pPr>
              <w:jc w:val="center"/>
              <w:rPr>
                <w:sz w:val="20"/>
                <w:lang w:eastAsia="fi-FI"/>
              </w:rPr>
            </w:pPr>
            <w:r w:rsidRPr="006E4C26">
              <w:rPr>
                <w:sz w:val="20"/>
                <w:lang w:eastAsia="fi-FI"/>
              </w:rPr>
              <w:t>0,35</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24,88</w:t>
            </w:r>
          </w:p>
        </w:tc>
      </w:tr>
      <w:tr w:rsidR="006E4C26" w:rsidRPr="006E4C26" w:rsidTr="002525DB">
        <w:trPr>
          <w:trHeight w:val="260"/>
        </w:trPr>
        <w:tc>
          <w:tcPr>
            <w:tcW w:w="2540" w:type="dxa"/>
            <w:shd w:val="clear" w:color="auto" w:fill="auto"/>
            <w:hideMark/>
          </w:tcPr>
          <w:p w:rsidR="00BB3319" w:rsidRPr="006E4C26" w:rsidRDefault="00BB3319" w:rsidP="00BB3319">
            <w:pPr>
              <w:rPr>
                <w:sz w:val="20"/>
                <w:lang w:eastAsia="fi-FI"/>
              </w:rPr>
            </w:pPr>
            <w:r w:rsidRPr="006E4C26">
              <w:rPr>
                <w:sz w:val="20"/>
                <w:lang w:eastAsia="fi-FI"/>
              </w:rPr>
              <w:t xml:space="preserve">Biopolttoöljy R </w:t>
            </w:r>
            <w:proofErr w:type="spellStart"/>
            <w:r w:rsidRPr="006E4C26">
              <w:rPr>
                <w:sz w:val="20"/>
                <w:lang w:eastAsia="fi-FI"/>
              </w:rPr>
              <w:t>snt</w:t>
            </w:r>
            <w:proofErr w:type="spellEnd"/>
            <w:r w:rsidRPr="006E4C26">
              <w:rPr>
                <w:sz w:val="20"/>
                <w:lang w:eastAsia="fi-FI"/>
              </w:rPr>
              <w:t>/l</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63</w:t>
            </w:r>
          </w:p>
        </w:tc>
        <w:tc>
          <w:tcPr>
            <w:tcW w:w="1178" w:type="dxa"/>
            <w:shd w:val="clear" w:color="auto" w:fill="auto"/>
            <w:hideMark/>
          </w:tcPr>
          <w:p w:rsidR="00BB3319" w:rsidRPr="006E4C26" w:rsidRDefault="00BB3319" w:rsidP="00BB3319">
            <w:pPr>
              <w:jc w:val="center"/>
              <w:rPr>
                <w:sz w:val="20"/>
                <w:lang w:eastAsia="fi-FI"/>
              </w:rPr>
            </w:pPr>
            <w:r w:rsidRPr="006E4C26">
              <w:rPr>
                <w:sz w:val="20"/>
                <w:lang w:eastAsia="fi-FI"/>
              </w:rPr>
              <w:t>7,63</w:t>
            </w:r>
          </w:p>
        </w:tc>
        <w:tc>
          <w:tcPr>
            <w:tcW w:w="1582" w:type="dxa"/>
            <w:shd w:val="clear" w:color="auto" w:fill="auto"/>
            <w:hideMark/>
          </w:tcPr>
          <w:p w:rsidR="00BB3319" w:rsidRPr="006E4C26" w:rsidRDefault="00BB3319" w:rsidP="00BB3319">
            <w:pPr>
              <w:jc w:val="center"/>
              <w:rPr>
                <w:sz w:val="20"/>
                <w:lang w:eastAsia="fi-FI"/>
              </w:rPr>
            </w:pPr>
            <w:r w:rsidRPr="006E4C26">
              <w:rPr>
                <w:sz w:val="20"/>
                <w:lang w:eastAsia="fi-FI"/>
              </w:rPr>
              <w:t>8,45</w:t>
            </w:r>
          </w:p>
        </w:tc>
        <w:tc>
          <w:tcPr>
            <w:tcW w:w="1160" w:type="dxa"/>
            <w:shd w:val="clear" w:color="auto" w:fill="auto"/>
            <w:hideMark/>
          </w:tcPr>
          <w:p w:rsidR="00BB3319" w:rsidRPr="006E4C26" w:rsidRDefault="00BB3319" w:rsidP="00BB3319">
            <w:pPr>
              <w:jc w:val="center"/>
              <w:rPr>
                <w:sz w:val="20"/>
                <w:lang w:eastAsia="fi-FI"/>
              </w:rPr>
            </w:pPr>
            <w:r w:rsidRPr="006E4C26">
              <w:rPr>
                <w:sz w:val="20"/>
                <w:lang w:eastAsia="fi-FI"/>
              </w:rPr>
              <w:t>0,35</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16,43</w:t>
            </w:r>
          </w:p>
        </w:tc>
      </w:tr>
      <w:tr w:rsidR="006E4C26" w:rsidRPr="006E4C26" w:rsidTr="002525DB">
        <w:trPr>
          <w:trHeight w:val="260"/>
        </w:trPr>
        <w:tc>
          <w:tcPr>
            <w:tcW w:w="2540" w:type="dxa"/>
            <w:shd w:val="clear" w:color="auto" w:fill="auto"/>
            <w:hideMark/>
          </w:tcPr>
          <w:p w:rsidR="00BB3319" w:rsidRPr="006E4C26" w:rsidRDefault="00BB3319" w:rsidP="00BB3319">
            <w:pPr>
              <w:rPr>
                <w:sz w:val="20"/>
                <w:lang w:eastAsia="fi-FI"/>
              </w:rPr>
            </w:pPr>
            <w:r w:rsidRPr="006E4C26">
              <w:rPr>
                <w:sz w:val="20"/>
                <w:lang w:eastAsia="fi-FI"/>
              </w:rPr>
              <w:t xml:space="preserve">Biopolttoöljy T </w:t>
            </w:r>
            <w:proofErr w:type="spellStart"/>
            <w:r w:rsidRPr="006E4C26">
              <w:rPr>
                <w:sz w:val="20"/>
                <w:lang w:eastAsia="fi-FI"/>
              </w:rPr>
              <w:t>snt</w:t>
            </w:r>
            <w:proofErr w:type="spellEnd"/>
            <w:r w:rsidRPr="006E4C26">
              <w:rPr>
                <w:sz w:val="20"/>
                <w:lang w:eastAsia="fi-FI"/>
              </w:rPr>
              <w:t>/l</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64</w:t>
            </w:r>
          </w:p>
        </w:tc>
        <w:tc>
          <w:tcPr>
            <w:tcW w:w="1178" w:type="dxa"/>
            <w:shd w:val="clear" w:color="auto" w:fill="auto"/>
            <w:hideMark/>
          </w:tcPr>
          <w:p w:rsidR="00BB3319" w:rsidRPr="006E4C26" w:rsidRDefault="00BB3319" w:rsidP="00BB3319">
            <w:pPr>
              <w:jc w:val="center"/>
              <w:rPr>
                <w:sz w:val="20"/>
                <w:lang w:eastAsia="fi-FI"/>
              </w:rPr>
            </w:pPr>
            <w:r w:rsidRPr="006E4C26">
              <w:rPr>
                <w:sz w:val="20"/>
                <w:lang w:eastAsia="fi-FI"/>
              </w:rPr>
              <w:t>7,63</w:t>
            </w:r>
          </w:p>
        </w:tc>
        <w:tc>
          <w:tcPr>
            <w:tcW w:w="1582" w:type="dxa"/>
            <w:shd w:val="clear" w:color="auto" w:fill="auto"/>
            <w:hideMark/>
          </w:tcPr>
          <w:p w:rsidR="00BB3319" w:rsidRPr="006E4C26" w:rsidRDefault="00BB3319" w:rsidP="00BB3319">
            <w:pPr>
              <w:jc w:val="center"/>
              <w:rPr>
                <w:sz w:val="20"/>
                <w:lang w:eastAsia="fi-FI"/>
              </w:rPr>
            </w:pPr>
            <w:r w:rsidRPr="006E4C26">
              <w:rPr>
                <w:sz w:val="20"/>
                <w:lang w:eastAsia="fi-FI"/>
              </w:rPr>
              <w:t>0,00</w:t>
            </w:r>
          </w:p>
        </w:tc>
        <w:tc>
          <w:tcPr>
            <w:tcW w:w="1160" w:type="dxa"/>
            <w:shd w:val="clear" w:color="auto" w:fill="auto"/>
            <w:hideMark/>
          </w:tcPr>
          <w:p w:rsidR="00BB3319" w:rsidRPr="006E4C26" w:rsidRDefault="00BB3319" w:rsidP="00BB3319">
            <w:pPr>
              <w:jc w:val="center"/>
              <w:rPr>
                <w:sz w:val="20"/>
                <w:lang w:eastAsia="fi-FI"/>
              </w:rPr>
            </w:pPr>
            <w:r w:rsidRPr="006E4C26">
              <w:rPr>
                <w:sz w:val="20"/>
                <w:lang w:eastAsia="fi-FI"/>
              </w:rPr>
              <w:t>0,35</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7,98</w:t>
            </w:r>
          </w:p>
        </w:tc>
      </w:tr>
      <w:tr w:rsidR="006E4C26" w:rsidRPr="006E4C26" w:rsidTr="002525DB">
        <w:trPr>
          <w:trHeight w:val="260"/>
        </w:trPr>
        <w:tc>
          <w:tcPr>
            <w:tcW w:w="2540" w:type="dxa"/>
            <w:shd w:val="clear" w:color="auto" w:fill="auto"/>
            <w:hideMark/>
          </w:tcPr>
          <w:p w:rsidR="00BB3319" w:rsidRPr="006E4C26" w:rsidRDefault="00BB3319" w:rsidP="00BB3319">
            <w:pPr>
              <w:rPr>
                <w:sz w:val="20"/>
                <w:lang w:eastAsia="fi-FI"/>
              </w:rPr>
            </w:pPr>
            <w:r w:rsidRPr="006E4C26">
              <w:rPr>
                <w:sz w:val="20"/>
                <w:lang w:eastAsia="fi-FI"/>
              </w:rPr>
              <w:t xml:space="preserve">Raskas polttoöljy </w:t>
            </w:r>
            <w:proofErr w:type="spellStart"/>
            <w:r w:rsidRPr="006E4C26">
              <w:rPr>
                <w:sz w:val="20"/>
                <w:lang w:eastAsia="fi-FI"/>
              </w:rPr>
              <w:t>snt</w:t>
            </w:r>
            <w:proofErr w:type="spellEnd"/>
            <w:r w:rsidRPr="006E4C26">
              <w:rPr>
                <w:sz w:val="20"/>
                <w:lang w:eastAsia="fi-FI"/>
              </w:rPr>
              <w:t>/kg</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71</w:t>
            </w:r>
          </w:p>
        </w:tc>
        <w:tc>
          <w:tcPr>
            <w:tcW w:w="1178" w:type="dxa"/>
            <w:shd w:val="clear" w:color="auto" w:fill="auto"/>
            <w:hideMark/>
          </w:tcPr>
          <w:p w:rsidR="00BB3319" w:rsidRPr="006E4C26" w:rsidRDefault="00BB3319" w:rsidP="00BB3319">
            <w:pPr>
              <w:jc w:val="center"/>
              <w:rPr>
                <w:sz w:val="20"/>
                <w:lang w:eastAsia="fi-FI"/>
              </w:rPr>
            </w:pPr>
            <w:r w:rsidRPr="006E4C26">
              <w:rPr>
                <w:sz w:val="20"/>
                <w:lang w:eastAsia="fi-FI"/>
              </w:rPr>
              <w:t>8,56</w:t>
            </w:r>
          </w:p>
        </w:tc>
        <w:tc>
          <w:tcPr>
            <w:tcW w:w="1582" w:type="dxa"/>
            <w:shd w:val="clear" w:color="auto" w:fill="auto"/>
            <w:hideMark/>
          </w:tcPr>
          <w:p w:rsidR="00BB3319" w:rsidRPr="006E4C26" w:rsidRDefault="00BB3319" w:rsidP="00BB3319">
            <w:pPr>
              <w:jc w:val="center"/>
              <w:rPr>
                <w:sz w:val="20"/>
                <w:lang w:eastAsia="fi-FI"/>
              </w:rPr>
            </w:pPr>
            <w:r w:rsidRPr="006E4C26">
              <w:rPr>
                <w:sz w:val="20"/>
                <w:lang w:eastAsia="fi-FI"/>
              </w:rPr>
              <w:t>18,67</w:t>
            </w:r>
          </w:p>
        </w:tc>
        <w:tc>
          <w:tcPr>
            <w:tcW w:w="1160" w:type="dxa"/>
            <w:shd w:val="clear" w:color="auto" w:fill="auto"/>
            <w:hideMark/>
          </w:tcPr>
          <w:p w:rsidR="00BB3319" w:rsidRPr="006E4C26" w:rsidRDefault="00BB3319" w:rsidP="00BB3319">
            <w:pPr>
              <w:jc w:val="center"/>
              <w:rPr>
                <w:sz w:val="20"/>
                <w:lang w:eastAsia="fi-FI"/>
              </w:rPr>
            </w:pPr>
            <w:r w:rsidRPr="006E4C26">
              <w:rPr>
                <w:sz w:val="20"/>
                <w:lang w:eastAsia="fi-FI"/>
              </w:rPr>
              <w:t>0,28</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27,51</w:t>
            </w:r>
          </w:p>
        </w:tc>
      </w:tr>
      <w:tr w:rsidR="006E4C26" w:rsidRPr="006E4C26" w:rsidTr="002525DB">
        <w:trPr>
          <w:trHeight w:val="260"/>
        </w:trPr>
        <w:tc>
          <w:tcPr>
            <w:tcW w:w="2540" w:type="dxa"/>
            <w:shd w:val="clear" w:color="auto" w:fill="auto"/>
            <w:hideMark/>
          </w:tcPr>
          <w:p w:rsidR="00BB3319" w:rsidRPr="006E4C26" w:rsidRDefault="00BB3319" w:rsidP="00BB3319">
            <w:pPr>
              <w:rPr>
                <w:sz w:val="20"/>
                <w:lang w:eastAsia="fi-FI"/>
              </w:rPr>
            </w:pPr>
            <w:r w:rsidRPr="006E4C26">
              <w:rPr>
                <w:sz w:val="20"/>
                <w:lang w:eastAsia="fi-FI"/>
              </w:rPr>
              <w:t xml:space="preserve">Lentopetroli </w:t>
            </w:r>
            <w:proofErr w:type="spellStart"/>
            <w:r w:rsidRPr="006E4C26">
              <w:rPr>
                <w:sz w:val="20"/>
                <w:lang w:eastAsia="fi-FI"/>
              </w:rPr>
              <w:t>snt</w:t>
            </w:r>
            <w:proofErr w:type="spellEnd"/>
            <w:r w:rsidRPr="006E4C26">
              <w:rPr>
                <w:sz w:val="20"/>
                <w:lang w:eastAsia="fi-FI"/>
              </w:rPr>
              <w:t>/l</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81</w:t>
            </w:r>
          </w:p>
        </w:tc>
        <w:tc>
          <w:tcPr>
            <w:tcW w:w="1178" w:type="dxa"/>
            <w:shd w:val="clear" w:color="auto" w:fill="auto"/>
            <w:hideMark/>
          </w:tcPr>
          <w:p w:rsidR="00BB3319" w:rsidRPr="006E4C26" w:rsidRDefault="00BB3319" w:rsidP="00BB3319">
            <w:pPr>
              <w:jc w:val="center"/>
              <w:rPr>
                <w:sz w:val="20"/>
                <w:lang w:eastAsia="fi-FI"/>
              </w:rPr>
            </w:pPr>
            <w:r w:rsidRPr="006E4C26">
              <w:rPr>
                <w:sz w:val="20"/>
                <w:lang w:eastAsia="fi-FI"/>
              </w:rPr>
              <w:t>61,49</w:t>
            </w:r>
          </w:p>
        </w:tc>
        <w:tc>
          <w:tcPr>
            <w:tcW w:w="1582" w:type="dxa"/>
            <w:shd w:val="clear" w:color="auto" w:fill="auto"/>
            <w:hideMark/>
          </w:tcPr>
          <w:p w:rsidR="00BB3319" w:rsidRPr="006E4C26" w:rsidRDefault="00BB3319" w:rsidP="00BB3319">
            <w:pPr>
              <w:jc w:val="center"/>
              <w:rPr>
                <w:sz w:val="20"/>
                <w:lang w:eastAsia="fi-FI"/>
              </w:rPr>
            </w:pPr>
            <w:r w:rsidRPr="006E4C26">
              <w:rPr>
                <w:sz w:val="20"/>
                <w:lang w:eastAsia="fi-FI"/>
              </w:rPr>
              <w:t>18,79</w:t>
            </w:r>
          </w:p>
        </w:tc>
        <w:tc>
          <w:tcPr>
            <w:tcW w:w="1160" w:type="dxa"/>
            <w:shd w:val="clear" w:color="auto" w:fill="auto"/>
            <w:hideMark/>
          </w:tcPr>
          <w:p w:rsidR="00BB3319" w:rsidRPr="006E4C26" w:rsidRDefault="00BB3319" w:rsidP="00BB3319">
            <w:pPr>
              <w:jc w:val="center"/>
              <w:rPr>
                <w:sz w:val="20"/>
                <w:lang w:eastAsia="fi-FI"/>
              </w:rPr>
            </w:pPr>
            <w:r w:rsidRPr="006E4C26">
              <w:rPr>
                <w:sz w:val="20"/>
                <w:lang w:eastAsia="fi-FI"/>
              </w:rPr>
              <w:t>0,35</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80,63</w:t>
            </w:r>
          </w:p>
        </w:tc>
      </w:tr>
      <w:tr w:rsidR="006E4C26" w:rsidRPr="006E4C26" w:rsidTr="002525DB">
        <w:trPr>
          <w:trHeight w:val="260"/>
        </w:trPr>
        <w:tc>
          <w:tcPr>
            <w:tcW w:w="2540" w:type="dxa"/>
            <w:shd w:val="clear" w:color="auto" w:fill="auto"/>
            <w:hideMark/>
          </w:tcPr>
          <w:p w:rsidR="00BB3319" w:rsidRPr="006E4C26" w:rsidRDefault="00BB3319" w:rsidP="00BB3319">
            <w:pPr>
              <w:rPr>
                <w:sz w:val="20"/>
                <w:lang w:eastAsia="fi-FI"/>
              </w:rPr>
            </w:pPr>
            <w:r w:rsidRPr="006E4C26">
              <w:rPr>
                <w:sz w:val="20"/>
                <w:lang w:eastAsia="fi-FI"/>
              </w:rPr>
              <w:t xml:space="preserve">Lentobensiini </w:t>
            </w:r>
            <w:proofErr w:type="spellStart"/>
            <w:r w:rsidRPr="006E4C26">
              <w:rPr>
                <w:sz w:val="20"/>
                <w:lang w:eastAsia="fi-FI"/>
              </w:rPr>
              <w:t>snt</w:t>
            </w:r>
            <w:proofErr w:type="spellEnd"/>
            <w:r w:rsidRPr="006E4C26">
              <w:rPr>
                <w:sz w:val="20"/>
                <w:lang w:eastAsia="fi-FI"/>
              </w:rPr>
              <w:t>/l</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91</w:t>
            </w:r>
          </w:p>
        </w:tc>
        <w:tc>
          <w:tcPr>
            <w:tcW w:w="1178" w:type="dxa"/>
            <w:shd w:val="clear" w:color="auto" w:fill="auto"/>
            <w:hideMark/>
          </w:tcPr>
          <w:p w:rsidR="00BB3319" w:rsidRPr="006E4C26" w:rsidRDefault="00BB3319" w:rsidP="00BB3319">
            <w:pPr>
              <w:jc w:val="center"/>
              <w:rPr>
                <w:sz w:val="20"/>
                <w:lang w:eastAsia="fi-FI"/>
              </w:rPr>
            </w:pPr>
            <w:r w:rsidRPr="006E4C26">
              <w:rPr>
                <w:sz w:val="20"/>
                <w:lang w:eastAsia="fi-FI"/>
              </w:rPr>
              <w:t>55,74</w:t>
            </w:r>
          </w:p>
        </w:tc>
        <w:tc>
          <w:tcPr>
            <w:tcW w:w="1582" w:type="dxa"/>
            <w:shd w:val="clear" w:color="auto" w:fill="auto"/>
            <w:hideMark/>
          </w:tcPr>
          <w:p w:rsidR="00BB3319" w:rsidRPr="006E4C26" w:rsidRDefault="00BB3319" w:rsidP="00BB3319">
            <w:pPr>
              <w:jc w:val="center"/>
              <w:rPr>
                <w:sz w:val="20"/>
                <w:lang w:eastAsia="fi-FI"/>
              </w:rPr>
            </w:pPr>
            <w:r w:rsidRPr="006E4C26">
              <w:rPr>
                <w:sz w:val="20"/>
                <w:lang w:eastAsia="fi-FI"/>
              </w:rPr>
              <w:t>16,76</w:t>
            </w:r>
          </w:p>
        </w:tc>
        <w:tc>
          <w:tcPr>
            <w:tcW w:w="1160" w:type="dxa"/>
            <w:shd w:val="clear" w:color="auto" w:fill="auto"/>
            <w:hideMark/>
          </w:tcPr>
          <w:p w:rsidR="00BB3319" w:rsidRPr="006E4C26" w:rsidRDefault="00BB3319" w:rsidP="00BB3319">
            <w:pPr>
              <w:jc w:val="center"/>
              <w:rPr>
                <w:sz w:val="20"/>
                <w:lang w:eastAsia="fi-FI"/>
              </w:rPr>
            </w:pPr>
            <w:r w:rsidRPr="006E4C26">
              <w:rPr>
                <w:sz w:val="20"/>
                <w:lang w:eastAsia="fi-FI"/>
              </w:rPr>
              <w:t>0,68</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73,18</w:t>
            </w:r>
          </w:p>
        </w:tc>
      </w:tr>
      <w:tr w:rsidR="006E4C26" w:rsidRPr="006E4C26" w:rsidTr="002525DB">
        <w:trPr>
          <w:trHeight w:val="260"/>
        </w:trPr>
        <w:tc>
          <w:tcPr>
            <w:tcW w:w="2540" w:type="dxa"/>
            <w:shd w:val="clear" w:color="auto" w:fill="auto"/>
            <w:hideMark/>
          </w:tcPr>
          <w:p w:rsidR="00BB3319" w:rsidRPr="006E4C26" w:rsidRDefault="00BB3319" w:rsidP="00BB3319">
            <w:pPr>
              <w:rPr>
                <w:sz w:val="20"/>
                <w:lang w:eastAsia="fi-FI"/>
              </w:rPr>
            </w:pPr>
            <w:r w:rsidRPr="006E4C26">
              <w:rPr>
                <w:sz w:val="20"/>
                <w:lang w:eastAsia="fi-FI"/>
              </w:rPr>
              <w:t xml:space="preserve">Metanoli </w:t>
            </w:r>
            <w:proofErr w:type="spellStart"/>
            <w:r w:rsidRPr="006E4C26">
              <w:rPr>
                <w:sz w:val="20"/>
                <w:lang w:eastAsia="fi-FI"/>
              </w:rPr>
              <w:t>snt</w:t>
            </w:r>
            <w:proofErr w:type="spellEnd"/>
            <w:r w:rsidRPr="006E4C26">
              <w:rPr>
                <w:sz w:val="20"/>
                <w:lang w:eastAsia="fi-FI"/>
              </w:rPr>
              <w:t>/l</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100</w:t>
            </w:r>
          </w:p>
        </w:tc>
        <w:tc>
          <w:tcPr>
            <w:tcW w:w="1178" w:type="dxa"/>
            <w:shd w:val="clear" w:color="auto" w:fill="auto"/>
            <w:hideMark/>
          </w:tcPr>
          <w:p w:rsidR="00BB3319" w:rsidRPr="006E4C26" w:rsidRDefault="00BB3319" w:rsidP="00BB3319">
            <w:pPr>
              <w:jc w:val="center"/>
              <w:rPr>
                <w:sz w:val="20"/>
                <w:lang w:eastAsia="fi-FI"/>
              </w:rPr>
            </w:pPr>
            <w:r w:rsidRPr="006E4C26">
              <w:rPr>
                <w:sz w:val="20"/>
                <w:lang w:eastAsia="fi-FI"/>
              </w:rPr>
              <w:t>28,77</w:t>
            </w:r>
          </w:p>
        </w:tc>
        <w:tc>
          <w:tcPr>
            <w:tcW w:w="1582" w:type="dxa"/>
            <w:shd w:val="clear" w:color="auto" w:fill="auto"/>
            <w:hideMark/>
          </w:tcPr>
          <w:p w:rsidR="00BB3319" w:rsidRPr="006E4C26" w:rsidRDefault="00BB3319" w:rsidP="00BB3319">
            <w:pPr>
              <w:jc w:val="center"/>
              <w:rPr>
                <w:sz w:val="20"/>
                <w:lang w:eastAsia="fi-FI"/>
              </w:rPr>
            </w:pPr>
            <w:r w:rsidRPr="006E4C26">
              <w:rPr>
                <w:sz w:val="20"/>
                <w:lang w:eastAsia="fi-FI"/>
              </w:rPr>
              <w:t>8,65</w:t>
            </w:r>
          </w:p>
        </w:tc>
        <w:tc>
          <w:tcPr>
            <w:tcW w:w="1160" w:type="dxa"/>
            <w:shd w:val="clear" w:color="auto" w:fill="auto"/>
            <w:hideMark/>
          </w:tcPr>
          <w:p w:rsidR="00BB3319" w:rsidRPr="006E4C26" w:rsidRDefault="00BB3319" w:rsidP="00BB3319">
            <w:pPr>
              <w:jc w:val="center"/>
              <w:rPr>
                <w:sz w:val="20"/>
                <w:lang w:eastAsia="fi-FI"/>
              </w:rPr>
            </w:pPr>
            <w:r w:rsidRPr="006E4C26">
              <w:rPr>
                <w:sz w:val="20"/>
                <w:lang w:eastAsia="fi-FI"/>
              </w:rPr>
              <w:t>0,68</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38,10</w:t>
            </w:r>
          </w:p>
        </w:tc>
      </w:tr>
      <w:tr w:rsidR="006E4C26" w:rsidRPr="006E4C26" w:rsidTr="002525DB">
        <w:trPr>
          <w:trHeight w:val="260"/>
        </w:trPr>
        <w:tc>
          <w:tcPr>
            <w:tcW w:w="2540" w:type="dxa"/>
            <w:shd w:val="clear" w:color="auto" w:fill="auto"/>
            <w:hideMark/>
          </w:tcPr>
          <w:p w:rsidR="00BB3319" w:rsidRPr="006E4C26" w:rsidRDefault="00BB3319" w:rsidP="00BB3319">
            <w:pPr>
              <w:rPr>
                <w:sz w:val="20"/>
                <w:lang w:eastAsia="fi-FI"/>
              </w:rPr>
            </w:pPr>
            <w:r w:rsidRPr="006E4C26">
              <w:rPr>
                <w:sz w:val="20"/>
                <w:lang w:eastAsia="fi-FI"/>
              </w:rPr>
              <w:t xml:space="preserve">Metanoli R </w:t>
            </w:r>
            <w:proofErr w:type="spellStart"/>
            <w:r w:rsidRPr="006E4C26">
              <w:rPr>
                <w:sz w:val="20"/>
                <w:lang w:eastAsia="fi-FI"/>
              </w:rPr>
              <w:t>snt</w:t>
            </w:r>
            <w:proofErr w:type="spellEnd"/>
            <w:r w:rsidRPr="006E4C26">
              <w:rPr>
                <w:sz w:val="20"/>
                <w:lang w:eastAsia="fi-FI"/>
              </w:rPr>
              <w:t>/l</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101</w:t>
            </w:r>
          </w:p>
        </w:tc>
        <w:tc>
          <w:tcPr>
            <w:tcW w:w="1178" w:type="dxa"/>
            <w:shd w:val="clear" w:color="auto" w:fill="auto"/>
            <w:hideMark/>
          </w:tcPr>
          <w:p w:rsidR="00BB3319" w:rsidRPr="006E4C26" w:rsidRDefault="00BB3319" w:rsidP="00BB3319">
            <w:pPr>
              <w:jc w:val="center"/>
              <w:rPr>
                <w:sz w:val="20"/>
                <w:lang w:eastAsia="fi-FI"/>
              </w:rPr>
            </w:pPr>
            <w:r w:rsidRPr="006E4C26">
              <w:rPr>
                <w:sz w:val="20"/>
                <w:lang w:eastAsia="fi-FI"/>
              </w:rPr>
              <w:t>28,77</w:t>
            </w:r>
          </w:p>
        </w:tc>
        <w:tc>
          <w:tcPr>
            <w:tcW w:w="1582" w:type="dxa"/>
            <w:shd w:val="clear" w:color="auto" w:fill="auto"/>
            <w:hideMark/>
          </w:tcPr>
          <w:p w:rsidR="00BB3319" w:rsidRPr="006E4C26" w:rsidRDefault="00BB3319" w:rsidP="00BB3319">
            <w:pPr>
              <w:jc w:val="center"/>
              <w:rPr>
                <w:sz w:val="20"/>
                <w:lang w:eastAsia="fi-FI"/>
              </w:rPr>
            </w:pPr>
            <w:r w:rsidRPr="006E4C26">
              <w:rPr>
                <w:sz w:val="20"/>
                <w:lang w:eastAsia="fi-FI"/>
              </w:rPr>
              <w:t>4,33</w:t>
            </w:r>
          </w:p>
        </w:tc>
        <w:tc>
          <w:tcPr>
            <w:tcW w:w="1160" w:type="dxa"/>
            <w:shd w:val="clear" w:color="auto" w:fill="auto"/>
            <w:hideMark/>
          </w:tcPr>
          <w:p w:rsidR="00BB3319" w:rsidRPr="006E4C26" w:rsidRDefault="00BB3319" w:rsidP="00BB3319">
            <w:pPr>
              <w:jc w:val="center"/>
              <w:rPr>
                <w:sz w:val="20"/>
                <w:lang w:eastAsia="fi-FI"/>
              </w:rPr>
            </w:pPr>
            <w:r w:rsidRPr="006E4C26">
              <w:rPr>
                <w:sz w:val="20"/>
                <w:lang w:eastAsia="fi-FI"/>
              </w:rPr>
              <w:t>0,68</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33,78</w:t>
            </w:r>
          </w:p>
        </w:tc>
      </w:tr>
      <w:tr w:rsidR="006E4C26" w:rsidRPr="006E4C26" w:rsidTr="002525DB">
        <w:trPr>
          <w:trHeight w:val="260"/>
        </w:trPr>
        <w:tc>
          <w:tcPr>
            <w:tcW w:w="2540" w:type="dxa"/>
            <w:shd w:val="clear" w:color="auto" w:fill="auto"/>
            <w:hideMark/>
          </w:tcPr>
          <w:p w:rsidR="00BB3319" w:rsidRPr="006E4C26" w:rsidRDefault="00BB3319" w:rsidP="00BB3319">
            <w:pPr>
              <w:rPr>
                <w:sz w:val="20"/>
                <w:lang w:eastAsia="fi-FI"/>
              </w:rPr>
            </w:pPr>
            <w:r w:rsidRPr="006E4C26">
              <w:rPr>
                <w:sz w:val="20"/>
                <w:lang w:eastAsia="fi-FI"/>
              </w:rPr>
              <w:t xml:space="preserve">Metanoli T </w:t>
            </w:r>
            <w:proofErr w:type="spellStart"/>
            <w:r w:rsidRPr="006E4C26">
              <w:rPr>
                <w:sz w:val="20"/>
                <w:lang w:eastAsia="fi-FI"/>
              </w:rPr>
              <w:t>snt</w:t>
            </w:r>
            <w:proofErr w:type="spellEnd"/>
            <w:r w:rsidRPr="006E4C26">
              <w:rPr>
                <w:sz w:val="20"/>
                <w:lang w:eastAsia="fi-FI"/>
              </w:rPr>
              <w:t>/l</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102</w:t>
            </w:r>
          </w:p>
        </w:tc>
        <w:tc>
          <w:tcPr>
            <w:tcW w:w="1178" w:type="dxa"/>
            <w:shd w:val="clear" w:color="auto" w:fill="auto"/>
            <w:hideMark/>
          </w:tcPr>
          <w:p w:rsidR="00BB3319" w:rsidRPr="006E4C26" w:rsidRDefault="00BB3319" w:rsidP="00BB3319">
            <w:pPr>
              <w:jc w:val="center"/>
              <w:rPr>
                <w:sz w:val="20"/>
                <w:lang w:eastAsia="fi-FI"/>
              </w:rPr>
            </w:pPr>
            <w:r w:rsidRPr="006E4C26">
              <w:rPr>
                <w:sz w:val="20"/>
                <w:lang w:eastAsia="fi-FI"/>
              </w:rPr>
              <w:t>28,77</w:t>
            </w:r>
          </w:p>
        </w:tc>
        <w:tc>
          <w:tcPr>
            <w:tcW w:w="1582" w:type="dxa"/>
            <w:shd w:val="clear" w:color="auto" w:fill="auto"/>
            <w:hideMark/>
          </w:tcPr>
          <w:p w:rsidR="00BB3319" w:rsidRPr="006E4C26" w:rsidRDefault="00BB3319" w:rsidP="00BB3319">
            <w:pPr>
              <w:jc w:val="center"/>
              <w:rPr>
                <w:sz w:val="20"/>
                <w:lang w:eastAsia="fi-FI"/>
              </w:rPr>
            </w:pPr>
            <w:r w:rsidRPr="006E4C26">
              <w:rPr>
                <w:sz w:val="20"/>
                <w:lang w:eastAsia="fi-FI"/>
              </w:rPr>
              <w:t>0,00</w:t>
            </w:r>
          </w:p>
        </w:tc>
        <w:tc>
          <w:tcPr>
            <w:tcW w:w="1160" w:type="dxa"/>
            <w:shd w:val="clear" w:color="auto" w:fill="auto"/>
            <w:hideMark/>
          </w:tcPr>
          <w:p w:rsidR="00BB3319" w:rsidRPr="006E4C26" w:rsidRDefault="00BB3319" w:rsidP="00BB3319">
            <w:pPr>
              <w:jc w:val="center"/>
              <w:rPr>
                <w:sz w:val="20"/>
                <w:lang w:eastAsia="fi-FI"/>
              </w:rPr>
            </w:pPr>
            <w:r w:rsidRPr="006E4C26">
              <w:rPr>
                <w:sz w:val="20"/>
                <w:lang w:eastAsia="fi-FI"/>
              </w:rPr>
              <w:t>0,68</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29,45</w:t>
            </w:r>
          </w:p>
        </w:tc>
      </w:tr>
      <w:tr w:rsidR="006E4C26" w:rsidRPr="006E4C26" w:rsidTr="002525DB">
        <w:trPr>
          <w:trHeight w:val="260"/>
        </w:trPr>
        <w:tc>
          <w:tcPr>
            <w:tcW w:w="2540" w:type="dxa"/>
            <w:shd w:val="clear" w:color="auto" w:fill="auto"/>
            <w:noWrap/>
            <w:vAlign w:val="bottom"/>
            <w:hideMark/>
          </w:tcPr>
          <w:p w:rsidR="00BB3319" w:rsidRPr="006E4C26" w:rsidRDefault="00BB3319" w:rsidP="00BB3319">
            <w:pPr>
              <w:rPr>
                <w:sz w:val="20"/>
                <w:lang w:eastAsia="fi-FI"/>
              </w:rPr>
            </w:pPr>
            <w:r w:rsidRPr="006E4C26">
              <w:rPr>
                <w:sz w:val="20"/>
                <w:lang w:eastAsia="fi-FI"/>
              </w:rPr>
              <w:t xml:space="preserve">Nestekaasu </w:t>
            </w:r>
            <w:proofErr w:type="spellStart"/>
            <w:r w:rsidRPr="006E4C26">
              <w:rPr>
                <w:sz w:val="20"/>
                <w:lang w:eastAsia="fi-FI"/>
              </w:rPr>
              <w:t>snt</w:t>
            </w:r>
            <w:proofErr w:type="spellEnd"/>
            <w:r w:rsidRPr="006E4C26">
              <w:rPr>
                <w:sz w:val="20"/>
                <w:lang w:eastAsia="fi-FI"/>
              </w:rPr>
              <w:t>/kg</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110</w:t>
            </w:r>
          </w:p>
        </w:tc>
        <w:tc>
          <w:tcPr>
            <w:tcW w:w="1178" w:type="dxa"/>
            <w:shd w:val="clear" w:color="auto" w:fill="auto"/>
            <w:hideMark/>
          </w:tcPr>
          <w:p w:rsidR="00BB3319" w:rsidRPr="006E4C26" w:rsidRDefault="00BB3319" w:rsidP="00BB3319">
            <w:pPr>
              <w:jc w:val="center"/>
              <w:rPr>
                <w:sz w:val="20"/>
                <w:lang w:eastAsia="fi-FI"/>
              </w:rPr>
            </w:pPr>
            <w:r w:rsidRPr="006E4C26">
              <w:rPr>
                <w:sz w:val="20"/>
                <w:lang w:eastAsia="fi-FI"/>
              </w:rPr>
              <w:t>9,81</w:t>
            </w:r>
          </w:p>
        </w:tc>
        <w:tc>
          <w:tcPr>
            <w:tcW w:w="1582" w:type="dxa"/>
            <w:shd w:val="clear" w:color="auto" w:fill="auto"/>
            <w:hideMark/>
          </w:tcPr>
          <w:p w:rsidR="00BB3319" w:rsidRPr="006E4C26" w:rsidRDefault="00BB3319" w:rsidP="00BB3319">
            <w:pPr>
              <w:jc w:val="center"/>
              <w:rPr>
                <w:sz w:val="20"/>
                <w:lang w:eastAsia="fi-FI"/>
              </w:rPr>
            </w:pPr>
            <w:r w:rsidRPr="006E4C26">
              <w:rPr>
                <w:sz w:val="20"/>
                <w:lang w:eastAsia="fi-FI"/>
              </w:rPr>
              <w:t>18,09</w:t>
            </w:r>
          </w:p>
        </w:tc>
        <w:tc>
          <w:tcPr>
            <w:tcW w:w="1160" w:type="dxa"/>
            <w:shd w:val="clear" w:color="auto" w:fill="auto"/>
            <w:hideMark/>
          </w:tcPr>
          <w:p w:rsidR="00BB3319" w:rsidRPr="006E4C26" w:rsidRDefault="00BB3319" w:rsidP="00BB3319">
            <w:pPr>
              <w:jc w:val="center"/>
              <w:rPr>
                <w:sz w:val="20"/>
                <w:lang w:eastAsia="fi-FI"/>
              </w:rPr>
            </w:pPr>
            <w:r w:rsidRPr="006E4C26">
              <w:rPr>
                <w:sz w:val="20"/>
                <w:lang w:eastAsia="fi-FI"/>
              </w:rPr>
              <w:t>0,11</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28,01</w:t>
            </w:r>
          </w:p>
        </w:tc>
      </w:tr>
      <w:tr w:rsidR="006E4C26" w:rsidRPr="006E4C26" w:rsidTr="002525DB">
        <w:trPr>
          <w:trHeight w:val="260"/>
        </w:trPr>
        <w:tc>
          <w:tcPr>
            <w:tcW w:w="2540" w:type="dxa"/>
            <w:shd w:val="clear" w:color="auto" w:fill="auto"/>
            <w:noWrap/>
            <w:vAlign w:val="bottom"/>
            <w:hideMark/>
          </w:tcPr>
          <w:p w:rsidR="00BB3319" w:rsidRPr="006E4C26" w:rsidRDefault="00BB3319" w:rsidP="00BB3319">
            <w:pPr>
              <w:rPr>
                <w:sz w:val="20"/>
                <w:lang w:eastAsia="fi-FI"/>
              </w:rPr>
            </w:pPr>
            <w:r w:rsidRPr="006E4C26">
              <w:rPr>
                <w:sz w:val="20"/>
                <w:lang w:eastAsia="fi-FI"/>
              </w:rPr>
              <w:t xml:space="preserve">Bionestekaasu </w:t>
            </w:r>
            <w:proofErr w:type="spellStart"/>
            <w:r w:rsidRPr="006E4C26">
              <w:rPr>
                <w:sz w:val="20"/>
                <w:lang w:eastAsia="fi-FI"/>
              </w:rPr>
              <w:t>snt</w:t>
            </w:r>
            <w:proofErr w:type="spellEnd"/>
            <w:r w:rsidRPr="006E4C26">
              <w:rPr>
                <w:sz w:val="20"/>
                <w:lang w:eastAsia="fi-FI"/>
              </w:rPr>
              <w:t>/kg</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111</w:t>
            </w:r>
          </w:p>
        </w:tc>
        <w:tc>
          <w:tcPr>
            <w:tcW w:w="1178" w:type="dxa"/>
            <w:shd w:val="clear" w:color="auto" w:fill="auto"/>
            <w:hideMark/>
          </w:tcPr>
          <w:p w:rsidR="00BB3319" w:rsidRPr="006E4C26" w:rsidRDefault="00BB3319" w:rsidP="00BB3319">
            <w:pPr>
              <w:jc w:val="center"/>
              <w:rPr>
                <w:sz w:val="20"/>
                <w:lang w:eastAsia="fi-FI"/>
              </w:rPr>
            </w:pPr>
            <w:r w:rsidRPr="006E4C26">
              <w:rPr>
                <w:sz w:val="20"/>
                <w:lang w:eastAsia="fi-FI"/>
              </w:rPr>
              <w:t>9,81</w:t>
            </w:r>
          </w:p>
        </w:tc>
        <w:tc>
          <w:tcPr>
            <w:tcW w:w="1582" w:type="dxa"/>
            <w:shd w:val="clear" w:color="auto" w:fill="auto"/>
            <w:hideMark/>
          </w:tcPr>
          <w:p w:rsidR="00BB3319" w:rsidRPr="006E4C26" w:rsidRDefault="00BB3319" w:rsidP="00BB3319">
            <w:pPr>
              <w:jc w:val="center"/>
              <w:rPr>
                <w:sz w:val="20"/>
                <w:lang w:eastAsia="fi-FI"/>
              </w:rPr>
            </w:pPr>
            <w:r w:rsidRPr="006E4C26">
              <w:rPr>
                <w:sz w:val="20"/>
                <w:lang w:eastAsia="fi-FI"/>
              </w:rPr>
              <w:t>18,09</w:t>
            </w:r>
          </w:p>
        </w:tc>
        <w:tc>
          <w:tcPr>
            <w:tcW w:w="1160" w:type="dxa"/>
            <w:shd w:val="clear" w:color="auto" w:fill="auto"/>
            <w:hideMark/>
          </w:tcPr>
          <w:p w:rsidR="00BB3319" w:rsidRPr="006E4C26" w:rsidRDefault="00BB3319" w:rsidP="00BB3319">
            <w:pPr>
              <w:jc w:val="center"/>
              <w:rPr>
                <w:sz w:val="20"/>
                <w:lang w:eastAsia="fi-FI"/>
              </w:rPr>
            </w:pPr>
            <w:r w:rsidRPr="006E4C26">
              <w:rPr>
                <w:sz w:val="20"/>
                <w:lang w:eastAsia="fi-FI"/>
              </w:rPr>
              <w:t>0,11</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28,01</w:t>
            </w:r>
          </w:p>
        </w:tc>
      </w:tr>
      <w:tr w:rsidR="006E4C26" w:rsidRPr="006E4C26" w:rsidTr="002525DB">
        <w:trPr>
          <w:trHeight w:val="260"/>
        </w:trPr>
        <w:tc>
          <w:tcPr>
            <w:tcW w:w="2540" w:type="dxa"/>
            <w:shd w:val="clear" w:color="auto" w:fill="auto"/>
            <w:noWrap/>
            <w:vAlign w:val="bottom"/>
            <w:hideMark/>
          </w:tcPr>
          <w:p w:rsidR="00BB3319" w:rsidRPr="006E4C26" w:rsidRDefault="00BB3319" w:rsidP="00BB3319">
            <w:pPr>
              <w:rPr>
                <w:sz w:val="20"/>
                <w:lang w:eastAsia="fi-FI"/>
              </w:rPr>
            </w:pPr>
            <w:r w:rsidRPr="006E4C26">
              <w:rPr>
                <w:sz w:val="20"/>
                <w:lang w:eastAsia="fi-FI"/>
              </w:rPr>
              <w:t xml:space="preserve">Bionestekaasu R </w:t>
            </w:r>
            <w:proofErr w:type="spellStart"/>
            <w:r w:rsidRPr="006E4C26">
              <w:rPr>
                <w:sz w:val="20"/>
                <w:lang w:eastAsia="fi-FI"/>
              </w:rPr>
              <w:t>snt</w:t>
            </w:r>
            <w:proofErr w:type="spellEnd"/>
            <w:r w:rsidRPr="006E4C26">
              <w:rPr>
                <w:sz w:val="20"/>
                <w:lang w:eastAsia="fi-FI"/>
              </w:rPr>
              <w:t>/kg</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112</w:t>
            </w:r>
          </w:p>
        </w:tc>
        <w:tc>
          <w:tcPr>
            <w:tcW w:w="1178" w:type="dxa"/>
            <w:shd w:val="clear" w:color="auto" w:fill="auto"/>
            <w:hideMark/>
          </w:tcPr>
          <w:p w:rsidR="00BB3319" w:rsidRPr="006E4C26" w:rsidRDefault="00BB3319" w:rsidP="00BB3319">
            <w:pPr>
              <w:jc w:val="center"/>
              <w:rPr>
                <w:sz w:val="20"/>
                <w:lang w:eastAsia="fi-FI"/>
              </w:rPr>
            </w:pPr>
            <w:r w:rsidRPr="006E4C26">
              <w:rPr>
                <w:sz w:val="20"/>
                <w:lang w:eastAsia="fi-FI"/>
              </w:rPr>
              <w:t>9,81</w:t>
            </w:r>
          </w:p>
        </w:tc>
        <w:tc>
          <w:tcPr>
            <w:tcW w:w="1582" w:type="dxa"/>
            <w:shd w:val="clear" w:color="auto" w:fill="auto"/>
            <w:hideMark/>
          </w:tcPr>
          <w:p w:rsidR="00BB3319" w:rsidRPr="006E4C26" w:rsidRDefault="00BB3319" w:rsidP="00BB3319">
            <w:pPr>
              <w:jc w:val="center"/>
              <w:rPr>
                <w:sz w:val="20"/>
                <w:lang w:eastAsia="fi-FI"/>
              </w:rPr>
            </w:pPr>
            <w:r w:rsidRPr="006E4C26">
              <w:rPr>
                <w:sz w:val="20"/>
                <w:lang w:eastAsia="fi-FI"/>
              </w:rPr>
              <w:t>9,04</w:t>
            </w:r>
          </w:p>
        </w:tc>
        <w:tc>
          <w:tcPr>
            <w:tcW w:w="1160" w:type="dxa"/>
            <w:shd w:val="clear" w:color="auto" w:fill="auto"/>
            <w:hideMark/>
          </w:tcPr>
          <w:p w:rsidR="00BB3319" w:rsidRPr="006E4C26" w:rsidRDefault="00BB3319" w:rsidP="00BB3319">
            <w:pPr>
              <w:jc w:val="center"/>
              <w:rPr>
                <w:sz w:val="20"/>
                <w:lang w:eastAsia="fi-FI"/>
              </w:rPr>
            </w:pPr>
            <w:r w:rsidRPr="006E4C26">
              <w:rPr>
                <w:sz w:val="20"/>
                <w:lang w:eastAsia="fi-FI"/>
              </w:rPr>
              <w:t>0,11</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18,96</w:t>
            </w:r>
          </w:p>
        </w:tc>
      </w:tr>
      <w:tr w:rsidR="006E4C26" w:rsidRPr="006E4C26" w:rsidTr="002525DB">
        <w:trPr>
          <w:trHeight w:val="270"/>
        </w:trPr>
        <w:tc>
          <w:tcPr>
            <w:tcW w:w="2540" w:type="dxa"/>
            <w:shd w:val="clear" w:color="auto" w:fill="auto"/>
            <w:noWrap/>
            <w:vAlign w:val="bottom"/>
            <w:hideMark/>
          </w:tcPr>
          <w:p w:rsidR="00BB3319" w:rsidRPr="006E4C26" w:rsidRDefault="00BB3319" w:rsidP="00BB3319">
            <w:pPr>
              <w:rPr>
                <w:sz w:val="20"/>
                <w:lang w:eastAsia="fi-FI"/>
              </w:rPr>
            </w:pPr>
            <w:r w:rsidRPr="006E4C26">
              <w:rPr>
                <w:sz w:val="20"/>
                <w:lang w:eastAsia="fi-FI"/>
              </w:rPr>
              <w:t xml:space="preserve">Bionestekaasu T </w:t>
            </w:r>
            <w:proofErr w:type="spellStart"/>
            <w:r w:rsidRPr="006E4C26">
              <w:rPr>
                <w:sz w:val="20"/>
                <w:lang w:eastAsia="fi-FI"/>
              </w:rPr>
              <w:t>snt</w:t>
            </w:r>
            <w:proofErr w:type="spellEnd"/>
            <w:r w:rsidRPr="006E4C26">
              <w:rPr>
                <w:sz w:val="20"/>
                <w:lang w:eastAsia="fi-FI"/>
              </w:rPr>
              <w:t>/kg</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113</w:t>
            </w:r>
          </w:p>
        </w:tc>
        <w:tc>
          <w:tcPr>
            <w:tcW w:w="1178" w:type="dxa"/>
            <w:shd w:val="clear" w:color="auto" w:fill="auto"/>
            <w:hideMark/>
          </w:tcPr>
          <w:p w:rsidR="00BB3319" w:rsidRPr="006E4C26" w:rsidRDefault="00BB3319" w:rsidP="00BB3319">
            <w:pPr>
              <w:jc w:val="center"/>
              <w:rPr>
                <w:sz w:val="20"/>
                <w:lang w:eastAsia="fi-FI"/>
              </w:rPr>
            </w:pPr>
            <w:r w:rsidRPr="006E4C26">
              <w:rPr>
                <w:sz w:val="20"/>
                <w:lang w:eastAsia="fi-FI"/>
              </w:rPr>
              <w:t>9,81</w:t>
            </w:r>
          </w:p>
        </w:tc>
        <w:tc>
          <w:tcPr>
            <w:tcW w:w="1582" w:type="dxa"/>
            <w:shd w:val="clear" w:color="auto" w:fill="auto"/>
            <w:hideMark/>
          </w:tcPr>
          <w:p w:rsidR="00BB3319" w:rsidRPr="006E4C26" w:rsidRDefault="00BB3319" w:rsidP="00BB3319">
            <w:pPr>
              <w:jc w:val="center"/>
              <w:rPr>
                <w:sz w:val="20"/>
                <w:lang w:eastAsia="fi-FI"/>
              </w:rPr>
            </w:pPr>
            <w:r w:rsidRPr="006E4C26">
              <w:rPr>
                <w:sz w:val="20"/>
                <w:lang w:eastAsia="fi-FI"/>
              </w:rPr>
              <w:t>0,00</w:t>
            </w:r>
          </w:p>
        </w:tc>
        <w:tc>
          <w:tcPr>
            <w:tcW w:w="1160" w:type="dxa"/>
            <w:shd w:val="clear" w:color="auto" w:fill="auto"/>
            <w:hideMark/>
          </w:tcPr>
          <w:p w:rsidR="00BB3319" w:rsidRPr="006E4C26" w:rsidRDefault="00BB3319" w:rsidP="00BB3319">
            <w:pPr>
              <w:jc w:val="center"/>
              <w:rPr>
                <w:sz w:val="20"/>
                <w:lang w:eastAsia="fi-FI"/>
              </w:rPr>
            </w:pPr>
            <w:r w:rsidRPr="006E4C26">
              <w:rPr>
                <w:sz w:val="20"/>
                <w:lang w:eastAsia="fi-FI"/>
              </w:rPr>
              <w:t>0,11</w:t>
            </w:r>
          </w:p>
        </w:tc>
        <w:tc>
          <w:tcPr>
            <w:tcW w:w="960" w:type="dxa"/>
            <w:shd w:val="clear" w:color="auto" w:fill="auto"/>
            <w:hideMark/>
          </w:tcPr>
          <w:p w:rsidR="00BB3319" w:rsidRPr="006E4C26" w:rsidRDefault="00BB3319" w:rsidP="00BB3319">
            <w:pPr>
              <w:jc w:val="center"/>
              <w:rPr>
                <w:sz w:val="20"/>
                <w:lang w:eastAsia="fi-FI"/>
              </w:rPr>
            </w:pPr>
            <w:r w:rsidRPr="006E4C26">
              <w:rPr>
                <w:sz w:val="20"/>
                <w:lang w:eastAsia="fi-FI"/>
              </w:rPr>
              <w:t>9,92</w:t>
            </w:r>
          </w:p>
        </w:tc>
      </w:tr>
    </w:tbl>
    <w:p w:rsidR="00EB7EE2" w:rsidRPr="006E4C26" w:rsidRDefault="00445DE2" w:rsidP="00EB7EE2">
      <w:pPr>
        <w:pStyle w:val="LLNormaali"/>
      </w:pPr>
      <w:r w:rsidRPr="006E4C26">
        <w:br w:type="page"/>
      </w:r>
    </w:p>
    <w:p w:rsidR="00EB7EE2" w:rsidRPr="006E4C26" w:rsidRDefault="004D3CEE" w:rsidP="00EB7EE2">
      <w:pPr>
        <w:pStyle w:val="LLLainNumero"/>
      </w:pPr>
      <w:r w:rsidRPr="006E4C26">
        <w:lastRenderedPageBreak/>
        <w:t>2.</w:t>
      </w:r>
    </w:p>
    <w:p w:rsidR="00EB7EE2" w:rsidRPr="006E4C26" w:rsidRDefault="00EB7EE2" w:rsidP="00EB7EE2">
      <w:pPr>
        <w:pStyle w:val="LLLaki"/>
      </w:pPr>
      <w:r w:rsidRPr="006E4C26">
        <w:t>Laki</w:t>
      </w:r>
    </w:p>
    <w:p w:rsidR="004D3CEE" w:rsidRPr="006E4C26" w:rsidRDefault="004D3CEE" w:rsidP="00EB7EE2">
      <w:pPr>
        <w:pStyle w:val="LLSaadoksenNimi"/>
      </w:pPr>
      <w:bookmarkStart w:id="21" w:name="_Toc19201160"/>
      <w:r w:rsidRPr="006E4C26">
        <w:t>valmisteverotuslain 5 §:n muuttamisesta</w:t>
      </w:r>
      <w:bookmarkEnd w:id="21"/>
    </w:p>
    <w:p w:rsidR="004D3CEE" w:rsidRPr="006E4C26" w:rsidRDefault="004D3CEE" w:rsidP="00EB7EE2">
      <w:pPr>
        <w:pStyle w:val="LLJohtolauseKappaleet"/>
      </w:pPr>
      <w:r w:rsidRPr="006E4C26">
        <w:t>Eduskunnan päätöksen mukaisesti</w:t>
      </w:r>
    </w:p>
    <w:p w:rsidR="004D3CEE" w:rsidRPr="006E4C26" w:rsidRDefault="004D3CEE" w:rsidP="00BF19A7">
      <w:pPr>
        <w:pStyle w:val="LLJohtolauseKappaleet"/>
      </w:pPr>
      <w:r w:rsidRPr="006E4C26">
        <w:rPr>
          <w:i/>
        </w:rPr>
        <w:t>muutetaan</w:t>
      </w:r>
      <w:r w:rsidRPr="006E4C26">
        <w:t xml:space="preserve"> valmisteverotuslain (182/2010) 5 §, sellaisena kuin se on osaksi laissa 495/2014, seuraavasti:</w:t>
      </w:r>
    </w:p>
    <w:p w:rsidR="00EB7EE2" w:rsidRPr="006E4C26" w:rsidRDefault="004D3CEE" w:rsidP="00EB7EE2">
      <w:pPr>
        <w:pStyle w:val="LLPykala"/>
      </w:pPr>
      <w:r w:rsidRPr="006E4C26">
        <w:t>5§</w:t>
      </w:r>
    </w:p>
    <w:p w:rsidR="00EB7EE2" w:rsidRPr="006E4C26" w:rsidRDefault="004D3CEE" w:rsidP="00EB7EE2">
      <w:pPr>
        <w:pStyle w:val="LLPykalanOtsikko"/>
      </w:pPr>
      <w:r w:rsidRPr="006E4C26">
        <w:t>Maantieteelliset määritelmät.</w:t>
      </w:r>
    </w:p>
    <w:p w:rsidR="004D3CEE" w:rsidRPr="006E4C26" w:rsidRDefault="004D3CEE" w:rsidP="00EB7EE2">
      <w:pPr>
        <w:pStyle w:val="LLMomentinJohdantoKappale"/>
      </w:pPr>
      <w:r w:rsidRPr="006E4C26">
        <w:t>Tässä laissa tarkoitetaan:</w:t>
      </w:r>
    </w:p>
    <w:p w:rsidR="004D3CEE" w:rsidRPr="006E4C26" w:rsidRDefault="004D3CEE" w:rsidP="00EB7EE2">
      <w:pPr>
        <w:pStyle w:val="LLMomentinKohta"/>
      </w:pPr>
      <w:r w:rsidRPr="006E4C26">
        <w:t xml:space="preserve">1) </w:t>
      </w:r>
      <w:r w:rsidRPr="006E4C26">
        <w:rPr>
          <w:i/>
        </w:rPr>
        <w:t>unionilla ja unionin alueella</w:t>
      </w:r>
      <w:r w:rsidRPr="006E4C26">
        <w:t xml:space="preserve"> Euroopan unionin jäsenvaltioiden alueita;</w:t>
      </w:r>
    </w:p>
    <w:p w:rsidR="004D3CEE" w:rsidRPr="006E4C26" w:rsidRDefault="004D3CEE" w:rsidP="00EB7EE2">
      <w:pPr>
        <w:pStyle w:val="LLMomentinKohta"/>
      </w:pPr>
      <w:r w:rsidRPr="006E4C26">
        <w:t xml:space="preserve">2) </w:t>
      </w:r>
      <w:r w:rsidRPr="006E4C26">
        <w:rPr>
          <w:i/>
        </w:rPr>
        <w:t>kolmannella alueella</w:t>
      </w:r>
      <w:r w:rsidRPr="006E4C26">
        <w:t xml:space="preserve"> </w:t>
      </w:r>
      <w:proofErr w:type="spellStart"/>
      <w:r w:rsidRPr="006E4C26">
        <w:t>Kanariansaaria</w:t>
      </w:r>
      <w:proofErr w:type="spellEnd"/>
      <w:r w:rsidRPr="006E4C26">
        <w:t xml:space="preserve">, Ahvenanmaan maakuntaa, Kanaalisaaria, </w:t>
      </w:r>
      <w:proofErr w:type="spellStart"/>
      <w:r w:rsidRPr="006E4C26">
        <w:t>Helgolandin</w:t>
      </w:r>
      <w:proofErr w:type="spellEnd"/>
      <w:r w:rsidRPr="006E4C26">
        <w:t xml:space="preserve"> saarta, </w:t>
      </w:r>
      <w:proofErr w:type="spellStart"/>
      <w:r w:rsidRPr="006E4C26">
        <w:t>Büsingenin</w:t>
      </w:r>
      <w:proofErr w:type="spellEnd"/>
      <w:r w:rsidRPr="006E4C26">
        <w:t xml:space="preserve"> aluetta, Ceutaa, Melillaa, </w:t>
      </w:r>
      <w:proofErr w:type="spellStart"/>
      <w:r w:rsidRPr="006E4C26">
        <w:t>Livignoa</w:t>
      </w:r>
      <w:proofErr w:type="spellEnd"/>
      <w:r w:rsidRPr="006E4C26">
        <w:t xml:space="preserve"> ja Euroopan unionin toiminnasta tehdyn sopimuksen 349 artiklassa ja 355 artiklan 1 kohdassa tarkoitettuja Ranskan alueita;</w:t>
      </w:r>
    </w:p>
    <w:p w:rsidR="004D3CEE" w:rsidRPr="006E4C26" w:rsidRDefault="004D3CEE" w:rsidP="00EB7EE2">
      <w:pPr>
        <w:pStyle w:val="LLMomentinKohta"/>
      </w:pPr>
      <w:r w:rsidRPr="006E4C26">
        <w:t xml:space="preserve">3) </w:t>
      </w:r>
      <w:r w:rsidRPr="006E4C26">
        <w:rPr>
          <w:i/>
        </w:rPr>
        <w:t>jäsenvaltiolla ja jäsenvaltion alueella</w:t>
      </w:r>
      <w:r w:rsidRPr="006E4C26">
        <w:t xml:space="preserve"> unionin jäsenvaltion aluetta, johon sovelletaan unionin lainsäädäntöä, lukuun ottamatta kolmansia alueita;</w:t>
      </w:r>
    </w:p>
    <w:p w:rsidR="004D3CEE" w:rsidRPr="006E4C26" w:rsidRDefault="004D3CEE" w:rsidP="00EB7EE2">
      <w:pPr>
        <w:pStyle w:val="LLMomentinKohta"/>
      </w:pPr>
      <w:r w:rsidRPr="006E4C26">
        <w:t xml:space="preserve">4) </w:t>
      </w:r>
      <w:r w:rsidRPr="006E4C26">
        <w:rPr>
          <w:i/>
        </w:rPr>
        <w:t>Suomella</w:t>
      </w:r>
      <w:r w:rsidRPr="006E4C26">
        <w:t xml:space="preserve"> unionin lainsäädännön mukaista Suomen aluetta mukaan lukien Ahvenanmaan maakunta;</w:t>
      </w:r>
    </w:p>
    <w:p w:rsidR="004D3CEE" w:rsidRPr="006E4C26" w:rsidRDefault="004D3CEE" w:rsidP="00EB7EE2">
      <w:pPr>
        <w:pStyle w:val="LLMomentinKohta"/>
      </w:pPr>
      <w:r w:rsidRPr="006E4C26">
        <w:t xml:space="preserve">5) </w:t>
      </w:r>
      <w:r w:rsidRPr="006E4C26">
        <w:rPr>
          <w:i/>
        </w:rPr>
        <w:t>kolmannella maalla</w:t>
      </w:r>
      <w:r w:rsidRPr="006E4C26">
        <w:t xml:space="preserve"> valtiota tai aluetta, johon ei sovelleta Euroopan unionista tehtyä sopimusta eikä Europan unionin toiminnasta tehtyä sopimusta, ei kuitenkaan Monacon ruhtinaskuntaa, San Marinoa, Yhdistyneen kuningaskunnan suvereniteettiin kuuluvia </w:t>
      </w:r>
      <w:proofErr w:type="spellStart"/>
      <w:r w:rsidRPr="006E4C26">
        <w:t>Akrotirin</w:t>
      </w:r>
      <w:proofErr w:type="spellEnd"/>
      <w:r w:rsidRPr="006E4C26">
        <w:t xml:space="preserve"> ja </w:t>
      </w:r>
      <w:proofErr w:type="spellStart"/>
      <w:r w:rsidRPr="006E4C26">
        <w:t>Dhekelian</w:t>
      </w:r>
      <w:proofErr w:type="spellEnd"/>
      <w:r w:rsidRPr="006E4C26">
        <w:t xml:space="preserve"> tukikohta-alueita eikä </w:t>
      </w:r>
      <w:proofErr w:type="spellStart"/>
      <w:r w:rsidRPr="006E4C26">
        <w:t>Mansaarta</w:t>
      </w:r>
      <w:proofErr w:type="spellEnd"/>
      <w:r w:rsidRPr="006E4C26">
        <w:t>; valmisteveron alaisten tuotteiden siirtoja, joiden lähtö- tai määräpaikka on:</w:t>
      </w:r>
    </w:p>
    <w:p w:rsidR="004D3CEE" w:rsidRPr="006E4C26" w:rsidRDefault="004D3CEE" w:rsidP="00EB7EE2">
      <w:pPr>
        <w:pStyle w:val="LLMomentinAlakohta"/>
      </w:pPr>
      <w:r w:rsidRPr="006E4C26">
        <w:t>a) Monacon ruhtinaskunta, on kohdeltava siirtoina, joiden lähtö- tai määräpaikka on Ranska;</w:t>
      </w:r>
    </w:p>
    <w:p w:rsidR="004D3CEE" w:rsidRPr="006E4C26" w:rsidRDefault="004D3CEE" w:rsidP="00EB7EE2">
      <w:pPr>
        <w:pStyle w:val="LLMomentinAlakohta"/>
      </w:pPr>
      <w:r w:rsidRPr="006E4C26">
        <w:t>b) San Marino, on kohdeltava siirtoina, joiden lähtö- tai määräpaikka on Italia;</w:t>
      </w:r>
    </w:p>
    <w:p w:rsidR="004D3CEE" w:rsidRPr="006E4C26" w:rsidRDefault="004D3CEE" w:rsidP="00EB7EE2">
      <w:pPr>
        <w:pStyle w:val="LLMomentinAlakohta"/>
      </w:pPr>
      <w:r w:rsidRPr="006E4C26">
        <w:t xml:space="preserve">c) Yhdistyneen kuningaskunnan suvereniteettiin kuuluvat </w:t>
      </w:r>
      <w:proofErr w:type="spellStart"/>
      <w:r w:rsidRPr="006E4C26">
        <w:t>Akrotirin</w:t>
      </w:r>
      <w:proofErr w:type="spellEnd"/>
      <w:r w:rsidRPr="006E4C26">
        <w:t xml:space="preserve"> ja </w:t>
      </w:r>
      <w:proofErr w:type="spellStart"/>
      <w:r w:rsidRPr="006E4C26">
        <w:t>Dhekelian</w:t>
      </w:r>
      <w:proofErr w:type="spellEnd"/>
      <w:r w:rsidRPr="006E4C26">
        <w:t xml:space="preserve"> tukikohta-alueet, on kohdeltava siirtoina, joiden lähtö- tai määräpaikka on Kypros;</w:t>
      </w:r>
    </w:p>
    <w:p w:rsidR="004D3CEE" w:rsidRPr="006E4C26" w:rsidRDefault="004D3CEE" w:rsidP="00EB7EE2">
      <w:pPr>
        <w:pStyle w:val="LLMomentinAlakohta"/>
      </w:pPr>
      <w:r w:rsidRPr="006E4C26">
        <w:t>d) Mansaari, on kohdeltava siirtoina, joiden lähtö- tai määräpaikka on Yhdistynyt kuningaskunta;</w:t>
      </w:r>
    </w:p>
    <w:p w:rsidR="004D3CEE" w:rsidRDefault="004D3CEE" w:rsidP="00EB7EE2">
      <w:pPr>
        <w:pStyle w:val="LLMomentinAlakohta"/>
      </w:pPr>
      <w:r w:rsidRPr="006E4C26">
        <w:t xml:space="preserve">e) </w:t>
      </w:r>
      <w:proofErr w:type="spellStart"/>
      <w:r w:rsidRPr="006E4C26">
        <w:t>Jungholz</w:t>
      </w:r>
      <w:proofErr w:type="spellEnd"/>
      <w:r w:rsidRPr="006E4C26">
        <w:t xml:space="preserve"> ja </w:t>
      </w:r>
      <w:proofErr w:type="spellStart"/>
      <w:r w:rsidRPr="006E4C26">
        <w:t>Mittelberg</w:t>
      </w:r>
      <w:proofErr w:type="spellEnd"/>
      <w:r w:rsidRPr="006E4C26">
        <w:t xml:space="preserve"> (</w:t>
      </w:r>
      <w:proofErr w:type="spellStart"/>
      <w:r w:rsidRPr="006E4C26">
        <w:t>Kleines</w:t>
      </w:r>
      <w:proofErr w:type="spellEnd"/>
      <w:r w:rsidRPr="006E4C26">
        <w:t xml:space="preserve"> </w:t>
      </w:r>
      <w:proofErr w:type="spellStart"/>
      <w:r w:rsidRPr="006E4C26">
        <w:t>Walsertal</w:t>
      </w:r>
      <w:proofErr w:type="spellEnd"/>
      <w:r w:rsidRPr="006E4C26">
        <w:t>), on kohdeltava siirtoina, joiden lähtö- tai määräpaikka on Saksa.</w:t>
      </w:r>
    </w:p>
    <w:p w:rsidR="001E046B" w:rsidRPr="006E4C26" w:rsidRDefault="001E046B" w:rsidP="00EB7EE2">
      <w:pPr>
        <w:pStyle w:val="LLMomentinAlakohta"/>
      </w:pPr>
      <w:r>
        <w:t>— — — — — — — — — — — — — — — — — — — — — — — — — — — — — —</w:t>
      </w:r>
    </w:p>
    <w:p w:rsidR="0079426D" w:rsidRPr="006E4C26" w:rsidRDefault="0079426D" w:rsidP="00EB7EE2">
      <w:pPr>
        <w:pStyle w:val="LLKappalejako"/>
      </w:pPr>
    </w:p>
    <w:p w:rsidR="00EB7EE2" w:rsidRPr="006E4C26" w:rsidRDefault="00EB7EE2" w:rsidP="00EB7EE2">
      <w:pPr>
        <w:pStyle w:val="LLNormaali"/>
        <w:jc w:val="center"/>
      </w:pPr>
      <w:r w:rsidRPr="006E4C26">
        <w:t>———</w:t>
      </w:r>
    </w:p>
    <w:p w:rsidR="00C31675" w:rsidRPr="006E4C26" w:rsidRDefault="004D3CEE" w:rsidP="00EB7EE2">
      <w:pPr>
        <w:pStyle w:val="LLKappalejako"/>
      </w:pPr>
      <w:r w:rsidRPr="006E4C26">
        <w:t>Tämä laki</w:t>
      </w:r>
      <w:r w:rsidR="00BF19A7" w:rsidRPr="006E4C26">
        <w:t xml:space="preserve"> tulee   päivänä </w:t>
      </w:r>
      <w:r w:rsidR="006E4C26">
        <w:t xml:space="preserve">   </w:t>
      </w:r>
      <w:r w:rsidRPr="006E4C26">
        <w:t>kuuta 20</w:t>
      </w:r>
    </w:p>
    <w:p w:rsidR="00EB7EE2" w:rsidRPr="006E4C26" w:rsidRDefault="00EB7EE2" w:rsidP="00EB7EE2">
      <w:pPr>
        <w:pStyle w:val="LLNormaali"/>
        <w:jc w:val="center"/>
      </w:pPr>
      <w:r w:rsidRPr="006E4C26">
        <w:t>—————</w:t>
      </w:r>
    </w:p>
    <w:p w:rsidR="00BF19A7" w:rsidRPr="006E4C26" w:rsidRDefault="00BF19A7" w:rsidP="00BF19A7">
      <w:pPr>
        <w:pStyle w:val="LLPaivays"/>
      </w:pPr>
      <w:r w:rsidRPr="006E4C26">
        <w:t>Helsingissä x päivänä lokakuuta 2019</w:t>
      </w:r>
    </w:p>
    <w:p w:rsidR="00BF19A7" w:rsidRPr="006E4C26" w:rsidRDefault="00BF19A7" w:rsidP="00BF19A7">
      <w:pPr>
        <w:pStyle w:val="LLAllekirjoitus"/>
      </w:pPr>
      <w:r w:rsidRPr="006E4C26">
        <w:t>Pääministeri</w:t>
      </w:r>
    </w:p>
    <w:p w:rsidR="006E4C26" w:rsidRPr="006E4C26" w:rsidRDefault="00BF19A7" w:rsidP="001E046B">
      <w:pPr>
        <w:pStyle w:val="LLNimenselvennys"/>
      </w:pPr>
      <w:r w:rsidRPr="006E4C26">
        <w:t>Antti Rinne</w:t>
      </w:r>
    </w:p>
    <w:p w:rsidR="00EB7EE2" w:rsidRPr="006E4C26" w:rsidRDefault="00BF19A7" w:rsidP="0093472F">
      <w:pPr>
        <w:pStyle w:val="LLVarmennus"/>
      </w:pPr>
      <w:r w:rsidRPr="006E4C26">
        <w:t>Valtiovarainministeri Mika Lintilä</w:t>
      </w:r>
      <w:r w:rsidR="00EB7EE2" w:rsidRPr="006E4C26">
        <w:br w:type="page"/>
      </w:r>
    </w:p>
    <w:p w:rsidR="00EB7EE2" w:rsidRPr="006E4C26" w:rsidRDefault="00EB7EE2" w:rsidP="00EB7EE2">
      <w:pPr>
        <w:pStyle w:val="LLRinnakkaistekstit"/>
      </w:pPr>
      <w:bookmarkStart w:id="22" w:name="_Toc19201161"/>
      <w:r w:rsidRPr="006E4C26">
        <w:lastRenderedPageBreak/>
        <w:t>Rinnakkaistekstit</w:t>
      </w:r>
      <w:bookmarkEnd w:id="22"/>
    </w:p>
    <w:p w:rsidR="001E046B" w:rsidRPr="006E4C26" w:rsidRDefault="001E046B" w:rsidP="001E046B">
      <w:pPr>
        <w:pStyle w:val="LLLainNumero"/>
      </w:pPr>
      <w:r w:rsidRPr="006E4C26">
        <w:t>1.</w:t>
      </w:r>
    </w:p>
    <w:p w:rsidR="001E046B" w:rsidRPr="006E4C26" w:rsidRDefault="001E046B" w:rsidP="001E046B">
      <w:pPr>
        <w:pStyle w:val="LLLaki"/>
      </w:pPr>
      <w:r w:rsidRPr="006E4C26">
        <w:t>Laki</w:t>
      </w:r>
    </w:p>
    <w:p w:rsidR="001E046B" w:rsidRPr="006E4C26" w:rsidRDefault="001E046B" w:rsidP="001E046B">
      <w:pPr>
        <w:pStyle w:val="LLSaadoksenNimi"/>
      </w:pPr>
      <w:bookmarkStart w:id="23" w:name="_Toc19201162"/>
      <w:r w:rsidRPr="006E4C26">
        <w:t>Laki nestemäisten polttoaineiden valmisteverosta annetun lain liitteen verotaulukon muuttamisesta</w:t>
      </w:r>
      <w:bookmarkEnd w:id="23"/>
    </w:p>
    <w:p w:rsidR="001E046B" w:rsidRPr="006E4C26" w:rsidRDefault="001E046B" w:rsidP="001E046B">
      <w:pPr>
        <w:pStyle w:val="LLJohtolauseKappaleet"/>
      </w:pPr>
      <w:r w:rsidRPr="006E4C26">
        <w:t>Eduskunnan päätöksen mukaisesti</w:t>
      </w:r>
    </w:p>
    <w:p w:rsidR="001E046B" w:rsidRPr="006E4C26" w:rsidRDefault="001E046B" w:rsidP="001E046B">
      <w:pPr>
        <w:pStyle w:val="LLJohtolauseKappaleet"/>
      </w:pPr>
      <w:r w:rsidRPr="006E4C26">
        <w:rPr>
          <w:i/>
        </w:rPr>
        <w:t>muutetaan</w:t>
      </w:r>
      <w:r w:rsidRPr="006E4C26">
        <w:t xml:space="preserve"> nestemäistenpolttoaineiden valmisteverosta annetun lain (1472/1994) liite, sellaisena kuin se on laissa 1225/2018, seuraavasti:</w:t>
      </w:r>
    </w:p>
    <w:p w:rsidR="00EB7EE2" w:rsidRDefault="00EB7EE2" w:rsidP="00EB7EE2">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1E046B" w:rsidTr="001E046B">
        <w:tc>
          <w:tcPr>
            <w:tcW w:w="4168" w:type="dxa"/>
            <w:shd w:val="clear" w:color="auto" w:fill="auto"/>
          </w:tcPr>
          <w:p w:rsidR="001E046B" w:rsidRPr="001E046B" w:rsidRDefault="001E046B" w:rsidP="00EB7EE2">
            <w:pPr>
              <w:pStyle w:val="LLNormaali"/>
              <w:rPr>
                <w:i/>
              </w:rPr>
            </w:pPr>
            <w:r w:rsidRPr="001E046B">
              <w:rPr>
                <w:i/>
              </w:rPr>
              <w:t>Voimassa oleva laki</w:t>
            </w:r>
          </w:p>
        </w:tc>
        <w:tc>
          <w:tcPr>
            <w:tcW w:w="4168" w:type="dxa"/>
            <w:shd w:val="clear" w:color="auto" w:fill="auto"/>
          </w:tcPr>
          <w:p w:rsidR="001E046B" w:rsidRDefault="001E046B" w:rsidP="00EB7EE2">
            <w:pPr>
              <w:pStyle w:val="LLNormaali"/>
            </w:pPr>
          </w:p>
        </w:tc>
      </w:tr>
    </w:tbl>
    <w:tbl>
      <w:tblPr>
        <w:tblW w:w="5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992"/>
        <w:gridCol w:w="1134"/>
        <w:gridCol w:w="1701"/>
        <w:gridCol w:w="1077"/>
        <w:gridCol w:w="997"/>
      </w:tblGrid>
      <w:tr w:rsidR="00D66A70" w:rsidTr="006D4EF8">
        <w:tc>
          <w:tcPr>
            <w:tcW w:w="8561" w:type="dxa"/>
            <w:gridSpan w:val="6"/>
            <w:tcBorders>
              <w:top w:val="nil"/>
              <w:left w:val="nil"/>
              <w:bottom w:val="nil"/>
              <w:right w:val="nil"/>
            </w:tcBorders>
            <w:shd w:val="clear" w:color="auto" w:fill="FFFFFF"/>
          </w:tcPr>
          <w:p w:rsidR="00D66A70" w:rsidRDefault="00D66A70" w:rsidP="00D66A70">
            <w:pPr>
              <w:rPr>
                <w:b/>
              </w:rPr>
            </w:pPr>
            <w:r>
              <w:rPr>
                <w:b/>
              </w:rPr>
              <w:t>                                                                 VEROTAULUKKO</w:t>
            </w:r>
          </w:p>
          <w:p w:rsidR="00D66A70" w:rsidRDefault="00D66A70" w:rsidP="00D66A70">
            <w:pPr>
              <w:rPr>
                <w:b/>
              </w:rPr>
            </w:pPr>
          </w:p>
        </w:tc>
      </w:tr>
      <w:tr w:rsidR="00D66A70" w:rsidTr="006D4EF8">
        <w:tc>
          <w:tcPr>
            <w:tcW w:w="2660" w:type="dxa"/>
            <w:tcBorders>
              <w:top w:val="nil"/>
              <w:left w:val="nil"/>
              <w:bottom w:val="nil"/>
              <w:right w:val="nil"/>
            </w:tcBorders>
            <w:shd w:val="clear" w:color="auto" w:fill="FFFFFF"/>
          </w:tcPr>
          <w:p w:rsidR="00D66A70" w:rsidRPr="003C2DB0" w:rsidRDefault="00D66A70" w:rsidP="003C2DB0">
            <w:pPr>
              <w:jc w:val="center"/>
              <w:rPr>
                <w:b/>
                <w:bCs/>
                <w:sz w:val="20"/>
                <w:lang w:eastAsia="fi-FI"/>
              </w:rPr>
            </w:pPr>
            <w:r w:rsidRPr="003C2DB0">
              <w:rPr>
                <w:b/>
                <w:bCs/>
                <w:sz w:val="20"/>
                <w:lang w:eastAsia="fi-FI"/>
              </w:rPr>
              <w:t>Tuote</w:t>
            </w:r>
          </w:p>
          <w:p w:rsidR="00D66A70" w:rsidRPr="003C2DB0" w:rsidRDefault="00D66A70" w:rsidP="003C2DB0">
            <w:pPr>
              <w:jc w:val="center"/>
              <w:rPr>
                <w:b/>
                <w:bCs/>
                <w:sz w:val="20"/>
                <w:lang w:eastAsia="fi-FI"/>
              </w:rPr>
            </w:pPr>
          </w:p>
        </w:tc>
        <w:tc>
          <w:tcPr>
            <w:tcW w:w="992" w:type="dxa"/>
            <w:tcBorders>
              <w:top w:val="nil"/>
              <w:left w:val="nil"/>
              <w:bottom w:val="nil"/>
              <w:right w:val="nil"/>
            </w:tcBorders>
            <w:shd w:val="clear" w:color="auto" w:fill="FFFFFF"/>
          </w:tcPr>
          <w:p w:rsidR="00D66A70" w:rsidRPr="003C2DB0" w:rsidRDefault="00D66A70" w:rsidP="003C2DB0">
            <w:pPr>
              <w:jc w:val="center"/>
              <w:rPr>
                <w:b/>
                <w:bCs/>
                <w:sz w:val="20"/>
                <w:lang w:eastAsia="fi-FI"/>
              </w:rPr>
            </w:pPr>
            <w:r w:rsidRPr="003C2DB0">
              <w:rPr>
                <w:b/>
                <w:bCs/>
                <w:sz w:val="20"/>
                <w:lang w:eastAsia="fi-FI"/>
              </w:rPr>
              <w:t>Tuoteryhmä</w:t>
            </w:r>
          </w:p>
          <w:p w:rsidR="00D66A70" w:rsidRPr="003C2DB0" w:rsidRDefault="00D66A70" w:rsidP="003C2DB0">
            <w:pPr>
              <w:jc w:val="center"/>
              <w:rPr>
                <w:b/>
                <w:bCs/>
                <w:sz w:val="20"/>
                <w:lang w:eastAsia="fi-FI"/>
              </w:rPr>
            </w:pPr>
          </w:p>
        </w:tc>
        <w:tc>
          <w:tcPr>
            <w:tcW w:w="1134" w:type="dxa"/>
            <w:tcBorders>
              <w:top w:val="nil"/>
              <w:left w:val="nil"/>
              <w:bottom w:val="nil"/>
              <w:right w:val="nil"/>
            </w:tcBorders>
            <w:shd w:val="clear" w:color="auto" w:fill="FFFFFF"/>
          </w:tcPr>
          <w:p w:rsidR="00D66A70" w:rsidRPr="003C2DB0" w:rsidRDefault="00D66A70" w:rsidP="003C2DB0">
            <w:pPr>
              <w:jc w:val="center"/>
              <w:rPr>
                <w:b/>
                <w:bCs/>
                <w:sz w:val="20"/>
                <w:lang w:eastAsia="fi-FI"/>
              </w:rPr>
            </w:pPr>
            <w:r w:rsidRPr="003C2DB0">
              <w:rPr>
                <w:b/>
                <w:bCs/>
                <w:sz w:val="20"/>
                <w:lang w:eastAsia="fi-FI"/>
              </w:rPr>
              <w:t>Energiasisältövero</w:t>
            </w:r>
          </w:p>
          <w:p w:rsidR="00D66A70" w:rsidRPr="003C2DB0" w:rsidRDefault="00D66A70" w:rsidP="003C2DB0">
            <w:pPr>
              <w:jc w:val="center"/>
              <w:rPr>
                <w:b/>
                <w:bCs/>
                <w:sz w:val="20"/>
                <w:lang w:eastAsia="fi-FI"/>
              </w:rPr>
            </w:pPr>
          </w:p>
        </w:tc>
        <w:tc>
          <w:tcPr>
            <w:tcW w:w="1701" w:type="dxa"/>
            <w:tcBorders>
              <w:top w:val="nil"/>
              <w:left w:val="nil"/>
              <w:bottom w:val="nil"/>
              <w:right w:val="nil"/>
            </w:tcBorders>
            <w:shd w:val="clear" w:color="auto" w:fill="FFFFFF"/>
          </w:tcPr>
          <w:p w:rsidR="00D66A70" w:rsidRPr="003C2DB0" w:rsidRDefault="00D66A70" w:rsidP="003C2DB0">
            <w:pPr>
              <w:jc w:val="center"/>
              <w:rPr>
                <w:b/>
                <w:bCs/>
                <w:sz w:val="20"/>
                <w:lang w:eastAsia="fi-FI"/>
              </w:rPr>
            </w:pPr>
            <w:r w:rsidRPr="003C2DB0">
              <w:rPr>
                <w:b/>
                <w:bCs/>
                <w:sz w:val="20"/>
                <w:lang w:eastAsia="fi-FI"/>
              </w:rPr>
              <w:t>Hiilidioksidivero</w:t>
            </w:r>
          </w:p>
          <w:p w:rsidR="00D66A70" w:rsidRPr="003C2DB0" w:rsidRDefault="00D66A70" w:rsidP="003C2DB0">
            <w:pPr>
              <w:jc w:val="center"/>
              <w:rPr>
                <w:b/>
                <w:bCs/>
                <w:sz w:val="20"/>
                <w:lang w:eastAsia="fi-FI"/>
              </w:rPr>
            </w:pPr>
          </w:p>
        </w:tc>
        <w:tc>
          <w:tcPr>
            <w:tcW w:w="1077" w:type="dxa"/>
            <w:tcBorders>
              <w:top w:val="nil"/>
              <w:left w:val="nil"/>
              <w:bottom w:val="nil"/>
              <w:right w:val="nil"/>
            </w:tcBorders>
            <w:shd w:val="clear" w:color="auto" w:fill="FFFFFF"/>
          </w:tcPr>
          <w:p w:rsidR="00D66A70" w:rsidRPr="003C2DB0" w:rsidRDefault="00D66A70" w:rsidP="003C2DB0">
            <w:pPr>
              <w:jc w:val="center"/>
              <w:rPr>
                <w:b/>
                <w:bCs/>
                <w:sz w:val="20"/>
                <w:lang w:eastAsia="fi-FI"/>
              </w:rPr>
            </w:pPr>
            <w:r w:rsidRPr="003C2DB0">
              <w:rPr>
                <w:b/>
                <w:bCs/>
                <w:sz w:val="20"/>
                <w:lang w:eastAsia="fi-FI"/>
              </w:rPr>
              <w:t>Huoltovarmuusmaksu</w:t>
            </w:r>
          </w:p>
          <w:p w:rsidR="00D66A70" w:rsidRPr="003C2DB0" w:rsidRDefault="00D66A70" w:rsidP="003C2DB0">
            <w:pPr>
              <w:jc w:val="center"/>
              <w:rPr>
                <w:b/>
                <w:bCs/>
                <w:sz w:val="20"/>
                <w:lang w:eastAsia="fi-FI"/>
              </w:rPr>
            </w:pPr>
          </w:p>
        </w:tc>
        <w:tc>
          <w:tcPr>
            <w:tcW w:w="997" w:type="dxa"/>
            <w:tcBorders>
              <w:top w:val="nil"/>
              <w:left w:val="nil"/>
              <w:bottom w:val="nil"/>
              <w:right w:val="nil"/>
            </w:tcBorders>
            <w:shd w:val="clear" w:color="auto" w:fill="FFFFFF"/>
          </w:tcPr>
          <w:p w:rsidR="00D66A70" w:rsidRPr="003C2DB0" w:rsidRDefault="00D66A70" w:rsidP="003C2DB0">
            <w:pPr>
              <w:jc w:val="center"/>
              <w:rPr>
                <w:b/>
                <w:bCs/>
                <w:sz w:val="20"/>
                <w:lang w:eastAsia="fi-FI"/>
              </w:rPr>
            </w:pPr>
            <w:r w:rsidRPr="003C2DB0">
              <w:rPr>
                <w:b/>
                <w:bCs/>
                <w:sz w:val="20"/>
                <w:lang w:eastAsia="fi-FI"/>
              </w:rPr>
              <w:t>Yhteensä</w:t>
            </w:r>
          </w:p>
          <w:p w:rsidR="00D66A70" w:rsidRPr="003C2DB0" w:rsidRDefault="00D66A70" w:rsidP="003C2DB0">
            <w:pPr>
              <w:jc w:val="center"/>
              <w:rPr>
                <w:b/>
                <w:bCs/>
                <w:sz w:val="20"/>
                <w:lang w:eastAsia="fi-FI"/>
              </w:rPr>
            </w:pPr>
          </w:p>
        </w:tc>
      </w:tr>
      <w:tr w:rsidR="00D66A70" w:rsidTr="006D4EF8">
        <w:tc>
          <w:tcPr>
            <w:tcW w:w="2660"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 xml:space="preserve">Moottoribensiini </w:t>
            </w:r>
            <w:proofErr w:type="spellStart"/>
            <w:r>
              <w:rPr>
                <w:sz w:val="20"/>
                <w:lang w:eastAsia="fi-FI"/>
              </w:rPr>
              <w:t>snt</w:t>
            </w:r>
            <w:proofErr w:type="spellEnd"/>
            <w:r>
              <w:rPr>
                <w:sz w:val="20"/>
                <w:lang w:eastAsia="fi-FI"/>
              </w:rPr>
              <w:t>/l</w:t>
            </w:r>
          </w:p>
        </w:tc>
        <w:tc>
          <w:tcPr>
            <w:tcW w:w="992"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10</w:t>
            </w:r>
          </w:p>
        </w:tc>
        <w:tc>
          <w:tcPr>
            <w:tcW w:w="1134"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52,19</w:t>
            </w:r>
          </w:p>
        </w:tc>
        <w:tc>
          <w:tcPr>
            <w:tcW w:w="1701"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17,38</w:t>
            </w:r>
          </w:p>
        </w:tc>
        <w:tc>
          <w:tcPr>
            <w:tcW w:w="107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0,68</w:t>
            </w:r>
          </w:p>
        </w:tc>
        <w:tc>
          <w:tcPr>
            <w:tcW w:w="99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70,25</w:t>
            </w:r>
          </w:p>
        </w:tc>
      </w:tr>
      <w:tr w:rsidR="00D66A70" w:rsidTr="006D4EF8">
        <w:tc>
          <w:tcPr>
            <w:tcW w:w="2660"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 xml:space="preserve">Pienmoottoribensiini </w:t>
            </w:r>
            <w:proofErr w:type="spellStart"/>
            <w:r>
              <w:rPr>
                <w:sz w:val="20"/>
                <w:lang w:eastAsia="fi-FI"/>
              </w:rPr>
              <w:t>snt</w:t>
            </w:r>
            <w:proofErr w:type="spellEnd"/>
            <w:r>
              <w:rPr>
                <w:sz w:val="20"/>
                <w:lang w:eastAsia="fi-FI"/>
              </w:rPr>
              <w:t>/l</w:t>
            </w:r>
          </w:p>
        </w:tc>
        <w:tc>
          <w:tcPr>
            <w:tcW w:w="992"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11</w:t>
            </w:r>
          </w:p>
        </w:tc>
        <w:tc>
          <w:tcPr>
            <w:tcW w:w="1134"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32,19</w:t>
            </w:r>
          </w:p>
        </w:tc>
        <w:tc>
          <w:tcPr>
            <w:tcW w:w="1701"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17,38</w:t>
            </w:r>
          </w:p>
        </w:tc>
        <w:tc>
          <w:tcPr>
            <w:tcW w:w="107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0,68</w:t>
            </w:r>
          </w:p>
        </w:tc>
        <w:tc>
          <w:tcPr>
            <w:tcW w:w="99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50,25</w:t>
            </w:r>
          </w:p>
        </w:tc>
      </w:tr>
      <w:tr w:rsidR="00D66A70" w:rsidTr="006D4EF8">
        <w:tc>
          <w:tcPr>
            <w:tcW w:w="2660" w:type="dxa"/>
            <w:tcBorders>
              <w:top w:val="nil"/>
              <w:left w:val="nil"/>
              <w:bottom w:val="nil"/>
              <w:right w:val="nil"/>
            </w:tcBorders>
            <w:shd w:val="clear" w:color="auto" w:fill="FFFFFF"/>
          </w:tcPr>
          <w:p w:rsidR="00D66A70" w:rsidRPr="00D66A70" w:rsidRDefault="00D66A70" w:rsidP="00D66A70">
            <w:pPr>
              <w:rPr>
                <w:sz w:val="20"/>
                <w:lang w:eastAsia="fi-FI"/>
              </w:rPr>
            </w:pPr>
            <w:r w:rsidRPr="00D66A70">
              <w:rPr>
                <w:sz w:val="20"/>
                <w:lang w:eastAsia="fi-FI"/>
              </w:rPr>
              <w:t>Bio</w:t>
            </w:r>
            <w:r w:rsidR="006D4EF8">
              <w:rPr>
                <w:sz w:val="20"/>
                <w:lang w:eastAsia="fi-FI"/>
              </w:rPr>
              <w:t xml:space="preserve">etanoli </w:t>
            </w:r>
            <w:proofErr w:type="spellStart"/>
            <w:r w:rsidR="006D4EF8">
              <w:rPr>
                <w:sz w:val="20"/>
                <w:lang w:eastAsia="fi-FI"/>
              </w:rPr>
              <w:t>snt</w:t>
            </w:r>
            <w:proofErr w:type="spellEnd"/>
            <w:r w:rsidR="006D4EF8">
              <w:rPr>
                <w:sz w:val="20"/>
                <w:lang w:eastAsia="fi-FI"/>
              </w:rPr>
              <w:t>/l</w:t>
            </w:r>
          </w:p>
        </w:tc>
        <w:tc>
          <w:tcPr>
            <w:tcW w:w="992"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20</w:t>
            </w:r>
          </w:p>
        </w:tc>
        <w:tc>
          <w:tcPr>
            <w:tcW w:w="1134"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34,25</w:t>
            </w:r>
          </w:p>
        </w:tc>
        <w:tc>
          <w:tcPr>
            <w:tcW w:w="1701"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11,40</w:t>
            </w:r>
          </w:p>
        </w:tc>
        <w:tc>
          <w:tcPr>
            <w:tcW w:w="107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0,68</w:t>
            </w:r>
          </w:p>
        </w:tc>
        <w:tc>
          <w:tcPr>
            <w:tcW w:w="99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46,33</w:t>
            </w:r>
          </w:p>
        </w:tc>
      </w:tr>
      <w:tr w:rsidR="00D66A70" w:rsidTr="006D4EF8">
        <w:tc>
          <w:tcPr>
            <w:tcW w:w="2660"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 xml:space="preserve">Bioetanoli R </w:t>
            </w:r>
            <w:proofErr w:type="spellStart"/>
            <w:r>
              <w:rPr>
                <w:sz w:val="20"/>
                <w:lang w:eastAsia="fi-FI"/>
              </w:rPr>
              <w:t>snt</w:t>
            </w:r>
            <w:proofErr w:type="spellEnd"/>
            <w:r>
              <w:rPr>
                <w:sz w:val="20"/>
                <w:lang w:eastAsia="fi-FI"/>
              </w:rPr>
              <w:t>/l</w:t>
            </w:r>
          </w:p>
        </w:tc>
        <w:tc>
          <w:tcPr>
            <w:tcW w:w="992"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21</w:t>
            </w:r>
          </w:p>
        </w:tc>
        <w:tc>
          <w:tcPr>
            <w:tcW w:w="1134"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34,25</w:t>
            </w:r>
          </w:p>
        </w:tc>
        <w:tc>
          <w:tcPr>
            <w:tcW w:w="1701"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5,70</w:t>
            </w:r>
          </w:p>
        </w:tc>
        <w:tc>
          <w:tcPr>
            <w:tcW w:w="107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0,68</w:t>
            </w:r>
          </w:p>
        </w:tc>
        <w:tc>
          <w:tcPr>
            <w:tcW w:w="99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40,63</w:t>
            </w:r>
          </w:p>
        </w:tc>
      </w:tr>
      <w:tr w:rsidR="00D66A70" w:rsidTr="006D4EF8">
        <w:tc>
          <w:tcPr>
            <w:tcW w:w="2660"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 xml:space="preserve">Bioetanoli T </w:t>
            </w:r>
            <w:proofErr w:type="spellStart"/>
            <w:r>
              <w:rPr>
                <w:sz w:val="20"/>
                <w:lang w:eastAsia="fi-FI"/>
              </w:rPr>
              <w:t>snt</w:t>
            </w:r>
            <w:proofErr w:type="spellEnd"/>
            <w:r>
              <w:rPr>
                <w:sz w:val="20"/>
                <w:lang w:eastAsia="fi-FI"/>
              </w:rPr>
              <w:t>/l</w:t>
            </w:r>
          </w:p>
        </w:tc>
        <w:tc>
          <w:tcPr>
            <w:tcW w:w="992"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22</w:t>
            </w:r>
          </w:p>
        </w:tc>
        <w:tc>
          <w:tcPr>
            <w:tcW w:w="1134"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34,25</w:t>
            </w:r>
          </w:p>
        </w:tc>
        <w:tc>
          <w:tcPr>
            <w:tcW w:w="1701"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0,00</w:t>
            </w:r>
          </w:p>
        </w:tc>
        <w:tc>
          <w:tcPr>
            <w:tcW w:w="107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0,68</w:t>
            </w:r>
          </w:p>
        </w:tc>
        <w:tc>
          <w:tcPr>
            <w:tcW w:w="99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34,93</w:t>
            </w:r>
          </w:p>
        </w:tc>
      </w:tr>
      <w:tr w:rsidR="00D66A70" w:rsidTr="006D4EF8">
        <w:tc>
          <w:tcPr>
            <w:tcW w:w="2660" w:type="dxa"/>
            <w:tcBorders>
              <w:top w:val="nil"/>
              <w:left w:val="nil"/>
              <w:bottom w:val="nil"/>
              <w:right w:val="nil"/>
            </w:tcBorders>
            <w:shd w:val="clear" w:color="auto" w:fill="FFFFFF"/>
          </w:tcPr>
          <w:p w:rsidR="00D66A70" w:rsidRPr="00D66A70" w:rsidRDefault="006D4EF8" w:rsidP="00D66A70">
            <w:pPr>
              <w:rPr>
                <w:sz w:val="20"/>
                <w:lang w:eastAsia="fi-FI"/>
              </w:rPr>
            </w:pPr>
            <w:proofErr w:type="spellStart"/>
            <w:r>
              <w:rPr>
                <w:sz w:val="20"/>
                <w:lang w:eastAsia="fi-FI"/>
              </w:rPr>
              <w:t>MTBE</w:t>
            </w:r>
            <w:proofErr w:type="spellEnd"/>
            <w:r>
              <w:rPr>
                <w:sz w:val="20"/>
                <w:lang w:eastAsia="fi-FI"/>
              </w:rPr>
              <w:t xml:space="preserve"> </w:t>
            </w:r>
            <w:proofErr w:type="spellStart"/>
            <w:r>
              <w:rPr>
                <w:sz w:val="20"/>
                <w:lang w:eastAsia="fi-FI"/>
              </w:rPr>
              <w:t>snt</w:t>
            </w:r>
            <w:proofErr w:type="spellEnd"/>
            <w:r>
              <w:rPr>
                <w:sz w:val="20"/>
                <w:lang w:eastAsia="fi-FI"/>
              </w:rPr>
              <w:t>/l</w:t>
            </w:r>
          </w:p>
        </w:tc>
        <w:tc>
          <w:tcPr>
            <w:tcW w:w="992"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23</w:t>
            </w:r>
          </w:p>
        </w:tc>
        <w:tc>
          <w:tcPr>
            <w:tcW w:w="1134"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42,41</w:t>
            </w:r>
          </w:p>
        </w:tc>
        <w:tc>
          <w:tcPr>
            <w:tcW w:w="1701"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14,12</w:t>
            </w:r>
          </w:p>
        </w:tc>
        <w:tc>
          <w:tcPr>
            <w:tcW w:w="107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0,68</w:t>
            </w:r>
          </w:p>
        </w:tc>
        <w:tc>
          <w:tcPr>
            <w:tcW w:w="99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57,21</w:t>
            </w:r>
          </w:p>
        </w:tc>
      </w:tr>
      <w:tr w:rsidR="00D66A70" w:rsidTr="006D4EF8">
        <w:tc>
          <w:tcPr>
            <w:tcW w:w="2660" w:type="dxa"/>
            <w:tcBorders>
              <w:top w:val="nil"/>
              <w:left w:val="nil"/>
              <w:bottom w:val="nil"/>
              <w:right w:val="nil"/>
            </w:tcBorders>
            <w:shd w:val="clear" w:color="auto" w:fill="FFFFFF"/>
          </w:tcPr>
          <w:p w:rsidR="00D66A70" w:rsidRPr="00D66A70" w:rsidRDefault="006D4EF8" w:rsidP="00D66A70">
            <w:pPr>
              <w:rPr>
                <w:sz w:val="20"/>
                <w:lang w:eastAsia="fi-FI"/>
              </w:rPr>
            </w:pPr>
            <w:proofErr w:type="spellStart"/>
            <w:r>
              <w:rPr>
                <w:sz w:val="20"/>
                <w:lang w:eastAsia="fi-FI"/>
              </w:rPr>
              <w:t>MTBE</w:t>
            </w:r>
            <w:proofErr w:type="spellEnd"/>
            <w:r>
              <w:rPr>
                <w:sz w:val="20"/>
                <w:lang w:eastAsia="fi-FI"/>
              </w:rPr>
              <w:t xml:space="preserve"> R </w:t>
            </w:r>
            <w:proofErr w:type="spellStart"/>
            <w:r>
              <w:rPr>
                <w:sz w:val="20"/>
                <w:lang w:eastAsia="fi-FI"/>
              </w:rPr>
              <w:t>snt</w:t>
            </w:r>
            <w:proofErr w:type="spellEnd"/>
            <w:r>
              <w:rPr>
                <w:sz w:val="20"/>
                <w:lang w:eastAsia="fi-FI"/>
              </w:rPr>
              <w:t>/l</w:t>
            </w:r>
          </w:p>
        </w:tc>
        <w:tc>
          <w:tcPr>
            <w:tcW w:w="992"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24</w:t>
            </w:r>
          </w:p>
        </w:tc>
        <w:tc>
          <w:tcPr>
            <w:tcW w:w="1134"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42,41</w:t>
            </w:r>
          </w:p>
        </w:tc>
        <w:tc>
          <w:tcPr>
            <w:tcW w:w="1701"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12,56</w:t>
            </w:r>
          </w:p>
        </w:tc>
        <w:tc>
          <w:tcPr>
            <w:tcW w:w="107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0,68</w:t>
            </w:r>
          </w:p>
        </w:tc>
        <w:tc>
          <w:tcPr>
            <w:tcW w:w="99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55,65</w:t>
            </w:r>
          </w:p>
        </w:tc>
      </w:tr>
      <w:tr w:rsidR="00D66A70" w:rsidTr="006D4EF8">
        <w:tc>
          <w:tcPr>
            <w:tcW w:w="2660" w:type="dxa"/>
            <w:tcBorders>
              <w:top w:val="nil"/>
              <w:left w:val="nil"/>
              <w:bottom w:val="nil"/>
              <w:right w:val="nil"/>
            </w:tcBorders>
            <w:shd w:val="clear" w:color="auto" w:fill="FFFFFF"/>
          </w:tcPr>
          <w:p w:rsidR="00D66A70" w:rsidRPr="00D66A70" w:rsidRDefault="006D4EF8" w:rsidP="00D66A70">
            <w:pPr>
              <w:rPr>
                <w:sz w:val="20"/>
                <w:lang w:eastAsia="fi-FI"/>
              </w:rPr>
            </w:pPr>
            <w:proofErr w:type="spellStart"/>
            <w:r>
              <w:rPr>
                <w:sz w:val="20"/>
                <w:lang w:eastAsia="fi-FI"/>
              </w:rPr>
              <w:t>MTBE</w:t>
            </w:r>
            <w:proofErr w:type="spellEnd"/>
            <w:r>
              <w:rPr>
                <w:sz w:val="20"/>
                <w:lang w:eastAsia="fi-FI"/>
              </w:rPr>
              <w:t xml:space="preserve"> T </w:t>
            </w:r>
            <w:proofErr w:type="spellStart"/>
            <w:r>
              <w:rPr>
                <w:sz w:val="20"/>
                <w:lang w:eastAsia="fi-FI"/>
              </w:rPr>
              <w:t>snt</w:t>
            </w:r>
            <w:proofErr w:type="spellEnd"/>
            <w:r>
              <w:rPr>
                <w:sz w:val="20"/>
                <w:lang w:eastAsia="fi-FI"/>
              </w:rPr>
              <w:t>/l</w:t>
            </w:r>
          </w:p>
        </w:tc>
        <w:tc>
          <w:tcPr>
            <w:tcW w:w="992"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25</w:t>
            </w:r>
          </w:p>
        </w:tc>
        <w:tc>
          <w:tcPr>
            <w:tcW w:w="1134"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42,41</w:t>
            </w:r>
          </w:p>
        </w:tc>
        <w:tc>
          <w:tcPr>
            <w:tcW w:w="1701"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11,01</w:t>
            </w:r>
          </w:p>
        </w:tc>
        <w:tc>
          <w:tcPr>
            <w:tcW w:w="107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0,68</w:t>
            </w:r>
          </w:p>
        </w:tc>
        <w:tc>
          <w:tcPr>
            <w:tcW w:w="99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54,10</w:t>
            </w:r>
          </w:p>
        </w:tc>
      </w:tr>
      <w:tr w:rsidR="00D66A70" w:rsidTr="006D4EF8">
        <w:tc>
          <w:tcPr>
            <w:tcW w:w="2660" w:type="dxa"/>
            <w:tcBorders>
              <w:top w:val="nil"/>
              <w:left w:val="nil"/>
              <w:bottom w:val="nil"/>
              <w:right w:val="nil"/>
            </w:tcBorders>
            <w:shd w:val="clear" w:color="auto" w:fill="FFFFFF"/>
          </w:tcPr>
          <w:p w:rsidR="00D66A70" w:rsidRPr="00D66A70" w:rsidRDefault="006D4EF8" w:rsidP="00D66A70">
            <w:pPr>
              <w:rPr>
                <w:sz w:val="20"/>
                <w:lang w:eastAsia="fi-FI"/>
              </w:rPr>
            </w:pPr>
            <w:proofErr w:type="spellStart"/>
            <w:r>
              <w:rPr>
                <w:sz w:val="20"/>
                <w:lang w:eastAsia="fi-FI"/>
              </w:rPr>
              <w:t>TAME</w:t>
            </w:r>
            <w:proofErr w:type="spellEnd"/>
            <w:r>
              <w:rPr>
                <w:sz w:val="20"/>
                <w:lang w:eastAsia="fi-FI"/>
              </w:rPr>
              <w:t xml:space="preserve"> </w:t>
            </w:r>
            <w:proofErr w:type="spellStart"/>
            <w:r>
              <w:rPr>
                <w:sz w:val="20"/>
                <w:lang w:eastAsia="fi-FI"/>
              </w:rPr>
              <w:t>snt</w:t>
            </w:r>
            <w:proofErr w:type="spellEnd"/>
            <w:r>
              <w:rPr>
                <w:sz w:val="20"/>
                <w:lang w:eastAsia="fi-FI"/>
              </w:rPr>
              <w:t>/l</w:t>
            </w:r>
          </w:p>
        </w:tc>
        <w:tc>
          <w:tcPr>
            <w:tcW w:w="992"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26</w:t>
            </w:r>
          </w:p>
        </w:tc>
        <w:tc>
          <w:tcPr>
            <w:tcW w:w="1134"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45,67</w:t>
            </w:r>
          </w:p>
        </w:tc>
        <w:tc>
          <w:tcPr>
            <w:tcW w:w="1701"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15,20</w:t>
            </w:r>
          </w:p>
        </w:tc>
        <w:tc>
          <w:tcPr>
            <w:tcW w:w="107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0,68</w:t>
            </w:r>
          </w:p>
        </w:tc>
        <w:tc>
          <w:tcPr>
            <w:tcW w:w="99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61,55</w:t>
            </w:r>
          </w:p>
        </w:tc>
      </w:tr>
      <w:tr w:rsidR="00D66A70" w:rsidTr="006D4EF8">
        <w:tc>
          <w:tcPr>
            <w:tcW w:w="2660" w:type="dxa"/>
            <w:tcBorders>
              <w:top w:val="nil"/>
              <w:left w:val="nil"/>
              <w:bottom w:val="nil"/>
              <w:right w:val="nil"/>
            </w:tcBorders>
            <w:shd w:val="clear" w:color="auto" w:fill="FFFFFF"/>
          </w:tcPr>
          <w:p w:rsidR="00D66A70" w:rsidRPr="00D66A70" w:rsidRDefault="006D4EF8" w:rsidP="00D66A70">
            <w:pPr>
              <w:rPr>
                <w:sz w:val="20"/>
                <w:lang w:eastAsia="fi-FI"/>
              </w:rPr>
            </w:pPr>
            <w:proofErr w:type="spellStart"/>
            <w:r>
              <w:rPr>
                <w:sz w:val="20"/>
                <w:lang w:eastAsia="fi-FI"/>
              </w:rPr>
              <w:t>TAME</w:t>
            </w:r>
            <w:proofErr w:type="spellEnd"/>
            <w:r>
              <w:rPr>
                <w:sz w:val="20"/>
                <w:lang w:eastAsia="fi-FI"/>
              </w:rPr>
              <w:t xml:space="preserve"> R </w:t>
            </w:r>
            <w:proofErr w:type="spellStart"/>
            <w:r>
              <w:rPr>
                <w:sz w:val="20"/>
                <w:lang w:eastAsia="fi-FI"/>
              </w:rPr>
              <w:t>snt</w:t>
            </w:r>
            <w:proofErr w:type="spellEnd"/>
            <w:r>
              <w:rPr>
                <w:sz w:val="20"/>
                <w:lang w:eastAsia="fi-FI"/>
              </w:rPr>
              <w:t>/l</w:t>
            </w:r>
          </w:p>
        </w:tc>
        <w:tc>
          <w:tcPr>
            <w:tcW w:w="992"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27</w:t>
            </w:r>
          </w:p>
        </w:tc>
        <w:tc>
          <w:tcPr>
            <w:tcW w:w="1134"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45,67</w:t>
            </w:r>
          </w:p>
        </w:tc>
        <w:tc>
          <w:tcPr>
            <w:tcW w:w="1701"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13,84</w:t>
            </w:r>
          </w:p>
        </w:tc>
        <w:tc>
          <w:tcPr>
            <w:tcW w:w="107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0,68</w:t>
            </w:r>
          </w:p>
        </w:tc>
        <w:tc>
          <w:tcPr>
            <w:tcW w:w="99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60,19</w:t>
            </w:r>
          </w:p>
        </w:tc>
      </w:tr>
      <w:tr w:rsidR="00D66A70" w:rsidTr="006D4EF8">
        <w:tc>
          <w:tcPr>
            <w:tcW w:w="2660" w:type="dxa"/>
            <w:tcBorders>
              <w:top w:val="nil"/>
              <w:left w:val="nil"/>
              <w:bottom w:val="nil"/>
              <w:right w:val="nil"/>
            </w:tcBorders>
            <w:shd w:val="clear" w:color="auto" w:fill="FFFFFF"/>
          </w:tcPr>
          <w:p w:rsidR="00D66A70" w:rsidRPr="00D66A70" w:rsidRDefault="006D4EF8" w:rsidP="00D66A70">
            <w:pPr>
              <w:rPr>
                <w:sz w:val="20"/>
                <w:lang w:eastAsia="fi-FI"/>
              </w:rPr>
            </w:pPr>
            <w:proofErr w:type="spellStart"/>
            <w:r>
              <w:rPr>
                <w:sz w:val="20"/>
                <w:lang w:eastAsia="fi-FI"/>
              </w:rPr>
              <w:t>TAME</w:t>
            </w:r>
            <w:proofErr w:type="spellEnd"/>
            <w:r>
              <w:rPr>
                <w:sz w:val="20"/>
                <w:lang w:eastAsia="fi-FI"/>
              </w:rPr>
              <w:t xml:space="preserve"> T </w:t>
            </w:r>
            <w:proofErr w:type="spellStart"/>
            <w:r>
              <w:rPr>
                <w:sz w:val="20"/>
                <w:lang w:eastAsia="fi-FI"/>
              </w:rPr>
              <w:t>snt</w:t>
            </w:r>
            <w:proofErr w:type="spellEnd"/>
            <w:r>
              <w:rPr>
                <w:sz w:val="20"/>
                <w:lang w:eastAsia="fi-FI"/>
              </w:rPr>
              <w:t>/l</w:t>
            </w:r>
          </w:p>
        </w:tc>
        <w:tc>
          <w:tcPr>
            <w:tcW w:w="992"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28</w:t>
            </w:r>
          </w:p>
        </w:tc>
        <w:tc>
          <w:tcPr>
            <w:tcW w:w="1134"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45,67</w:t>
            </w:r>
          </w:p>
        </w:tc>
        <w:tc>
          <w:tcPr>
            <w:tcW w:w="1701"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12,47</w:t>
            </w:r>
          </w:p>
        </w:tc>
        <w:tc>
          <w:tcPr>
            <w:tcW w:w="107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0,68</w:t>
            </w:r>
          </w:p>
        </w:tc>
        <w:tc>
          <w:tcPr>
            <w:tcW w:w="99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58,82</w:t>
            </w:r>
          </w:p>
        </w:tc>
      </w:tr>
      <w:tr w:rsidR="00D66A70" w:rsidTr="006D4EF8">
        <w:tc>
          <w:tcPr>
            <w:tcW w:w="2660" w:type="dxa"/>
            <w:tcBorders>
              <w:top w:val="nil"/>
              <w:left w:val="nil"/>
              <w:bottom w:val="nil"/>
              <w:right w:val="nil"/>
            </w:tcBorders>
            <w:shd w:val="clear" w:color="auto" w:fill="FFFFFF"/>
          </w:tcPr>
          <w:p w:rsidR="00D66A70" w:rsidRPr="00D66A70" w:rsidRDefault="003C2DB0" w:rsidP="00D66A70">
            <w:pPr>
              <w:rPr>
                <w:sz w:val="20"/>
                <w:lang w:eastAsia="fi-FI"/>
              </w:rPr>
            </w:pPr>
            <w:proofErr w:type="spellStart"/>
            <w:r>
              <w:rPr>
                <w:sz w:val="20"/>
                <w:lang w:eastAsia="fi-FI"/>
              </w:rPr>
              <w:t>ETBE</w:t>
            </w:r>
            <w:proofErr w:type="spellEnd"/>
            <w:r>
              <w:rPr>
                <w:sz w:val="20"/>
                <w:lang w:eastAsia="fi-FI"/>
              </w:rPr>
              <w:t xml:space="preserve"> </w:t>
            </w:r>
            <w:proofErr w:type="spellStart"/>
            <w:r>
              <w:rPr>
                <w:sz w:val="20"/>
                <w:lang w:eastAsia="fi-FI"/>
              </w:rPr>
              <w:t>snt</w:t>
            </w:r>
            <w:proofErr w:type="spellEnd"/>
            <w:r>
              <w:rPr>
                <w:sz w:val="20"/>
                <w:lang w:eastAsia="fi-FI"/>
              </w:rPr>
              <w:t>/l</w:t>
            </w:r>
          </w:p>
        </w:tc>
        <w:tc>
          <w:tcPr>
            <w:tcW w:w="992"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29</w:t>
            </w:r>
          </w:p>
        </w:tc>
        <w:tc>
          <w:tcPr>
            <w:tcW w:w="1134"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44,04</w:t>
            </w:r>
          </w:p>
        </w:tc>
        <w:tc>
          <w:tcPr>
            <w:tcW w:w="1701"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14,66</w:t>
            </w:r>
          </w:p>
        </w:tc>
        <w:tc>
          <w:tcPr>
            <w:tcW w:w="107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0,68</w:t>
            </w:r>
          </w:p>
        </w:tc>
        <w:tc>
          <w:tcPr>
            <w:tcW w:w="99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59,38</w:t>
            </w:r>
          </w:p>
        </w:tc>
      </w:tr>
      <w:tr w:rsidR="00D66A70" w:rsidTr="006D4EF8">
        <w:tc>
          <w:tcPr>
            <w:tcW w:w="2660" w:type="dxa"/>
            <w:tcBorders>
              <w:top w:val="nil"/>
              <w:left w:val="nil"/>
              <w:bottom w:val="nil"/>
              <w:right w:val="nil"/>
            </w:tcBorders>
            <w:shd w:val="clear" w:color="auto" w:fill="FFFFFF"/>
          </w:tcPr>
          <w:p w:rsidR="00D66A70" w:rsidRPr="00D66A70" w:rsidRDefault="006D4EF8" w:rsidP="00D66A70">
            <w:pPr>
              <w:rPr>
                <w:sz w:val="20"/>
                <w:lang w:eastAsia="fi-FI"/>
              </w:rPr>
            </w:pPr>
            <w:proofErr w:type="spellStart"/>
            <w:r>
              <w:rPr>
                <w:sz w:val="20"/>
                <w:lang w:eastAsia="fi-FI"/>
              </w:rPr>
              <w:t>ETBE</w:t>
            </w:r>
            <w:proofErr w:type="spellEnd"/>
            <w:r>
              <w:rPr>
                <w:sz w:val="20"/>
                <w:lang w:eastAsia="fi-FI"/>
              </w:rPr>
              <w:t xml:space="preserve"> R </w:t>
            </w:r>
            <w:proofErr w:type="spellStart"/>
            <w:r>
              <w:rPr>
                <w:sz w:val="20"/>
                <w:lang w:eastAsia="fi-FI"/>
              </w:rPr>
              <w:t>snt</w:t>
            </w:r>
            <w:proofErr w:type="spellEnd"/>
            <w:r>
              <w:rPr>
                <w:sz w:val="20"/>
                <w:lang w:eastAsia="fi-FI"/>
              </w:rPr>
              <w:t>/l</w:t>
            </w:r>
          </w:p>
        </w:tc>
        <w:tc>
          <w:tcPr>
            <w:tcW w:w="992"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30</w:t>
            </w:r>
          </w:p>
        </w:tc>
        <w:tc>
          <w:tcPr>
            <w:tcW w:w="1134"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44,04</w:t>
            </w:r>
          </w:p>
        </w:tc>
        <w:tc>
          <w:tcPr>
            <w:tcW w:w="1701"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11,95</w:t>
            </w:r>
          </w:p>
        </w:tc>
        <w:tc>
          <w:tcPr>
            <w:tcW w:w="107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0,68</w:t>
            </w:r>
          </w:p>
        </w:tc>
        <w:tc>
          <w:tcPr>
            <w:tcW w:w="99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56,67</w:t>
            </w:r>
          </w:p>
        </w:tc>
      </w:tr>
      <w:tr w:rsidR="00D66A70" w:rsidTr="006D4EF8">
        <w:tc>
          <w:tcPr>
            <w:tcW w:w="2660" w:type="dxa"/>
            <w:tcBorders>
              <w:top w:val="nil"/>
              <w:left w:val="nil"/>
              <w:bottom w:val="nil"/>
              <w:right w:val="nil"/>
            </w:tcBorders>
            <w:shd w:val="clear" w:color="auto" w:fill="FFFFFF"/>
          </w:tcPr>
          <w:p w:rsidR="00D66A70" w:rsidRPr="00D66A70" w:rsidRDefault="00D66A70" w:rsidP="00D66A70">
            <w:pPr>
              <w:rPr>
                <w:sz w:val="20"/>
                <w:lang w:eastAsia="fi-FI"/>
              </w:rPr>
            </w:pPr>
            <w:proofErr w:type="spellStart"/>
            <w:r w:rsidRPr="00D66A70">
              <w:rPr>
                <w:sz w:val="20"/>
                <w:lang w:eastAsia="fi-FI"/>
              </w:rPr>
              <w:t>E</w:t>
            </w:r>
            <w:r w:rsidR="006D4EF8">
              <w:rPr>
                <w:sz w:val="20"/>
                <w:lang w:eastAsia="fi-FI"/>
              </w:rPr>
              <w:t>TBE</w:t>
            </w:r>
            <w:proofErr w:type="spellEnd"/>
            <w:r w:rsidR="006D4EF8">
              <w:rPr>
                <w:sz w:val="20"/>
                <w:lang w:eastAsia="fi-FI"/>
              </w:rPr>
              <w:t xml:space="preserve"> T </w:t>
            </w:r>
            <w:proofErr w:type="spellStart"/>
            <w:r w:rsidR="006D4EF8">
              <w:rPr>
                <w:sz w:val="20"/>
                <w:lang w:eastAsia="fi-FI"/>
              </w:rPr>
              <w:t>snt</w:t>
            </w:r>
            <w:proofErr w:type="spellEnd"/>
            <w:r w:rsidR="006D4EF8">
              <w:rPr>
                <w:sz w:val="20"/>
                <w:lang w:eastAsia="fi-FI"/>
              </w:rPr>
              <w:t>/l</w:t>
            </w:r>
          </w:p>
        </w:tc>
        <w:tc>
          <w:tcPr>
            <w:tcW w:w="992"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31</w:t>
            </w:r>
          </w:p>
        </w:tc>
        <w:tc>
          <w:tcPr>
            <w:tcW w:w="1134"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44,04</w:t>
            </w:r>
          </w:p>
        </w:tc>
        <w:tc>
          <w:tcPr>
            <w:tcW w:w="1701"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9,24</w:t>
            </w:r>
          </w:p>
        </w:tc>
        <w:tc>
          <w:tcPr>
            <w:tcW w:w="107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0,68</w:t>
            </w:r>
          </w:p>
        </w:tc>
        <w:tc>
          <w:tcPr>
            <w:tcW w:w="99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53,96</w:t>
            </w:r>
          </w:p>
        </w:tc>
      </w:tr>
      <w:tr w:rsidR="00D66A70" w:rsidTr="006D4EF8">
        <w:tc>
          <w:tcPr>
            <w:tcW w:w="2660" w:type="dxa"/>
            <w:tcBorders>
              <w:top w:val="nil"/>
              <w:left w:val="nil"/>
              <w:bottom w:val="nil"/>
              <w:right w:val="nil"/>
            </w:tcBorders>
            <w:shd w:val="clear" w:color="auto" w:fill="FFFFFF"/>
          </w:tcPr>
          <w:p w:rsidR="00D66A70" w:rsidRPr="00D66A70" w:rsidRDefault="006D4EF8" w:rsidP="00D66A70">
            <w:pPr>
              <w:rPr>
                <w:sz w:val="20"/>
                <w:lang w:eastAsia="fi-FI"/>
              </w:rPr>
            </w:pPr>
            <w:proofErr w:type="spellStart"/>
            <w:r>
              <w:rPr>
                <w:sz w:val="20"/>
                <w:lang w:eastAsia="fi-FI"/>
              </w:rPr>
              <w:t>TAEE</w:t>
            </w:r>
            <w:proofErr w:type="spellEnd"/>
            <w:r>
              <w:rPr>
                <w:sz w:val="20"/>
                <w:lang w:eastAsia="fi-FI"/>
              </w:rPr>
              <w:t xml:space="preserve"> </w:t>
            </w:r>
            <w:proofErr w:type="spellStart"/>
            <w:r>
              <w:rPr>
                <w:sz w:val="20"/>
                <w:lang w:eastAsia="fi-FI"/>
              </w:rPr>
              <w:t>snt</w:t>
            </w:r>
            <w:proofErr w:type="spellEnd"/>
            <w:r>
              <w:rPr>
                <w:sz w:val="20"/>
                <w:lang w:eastAsia="fi-FI"/>
              </w:rPr>
              <w:t>/l</w:t>
            </w:r>
          </w:p>
        </w:tc>
        <w:tc>
          <w:tcPr>
            <w:tcW w:w="992"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32</w:t>
            </w:r>
          </w:p>
        </w:tc>
        <w:tc>
          <w:tcPr>
            <w:tcW w:w="1134"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47,30</w:t>
            </w:r>
          </w:p>
        </w:tc>
        <w:tc>
          <w:tcPr>
            <w:tcW w:w="1701"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15,75</w:t>
            </w:r>
          </w:p>
        </w:tc>
        <w:tc>
          <w:tcPr>
            <w:tcW w:w="107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0,68</w:t>
            </w:r>
          </w:p>
        </w:tc>
        <w:tc>
          <w:tcPr>
            <w:tcW w:w="99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63,73</w:t>
            </w:r>
          </w:p>
        </w:tc>
      </w:tr>
      <w:tr w:rsidR="00D66A70" w:rsidTr="006D4EF8">
        <w:tc>
          <w:tcPr>
            <w:tcW w:w="2660" w:type="dxa"/>
            <w:tcBorders>
              <w:top w:val="nil"/>
              <w:left w:val="nil"/>
              <w:bottom w:val="nil"/>
              <w:right w:val="nil"/>
            </w:tcBorders>
            <w:shd w:val="clear" w:color="auto" w:fill="FFFFFF"/>
          </w:tcPr>
          <w:p w:rsidR="00D66A70" w:rsidRPr="00D66A70" w:rsidRDefault="006D4EF8" w:rsidP="00D66A70">
            <w:pPr>
              <w:rPr>
                <w:sz w:val="20"/>
                <w:lang w:eastAsia="fi-FI"/>
              </w:rPr>
            </w:pPr>
            <w:proofErr w:type="spellStart"/>
            <w:r>
              <w:rPr>
                <w:sz w:val="20"/>
                <w:lang w:eastAsia="fi-FI"/>
              </w:rPr>
              <w:t>TAEE</w:t>
            </w:r>
            <w:proofErr w:type="spellEnd"/>
            <w:r>
              <w:rPr>
                <w:sz w:val="20"/>
                <w:lang w:eastAsia="fi-FI"/>
              </w:rPr>
              <w:t xml:space="preserve"> R </w:t>
            </w:r>
            <w:proofErr w:type="spellStart"/>
            <w:r>
              <w:rPr>
                <w:sz w:val="20"/>
                <w:lang w:eastAsia="fi-FI"/>
              </w:rPr>
              <w:t>snt</w:t>
            </w:r>
            <w:proofErr w:type="spellEnd"/>
            <w:r>
              <w:rPr>
                <w:sz w:val="20"/>
                <w:lang w:eastAsia="fi-FI"/>
              </w:rPr>
              <w:t>/l</w:t>
            </w:r>
          </w:p>
        </w:tc>
        <w:tc>
          <w:tcPr>
            <w:tcW w:w="992"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33</w:t>
            </w:r>
          </w:p>
        </w:tc>
        <w:tc>
          <w:tcPr>
            <w:tcW w:w="1134"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47,30</w:t>
            </w:r>
          </w:p>
        </w:tc>
        <w:tc>
          <w:tcPr>
            <w:tcW w:w="1701"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13,46</w:t>
            </w:r>
          </w:p>
        </w:tc>
        <w:tc>
          <w:tcPr>
            <w:tcW w:w="107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0,68</w:t>
            </w:r>
          </w:p>
        </w:tc>
        <w:tc>
          <w:tcPr>
            <w:tcW w:w="99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61,44</w:t>
            </w:r>
          </w:p>
        </w:tc>
      </w:tr>
      <w:tr w:rsidR="00D66A70" w:rsidTr="006D4EF8">
        <w:tc>
          <w:tcPr>
            <w:tcW w:w="2660" w:type="dxa"/>
            <w:tcBorders>
              <w:top w:val="nil"/>
              <w:left w:val="nil"/>
              <w:bottom w:val="nil"/>
              <w:right w:val="nil"/>
            </w:tcBorders>
            <w:shd w:val="clear" w:color="auto" w:fill="FFFFFF"/>
          </w:tcPr>
          <w:p w:rsidR="00D66A70" w:rsidRPr="00D66A70" w:rsidRDefault="006D4EF8" w:rsidP="00D66A70">
            <w:pPr>
              <w:rPr>
                <w:sz w:val="20"/>
                <w:lang w:eastAsia="fi-FI"/>
              </w:rPr>
            </w:pPr>
            <w:proofErr w:type="spellStart"/>
            <w:r>
              <w:rPr>
                <w:sz w:val="20"/>
                <w:lang w:eastAsia="fi-FI"/>
              </w:rPr>
              <w:t>TAEE</w:t>
            </w:r>
            <w:proofErr w:type="spellEnd"/>
            <w:r>
              <w:rPr>
                <w:sz w:val="20"/>
                <w:lang w:eastAsia="fi-FI"/>
              </w:rPr>
              <w:t xml:space="preserve"> T </w:t>
            </w:r>
            <w:proofErr w:type="spellStart"/>
            <w:r>
              <w:rPr>
                <w:sz w:val="20"/>
                <w:lang w:eastAsia="fi-FI"/>
              </w:rPr>
              <w:t>snt</w:t>
            </w:r>
            <w:proofErr w:type="spellEnd"/>
            <w:r>
              <w:rPr>
                <w:sz w:val="20"/>
                <w:lang w:eastAsia="fi-FI"/>
              </w:rPr>
              <w:t>/l</w:t>
            </w:r>
          </w:p>
        </w:tc>
        <w:tc>
          <w:tcPr>
            <w:tcW w:w="992"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34</w:t>
            </w:r>
          </w:p>
        </w:tc>
        <w:tc>
          <w:tcPr>
            <w:tcW w:w="1134"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47,30</w:t>
            </w:r>
          </w:p>
        </w:tc>
        <w:tc>
          <w:tcPr>
            <w:tcW w:w="1701"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11,18</w:t>
            </w:r>
          </w:p>
        </w:tc>
        <w:tc>
          <w:tcPr>
            <w:tcW w:w="107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0,68</w:t>
            </w:r>
          </w:p>
        </w:tc>
        <w:tc>
          <w:tcPr>
            <w:tcW w:w="99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59,16</w:t>
            </w:r>
          </w:p>
        </w:tc>
      </w:tr>
      <w:tr w:rsidR="00D66A70" w:rsidTr="006D4EF8">
        <w:tc>
          <w:tcPr>
            <w:tcW w:w="2660"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 xml:space="preserve">Biobensiini </w:t>
            </w:r>
            <w:proofErr w:type="spellStart"/>
            <w:r>
              <w:rPr>
                <w:sz w:val="20"/>
                <w:lang w:eastAsia="fi-FI"/>
              </w:rPr>
              <w:t>snt</w:t>
            </w:r>
            <w:proofErr w:type="spellEnd"/>
            <w:r>
              <w:rPr>
                <w:sz w:val="20"/>
                <w:lang w:eastAsia="fi-FI"/>
              </w:rPr>
              <w:t>/l</w:t>
            </w:r>
          </w:p>
        </w:tc>
        <w:tc>
          <w:tcPr>
            <w:tcW w:w="992"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38</w:t>
            </w:r>
          </w:p>
        </w:tc>
        <w:tc>
          <w:tcPr>
            <w:tcW w:w="1134"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52,19</w:t>
            </w:r>
          </w:p>
        </w:tc>
        <w:tc>
          <w:tcPr>
            <w:tcW w:w="1701"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17,38</w:t>
            </w:r>
          </w:p>
        </w:tc>
        <w:tc>
          <w:tcPr>
            <w:tcW w:w="107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0,68</w:t>
            </w:r>
          </w:p>
        </w:tc>
        <w:tc>
          <w:tcPr>
            <w:tcW w:w="99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70,25</w:t>
            </w:r>
          </w:p>
        </w:tc>
      </w:tr>
      <w:tr w:rsidR="00D66A70" w:rsidTr="006D4EF8">
        <w:tc>
          <w:tcPr>
            <w:tcW w:w="2660"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 xml:space="preserve">Biobensiini R </w:t>
            </w:r>
            <w:proofErr w:type="spellStart"/>
            <w:r>
              <w:rPr>
                <w:sz w:val="20"/>
                <w:lang w:eastAsia="fi-FI"/>
              </w:rPr>
              <w:t>snt</w:t>
            </w:r>
            <w:proofErr w:type="spellEnd"/>
            <w:r>
              <w:rPr>
                <w:sz w:val="20"/>
                <w:lang w:eastAsia="fi-FI"/>
              </w:rPr>
              <w:t>/l</w:t>
            </w:r>
          </w:p>
        </w:tc>
        <w:tc>
          <w:tcPr>
            <w:tcW w:w="992"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39</w:t>
            </w:r>
          </w:p>
        </w:tc>
        <w:tc>
          <w:tcPr>
            <w:tcW w:w="1134"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52,19</w:t>
            </w:r>
          </w:p>
        </w:tc>
        <w:tc>
          <w:tcPr>
            <w:tcW w:w="1701"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8,69</w:t>
            </w:r>
          </w:p>
        </w:tc>
        <w:tc>
          <w:tcPr>
            <w:tcW w:w="107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0,68</w:t>
            </w:r>
          </w:p>
        </w:tc>
        <w:tc>
          <w:tcPr>
            <w:tcW w:w="99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61,56</w:t>
            </w:r>
          </w:p>
        </w:tc>
      </w:tr>
      <w:tr w:rsidR="00D66A70" w:rsidTr="006D4EF8">
        <w:tc>
          <w:tcPr>
            <w:tcW w:w="2660"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 xml:space="preserve">Biobensiini T </w:t>
            </w:r>
            <w:proofErr w:type="spellStart"/>
            <w:r>
              <w:rPr>
                <w:sz w:val="20"/>
                <w:lang w:eastAsia="fi-FI"/>
              </w:rPr>
              <w:t>snt</w:t>
            </w:r>
            <w:proofErr w:type="spellEnd"/>
            <w:r>
              <w:rPr>
                <w:sz w:val="20"/>
                <w:lang w:eastAsia="fi-FI"/>
              </w:rPr>
              <w:t>/l</w:t>
            </w:r>
          </w:p>
        </w:tc>
        <w:tc>
          <w:tcPr>
            <w:tcW w:w="992"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40</w:t>
            </w:r>
          </w:p>
        </w:tc>
        <w:tc>
          <w:tcPr>
            <w:tcW w:w="1134"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52,19</w:t>
            </w:r>
          </w:p>
        </w:tc>
        <w:tc>
          <w:tcPr>
            <w:tcW w:w="1701"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0,00</w:t>
            </w:r>
          </w:p>
        </w:tc>
        <w:tc>
          <w:tcPr>
            <w:tcW w:w="107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0,68</w:t>
            </w:r>
          </w:p>
        </w:tc>
        <w:tc>
          <w:tcPr>
            <w:tcW w:w="99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52,87</w:t>
            </w:r>
          </w:p>
        </w:tc>
      </w:tr>
      <w:tr w:rsidR="00D66A70" w:rsidTr="006D4EF8">
        <w:tc>
          <w:tcPr>
            <w:tcW w:w="2660"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 xml:space="preserve">Etanolidiesel </w:t>
            </w:r>
            <w:proofErr w:type="spellStart"/>
            <w:r>
              <w:rPr>
                <w:sz w:val="20"/>
                <w:lang w:eastAsia="fi-FI"/>
              </w:rPr>
              <w:t>snt</w:t>
            </w:r>
            <w:proofErr w:type="spellEnd"/>
            <w:r>
              <w:rPr>
                <w:sz w:val="20"/>
                <w:lang w:eastAsia="fi-FI"/>
              </w:rPr>
              <w:t>/l</w:t>
            </w:r>
          </w:p>
        </w:tc>
        <w:tc>
          <w:tcPr>
            <w:tcW w:w="992"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47</w:t>
            </w:r>
          </w:p>
        </w:tc>
        <w:tc>
          <w:tcPr>
            <w:tcW w:w="1134"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15,18</w:t>
            </w:r>
          </w:p>
        </w:tc>
        <w:tc>
          <w:tcPr>
            <w:tcW w:w="1701"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11,65</w:t>
            </w:r>
          </w:p>
        </w:tc>
        <w:tc>
          <w:tcPr>
            <w:tcW w:w="107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0,35</w:t>
            </w:r>
          </w:p>
        </w:tc>
        <w:tc>
          <w:tcPr>
            <w:tcW w:w="99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27,18</w:t>
            </w:r>
          </w:p>
        </w:tc>
      </w:tr>
      <w:tr w:rsidR="00D66A70" w:rsidTr="006D4EF8">
        <w:tc>
          <w:tcPr>
            <w:tcW w:w="2660"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 xml:space="preserve">Etanolidiesel R </w:t>
            </w:r>
            <w:proofErr w:type="spellStart"/>
            <w:r>
              <w:rPr>
                <w:sz w:val="20"/>
                <w:lang w:eastAsia="fi-FI"/>
              </w:rPr>
              <w:t>snt</w:t>
            </w:r>
            <w:proofErr w:type="spellEnd"/>
            <w:r>
              <w:rPr>
                <w:sz w:val="20"/>
                <w:lang w:eastAsia="fi-FI"/>
              </w:rPr>
              <w:t>/l</w:t>
            </w:r>
          </w:p>
        </w:tc>
        <w:tc>
          <w:tcPr>
            <w:tcW w:w="992"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48</w:t>
            </w:r>
          </w:p>
        </w:tc>
        <w:tc>
          <w:tcPr>
            <w:tcW w:w="1134"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15,18</w:t>
            </w:r>
          </w:p>
        </w:tc>
        <w:tc>
          <w:tcPr>
            <w:tcW w:w="1701"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6,40</w:t>
            </w:r>
          </w:p>
        </w:tc>
        <w:tc>
          <w:tcPr>
            <w:tcW w:w="107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0,35</w:t>
            </w:r>
          </w:p>
        </w:tc>
        <w:tc>
          <w:tcPr>
            <w:tcW w:w="99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21,93</w:t>
            </w:r>
          </w:p>
        </w:tc>
      </w:tr>
      <w:tr w:rsidR="00D66A70" w:rsidTr="006D4EF8">
        <w:tc>
          <w:tcPr>
            <w:tcW w:w="2660"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 xml:space="preserve">Etanolidiesel T </w:t>
            </w:r>
            <w:proofErr w:type="spellStart"/>
            <w:r>
              <w:rPr>
                <w:sz w:val="20"/>
                <w:lang w:eastAsia="fi-FI"/>
              </w:rPr>
              <w:t>snt</w:t>
            </w:r>
            <w:proofErr w:type="spellEnd"/>
            <w:r>
              <w:rPr>
                <w:sz w:val="20"/>
                <w:lang w:eastAsia="fi-FI"/>
              </w:rPr>
              <w:t>/l</w:t>
            </w:r>
          </w:p>
        </w:tc>
        <w:tc>
          <w:tcPr>
            <w:tcW w:w="992"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49</w:t>
            </w:r>
          </w:p>
        </w:tc>
        <w:tc>
          <w:tcPr>
            <w:tcW w:w="1134"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15,18</w:t>
            </w:r>
          </w:p>
        </w:tc>
        <w:tc>
          <w:tcPr>
            <w:tcW w:w="1701"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1,15</w:t>
            </w:r>
          </w:p>
        </w:tc>
        <w:tc>
          <w:tcPr>
            <w:tcW w:w="107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0,35</w:t>
            </w:r>
          </w:p>
        </w:tc>
        <w:tc>
          <w:tcPr>
            <w:tcW w:w="99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16,68</w:t>
            </w:r>
          </w:p>
        </w:tc>
      </w:tr>
      <w:tr w:rsidR="00D66A70" w:rsidTr="006D4EF8">
        <w:tc>
          <w:tcPr>
            <w:tcW w:w="2660" w:type="dxa"/>
            <w:tcBorders>
              <w:top w:val="nil"/>
              <w:left w:val="nil"/>
              <w:bottom w:val="nil"/>
              <w:right w:val="nil"/>
            </w:tcBorders>
            <w:shd w:val="clear" w:color="auto" w:fill="FFFFFF"/>
          </w:tcPr>
          <w:p w:rsidR="00D66A70" w:rsidRPr="00D66A70" w:rsidRDefault="00D66A70" w:rsidP="00D66A70">
            <w:pPr>
              <w:rPr>
                <w:sz w:val="20"/>
                <w:lang w:eastAsia="fi-FI"/>
              </w:rPr>
            </w:pPr>
            <w:r w:rsidRPr="00D66A70">
              <w:rPr>
                <w:sz w:val="20"/>
                <w:lang w:eastAsia="fi-FI"/>
              </w:rPr>
              <w:t xml:space="preserve">Dieselöljy </w:t>
            </w:r>
            <w:proofErr w:type="spellStart"/>
            <w:r w:rsidRPr="00D66A70">
              <w:rPr>
                <w:sz w:val="20"/>
                <w:lang w:eastAsia="fi-FI"/>
              </w:rPr>
              <w:t>snt</w:t>
            </w:r>
            <w:proofErr w:type="spellEnd"/>
            <w:r w:rsidRPr="00D66A70">
              <w:rPr>
                <w:sz w:val="20"/>
                <w:lang w:eastAsia="fi-FI"/>
              </w:rPr>
              <w:t>/l</w:t>
            </w:r>
          </w:p>
        </w:tc>
        <w:tc>
          <w:tcPr>
            <w:tcW w:w="992"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50</w:t>
            </w:r>
          </w:p>
        </w:tc>
        <w:tc>
          <w:tcPr>
            <w:tcW w:w="1134"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32,77</w:t>
            </w:r>
          </w:p>
        </w:tc>
        <w:tc>
          <w:tcPr>
            <w:tcW w:w="1701"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19,90</w:t>
            </w:r>
          </w:p>
        </w:tc>
        <w:tc>
          <w:tcPr>
            <w:tcW w:w="107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0,35</w:t>
            </w:r>
          </w:p>
        </w:tc>
        <w:tc>
          <w:tcPr>
            <w:tcW w:w="99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53,02</w:t>
            </w:r>
          </w:p>
        </w:tc>
      </w:tr>
      <w:tr w:rsidR="00D66A70" w:rsidTr="006D4EF8">
        <w:tc>
          <w:tcPr>
            <w:tcW w:w="2660"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 xml:space="preserve">Dieselöljy </w:t>
            </w:r>
            <w:proofErr w:type="spellStart"/>
            <w:r>
              <w:rPr>
                <w:sz w:val="20"/>
                <w:lang w:eastAsia="fi-FI"/>
              </w:rPr>
              <w:t>para</w:t>
            </w:r>
            <w:proofErr w:type="spellEnd"/>
            <w:r>
              <w:rPr>
                <w:sz w:val="20"/>
                <w:lang w:eastAsia="fi-FI"/>
              </w:rPr>
              <w:t xml:space="preserve"> </w:t>
            </w:r>
            <w:proofErr w:type="spellStart"/>
            <w:r>
              <w:rPr>
                <w:sz w:val="20"/>
                <w:lang w:eastAsia="fi-FI"/>
              </w:rPr>
              <w:t>snt</w:t>
            </w:r>
            <w:proofErr w:type="spellEnd"/>
            <w:r>
              <w:rPr>
                <w:sz w:val="20"/>
                <w:lang w:eastAsia="fi-FI"/>
              </w:rPr>
              <w:t>/l</w:t>
            </w:r>
          </w:p>
        </w:tc>
        <w:tc>
          <w:tcPr>
            <w:tcW w:w="992"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51</w:t>
            </w:r>
          </w:p>
        </w:tc>
        <w:tc>
          <w:tcPr>
            <w:tcW w:w="1134"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25,95</w:t>
            </w:r>
          </w:p>
        </w:tc>
        <w:tc>
          <w:tcPr>
            <w:tcW w:w="1701"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18,79</w:t>
            </w:r>
          </w:p>
        </w:tc>
        <w:tc>
          <w:tcPr>
            <w:tcW w:w="107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0,35</w:t>
            </w:r>
          </w:p>
        </w:tc>
        <w:tc>
          <w:tcPr>
            <w:tcW w:w="99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45,09</w:t>
            </w:r>
          </w:p>
        </w:tc>
      </w:tr>
      <w:tr w:rsidR="00D66A70" w:rsidTr="006D4EF8">
        <w:tc>
          <w:tcPr>
            <w:tcW w:w="2660"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 xml:space="preserve">Biodieselöljy </w:t>
            </w:r>
            <w:proofErr w:type="spellStart"/>
            <w:r>
              <w:rPr>
                <w:sz w:val="20"/>
                <w:lang w:eastAsia="fi-FI"/>
              </w:rPr>
              <w:t>snt</w:t>
            </w:r>
            <w:proofErr w:type="spellEnd"/>
            <w:r>
              <w:rPr>
                <w:sz w:val="20"/>
                <w:lang w:eastAsia="fi-FI"/>
              </w:rPr>
              <w:t>/l</w:t>
            </w:r>
          </w:p>
        </w:tc>
        <w:tc>
          <w:tcPr>
            <w:tcW w:w="992"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52</w:t>
            </w:r>
          </w:p>
        </w:tc>
        <w:tc>
          <w:tcPr>
            <w:tcW w:w="1134"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30,04</w:t>
            </w:r>
          </w:p>
        </w:tc>
        <w:tc>
          <w:tcPr>
            <w:tcW w:w="1701"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18,24</w:t>
            </w:r>
          </w:p>
        </w:tc>
        <w:tc>
          <w:tcPr>
            <w:tcW w:w="107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0,35</w:t>
            </w:r>
          </w:p>
        </w:tc>
        <w:tc>
          <w:tcPr>
            <w:tcW w:w="99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48,63</w:t>
            </w:r>
          </w:p>
        </w:tc>
      </w:tr>
      <w:tr w:rsidR="00D66A70" w:rsidTr="006D4EF8">
        <w:tc>
          <w:tcPr>
            <w:tcW w:w="2660"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 xml:space="preserve">Biodieselöljy R </w:t>
            </w:r>
            <w:proofErr w:type="spellStart"/>
            <w:r>
              <w:rPr>
                <w:sz w:val="20"/>
                <w:lang w:eastAsia="fi-FI"/>
              </w:rPr>
              <w:t>snt</w:t>
            </w:r>
            <w:proofErr w:type="spellEnd"/>
            <w:r>
              <w:rPr>
                <w:sz w:val="20"/>
                <w:lang w:eastAsia="fi-FI"/>
              </w:rPr>
              <w:t>/l</w:t>
            </w:r>
          </w:p>
        </w:tc>
        <w:tc>
          <w:tcPr>
            <w:tcW w:w="992"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53</w:t>
            </w:r>
          </w:p>
        </w:tc>
        <w:tc>
          <w:tcPr>
            <w:tcW w:w="1134"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30,04</w:t>
            </w:r>
          </w:p>
        </w:tc>
        <w:tc>
          <w:tcPr>
            <w:tcW w:w="1701"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9,12</w:t>
            </w:r>
          </w:p>
        </w:tc>
        <w:tc>
          <w:tcPr>
            <w:tcW w:w="107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0,35</w:t>
            </w:r>
          </w:p>
        </w:tc>
        <w:tc>
          <w:tcPr>
            <w:tcW w:w="99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39,51</w:t>
            </w:r>
          </w:p>
        </w:tc>
      </w:tr>
      <w:tr w:rsidR="00D66A70" w:rsidTr="006D4EF8">
        <w:tc>
          <w:tcPr>
            <w:tcW w:w="2660" w:type="dxa"/>
            <w:tcBorders>
              <w:top w:val="nil"/>
              <w:left w:val="nil"/>
              <w:bottom w:val="nil"/>
              <w:right w:val="nil"/>
            </w:tcBorders>
            <w:shd w:val="clear" w:color="auto" w:fill="FFFFFF"/>
          </w:tcPr>
          <w:p w:rsidR="00D66A70" w:rsidRPr="00D66A70" w:rsidRDefault="00D66A70" w:rsidP="00D66A70">
            <w:pPr>
              <w:rPr>
                <w:sz w:val="20"/>
                <w:lang w:eastAsia="fi-FI"/>
              </w:rPr>
            </w:pPr>
            <w:r w:rsidRPr="00D66A70">
              <w:rPr>
                <w:sz w:val="20"/>
                <w:lang w:eastAsia="fi-FI"/>
              </w:rPr>
              <w:t xml:space="preserve">Biodieselöljy T </w:t>
            </w:r>
            <w:proofErr w:type="spellStart"/>
            <w:r w:rsidRPr="00D66A70">
              <w:rPr>
                <w:sz w:val="20"/>
                <w:lang w:eastAsia="fi-FI"/>
              </w:rPr>
              <w:t>snt</w:t>
            </w:r>
            <w:proofErr w:type="spellEnd"/>
            <w:r w:rsidRPr="00D66A70">
              <w:rPr>
                <w:sz w:val="20"/>
                <w:lang w:eastAsia="fi-FI"/>
              </w:rPr>
              <w:t>/l</w:t>
            </w:r>
          </w:p>
        </w:tc>
        <w:tc>
          <w:tcPr>
            <w:tcW w:w="992" w:type="dxa"/>
            <w:tcBorders>
              <w:top w:val="nil"/>
              <w:left w:val="nil"/>
              <w:bottom w:val="nil"/>
              <w:right w:val="nil"/>
            </w:tcBorders>
            <w:shd w:val="clear" w:color="auto" w:fill="FFFFFF"/>
          </w:tcPr>
          <w:p w:rsidR="00D66A70" w:rsidRPr="00D66A70" w:rsidRDefault="00D66A70" w:rsidP="00D66A70">
            <w:pPr>
              <w:rPr>
                <w:sz w:val="20"/>
                <w:lang w:eastAsia="fi-FI"/>
              </w:rPr>
            </w:pPr>
            <w:r w:rsidRPr="00D66A70">
              <w:rPr>
                <w:sz w:val="20"/>
                <w:lang w:eastAsia="fi-FI"/>
              </w:rPr>
              <w:t>54</w:t>
            </w:r>
          </w:p>
        </w:tc>
        <w:tc>
          <w:tcPr>
            <w:tcW w:w="1134" w:type="dxa"/>
            <w:tcBorders>
              <w:top w:val="nil"/>
              <w:left w:val="nil"/>
              <w:bottom w:val="nil"/>
              <w:right w:val="nil"/>
            </w:tcBorders>
            <w:shd w:val="clear" w:color="auto" w:fill="FFFFFF"/>
          </w:tcPr>
          <w:p w:rsidR="00D66A70" w:rsidRPr="00D66A70" w:rsidRDefault="00D66A70" w:rsidP="00D66A70">
            <w:pPr>
              <w:rPr>
                <w:sz w:val="20"/>
                <w:lang w:eastAsia="fi-FI"/>
              </w:rPr>
            </w:pPr>
            <w:r w:rsidRPr="00D66A70">
              <w:rPr>
                <w:sz w:val="20"/>
                <w:lang w:eastAsia="fi-FI"/>
              </w:rPr>
              <w:t>30,04</w:t>
            </w:r>
          </w:p>
        </w:tc>
        <w:tc>
          <w:tcPr>
            <w:tcW w:w="1701" w:type="dxa"/>
            <w:tcBorders>
              <w:top w:val="nil"/>
              <w:left w:val="nil"/>
              <w:bottom w:val="nil"/>
              <w:right w:val="nil"/>
            </w:tcBorders>
            <w:shd w:val="clear" w:color="auto" w:fill="FFFFFF"/>
          </w:tcPr>
          <w:p w:rsidR="00D66A70" w:rsidRPr="00D66A70" w:rsidRDefault="00D66A70" w:rsidP="00D66A70">
            <w:pPr>
              <w:rPr>
                <w:sz w:val="20"/>
                <w:lang w:eastAsia="fi-FI"/>
              </w:rPr>
            </w:pPr>
            <w:r w:rsidRPr="00D66A70">
              <w:rPr>
                <w:sz w:val="20"/>
                <w:lang w:eastAsia="fi-FI"/>
              </w:rPr>
              <w:t>0,00</w:t>
            </w:r>
          </w:p>
        </w:tc>
        <w:tc>
          <w:tcPr>
            <w:tcW w:w="1077" w:type="dxa"/>
            <w:tcBorders>
              <w:top w:val="nil"/>
              <w:left w:val="nil"/>
              <w:bottom w:val="nil"/>
              <w:right w:val="nil"/>
            </w:tcBorders>
            <w:shd w:val="clear" w:color="auto" w:fill="FFFFFF"/>
          </w:tcPr>
          <w:p w:rsidR="00D66A70" w:rsidRPr="00D66A70" w:rsidRDefault="00D66A70" w:rsidP="00D66A70">
            <w:pPr>
              <w:rPr>
                <w:sz w:val="20"/>
                <w:lang w:eastAsia="fi-FI"/>
              </w:rPr>
            </w:pPr>
            <w:r w:rsidRPr="00D66A70">
              <w:rPr>
                <w:sz w:val="20"/>
                <w:lang w:eastAsia="fi-FI"/>
              </w:rPr>
              <w:t>0,35</w:t>
            </w:r>
          </w:p>
        </w:tc>
        <w:tc>
          <w:tcPr>
            <w:tcW w:w="997" w:type="dxa"/>
            <w:tcBorders>
              <w:top w:val="nil"/>
              <w:left w:val="nil"/>
              <w:bottom w:val="nil"/>
              <w:right w:val="nil"/>
            </w:tcBorders>
            <w:shd w:val="clear" w:color="auto" w:fill="FFFFFF"/>
          </w:tcPr>
          <w:p w:rsidR="00D66A70" w:rsidRPr="00D66A70" w:rsidRDefault="00D66A70" w:rsidP="00D66A70">
            <w:pPr>
              <w:rPr>
                <w:sz w:val="20"/>
                <w:lang w:eastAsia="fi-FI"/>
              </w:rPr>
            </w:pPr>
            <w:r w:rsidRPr="00D66A70">
              <w:rPr>
                <w:sz w:val="20"/>
                <w:lang w:eastAsia="fi-FI"/>
              </w:rPr>
              <w:t>30,39</w:t>
            </w:r>
          </w:p>
        </w:tc>
      </w:tr>
      <w:tr w:rsidR="00D66A70" w:rsidTr="006D4EF8">
        <w:tc>
          <w:tcPr>
            <w:tcW w:w="2660" w:type="dxa"/>
            <w:tcBorders>
              <w:top w:val="nil"/>
              <w:left w:val="nil"/>
              <w:bottom w:val="nil"/>
              <w:right w:val="nil"/>
            </w:tcBorders>
            <w:shd w:val="clear" w:color="auto" w:fill="FFFFFF"/>
          </w:tcPr>
          <w:p w:rsidR="00D66A70" w:rsidRPr="00D66A70" w:rsidRDefault="00D66A70" w:rsidP="00D66A70">
            <w:pPr>
              <w:rPr>
                <w:sz w:val="20"/>
                <w:lang w:eastAsia="fi-FI"/>
              </w:rPr>
            </w:pPr>
            <w:r w:rsidRPr="00D66A70">
              <w:rPr>
                <w:sz w:val="20"/>
                <w:lang w:eastAsia="fi-FI"/>
              </w:rPr>
              <w:t>Biodie</w:t>
            </w:r>
            <w:r w:rsidR="006D4EF8">
              <w:rPr>
                <w:sz w:val="20"/>
                <w:lang w:eastAsia="fi-FI"/>
              </w:rPr>
              <w:t xml:space="preserve">selöljy P </w:t>
            </w:r>
            <w:proofErr w:type="spellStart"/>
            <w:r w:rsidR="006D4EF8">
              <w:rPr>
                <w:sz w:val="20"/>
                <w:lang w:eastAsia="fi-FI"/>
              </w:rPr>
              <w:t>snt</w:t>
            </w:r>
            <w:proofErr w:type="spellEnd"/>
            <w:r w:rsidR="006D4EF8">
              <w:rPr>
                <w:sz w:val="20"/>
                <w:lang w:eastAsia="fi-FI"/>
              </w:rPr>
              <w:t>/l</w:t>
            </w:r>
          </w:p>
        </w:tc>
        <w:tc>
          <w:tcPr>
            <w:tcW w:w="992"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55</w:t>
            </w:r>
          </w:p>
        </w:tc>
        <w:tc>
          <w:tcPr>
            <w:tcW w:w="1134"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25,95</w:t>
            </w:r>
          </w:p>
        </w:tc>
        <w:tc>
          <w:tcPr>
            <w:tcW w:w="1701"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18,79</w:t>
            </w:r>
          </w:p>
        </w:tc>
        <w:tc>
          <w:tcPr>
            <w:tcW w:w="107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0,35</w:t>
            </w:r>
          </w:p>
        </w:tc>
        <w:tc>
          <w:tcPr>
            <w:tcW w:w="99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45,09</w:t>
            </w:r>
          </w:p>
        </w:tc>
      </w:tr>
      <w:tr w:rsidR="00D66A70" w:rsidTr="006D4EF8">
        <w:tc>
          <w:tcPr>
            <w:tcW w:w="2660" w:type="dxa"/>
            <w:tcBorders>
              <w:top w:val="nil"/>
              <w:left w:val="nil"/>
              <w:bottom w:val="nil"/>
              <w:right w:val="nil"/>
            </w:tcBorders>
            <w:shd w:val="clear" w:color="auto" w:fill="FFFFFF"/>
          </w:tcPr>
          <w:p w:rsidR="00D66A70" w:rsidRPr="00ED5B54" w:rsidRDefault="006D4EF8" w:rsidP="00D66A70">
            <w:pPr>
              <w:rPr>
                <w:sz w:val="20"/>
                <w:lang w:val="en-US" w:eastAsia="fi-FI"/>
              </w:rPr>
            </w:pPr>
            <w:proofErr w:type="spellStart"/>
            <w:r w:rsidRPr="00ED5B54">
              <w:rPr>
                <w:sz w:val="20"/>
                <w:lang w:val="en-US" w:eastAsia="fi-FI"/>
              </w:rPr>
              <w:lastRenderedPageBreak/>
              <w:t>Biodieselöljy</w:t>
            </w:r>
            <w:proofErr w:type="spellEnd"/>
            <w:r w:rsidRPr="00ED5B54">
              <w:rPr>
                <w:sz w:val="20"/>
                <w:lang w:val="en-US" w:eastAsia="fi-FI"/>
              </w:rPr>
              <w:t xml:space="preserve"> P R </w:t>
            </w:r>
            <w:proofErr w:type="spellStart"/>
            <w:r w:rsidRPr="00ED5B54">
              <w:rPr>
                <w:sz w:val="20"/>
                <w:lang w:val="en-US" w:eastAsia="fi-FI"/>
              </w:rPr>
              <w:t>snt</w:t>
            </w:r>
            <w:proofErr w:type="spellEnd"/>
            <w:r w:rsidRPr="00ED5B54">
              <w:rPr>
                <w:sz w:val="20"/>
                <w:lang w:val="en-US" w:eastAsia="fi-FI"/>
              </w:rPr>
              <w:t>/l</w:t>
            </w:r>
          </w:p>
        </w:tc>
        <w:tc>
          <w:tcPr>
            <w:tcW w:w="992"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56</w:t>
            </w:r>
          </w:p>
        </w:tc>
        <w:tc>
          <w:tcPr>
            <w:tcW w:w="1134"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25,95</w:t>
            </w:r>
          </w:p>
        </w:tc>
        <w:tc>
          <w:tcPr>
            <w:tcW w:w="1701"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9,40</w:t>
            </w:r>
          </w:p>
        </w:tc>
        <w:tc>
          <w:tcPr>
            <w:tcW w:w="107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0,35</w:t>
            </w:r>
          </w:p>
        </w:tc>
        <w:tc>
          <w:tcPr>
            <w:tcW w:w="99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35,70</w:t>
            </w:r>
          </w:p>
        </w:tc>
      </w:tr>
      <w:tr w:rsidR="00D66A70" w:rsidTr="006D4EF8">
        <w:tc>
          <w:tcPr>
            <w:tcW w:w="2660" w:type="dxa"/>
            <w:tcBorders>
              <w:top w:val="nil"/>
              <w:left w:val="nil"/>
              <w:bottom w:val="nil"/>
              <w:right w:val="nil"/>
            </w:tcBorders>
            <w:shd w:val="clear" w:color="auto" w:fill="FFFFFF"/>
          </w:tcPr>
          <w:p w:rsidR="00D66A70" w:rsidRPr="00ED5B54" w:rsidRDefault="006D4EF8" w:rsidP="00D66A70">
            <w:pPr>
              <w:rPr>
                <w:sz w:val="20"/>
                <w:lang w:val="en-US" w:eastAsia="fi-FI"/>
              </w:rPr>
            </w:pPr>
            <w:proofErr w:type="spellStart"/>
            <w:r w:rsidRPr="00ED5B54">
              <w:rPr>
                <w:sz w:val="20"/>
                <w:lang w:val="en-US" w:eastAsia="fi-FI"/>
              </w:rPr>
              <w:t>Biodieselöljy</w:t>
            </w:r>
            <w:proofErr w:type="spellEnd"/>
            <w:r w:rsidRPr="00ED5B54">
              <w:rPr>
                <w:sz w:val="20"/>
                <w:lang w:val="en-US" w:eastAsia="fi-FI"/>
              </w:rPr>
              <w:t xml:space="preserve"> P T </w:t>
            </w:r>
            <w:proofErr w:type="spellStart"/>
            <w:r w:rsidRPr="00ED5B54">
              <w:rPr>
                <w:sz w:val="20"/>
                <w:lang w:val="en-US" w:eastAsia="fi-FI"/>
              </w:rPr>
              <w:t>snt</w:t>
            </w:r>
            <w:proofErr w:type="spellEnd"/>
            <w:r w:rsidRPr="00ED5B54">
              <w:rPr>
                <w:sz w:val="20"/>
                <w:lang w:val="en-US" w:eastAsia="fi-FI"/>
              </w:rPr>
              <w:t>/l</w:t>
            </w:r>
          </w:p>
        </w:tc>
        <w:tc>
          <w:tcPr>
            <w:tcW w:w="992"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57</w:t>
            </w:r>
          </w:p>
        </w:tc>
        <w:tc>
          <w:tcPr>
            <w:tcW w:w="1134"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25,95</w:t>
            </w:r>
          </w:p>
        </w:tc>
        <w:tc>
          <w:tcPr>
            <w:tcW w:w="1701"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0,00</w:t>
            </w:r>
          </w:p>
        </w:tc>
        <w:tc>
          <w:tcPr>
            <w:tcW w:w="107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0,35</w:t>
            </w:r>
          </w:p>
        </w:tc>
        <w:tc>
          <w:tcPr>
            <w:tcW w:w="99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26,30</w:t>
            </w:r>
          </w:p>
        </w:tc>
      </w:tr>
      <w:tr w:rsidR="00D66A70" w:rsidTr="006D4EF8">
        <w:tc>
          <w:tcPr>
            <w:tcW w:w="2660"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 xml:space="preserve">Kevyt polttoöljy </w:t>
            </w:r>
            <w:proofErr w:type="spellStart"/>
            <w:r>
              <w:rPr>
                <w:sz w:val="20"/>
                <w:lang w:eastAsia="fi-FI"/>
              </w:rPr>
              <w:t>snt</w:t>
            </w:r>
            <w:proofErr w:type="spellEnd"/>
            <w:r>
              <w:rPr>
                <w:sz w:val="20"/>
                <w:lang w:eastAsia="fi-FI"/>
              </w:rPr>
              <w:t>/l</w:t>
            </w:r>
          </w:p>
        </w:tc>
        <w:tc>
          <w:tcPr>
            <w:tcW w:w="992"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60</w:t>
            </w:r>
          </w:p>
        </w:tc>
        <w:tc>
          <w:tcPr>
            <w:tcW w:w="1134"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10,28</w:t>
            </w:r>
          </w:p>
        </w:tc>
        <w:tc>
          <w:tcPr>
            <w:tcW w:w="1701"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16,90</w:t>
            </w:r>
          </w:p>
        </w:tc>
        <w:tc>
          <w:tcPr>
            <w:tcW w:w="107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0,35</w:t>
            </w:r>
          </w:p>
        </w:tc>
        <w:tc>
          <w:tcPr>
            <w:tcW w:w="99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27,53</w:t>
            </w:r>
          </w:p>
        </w:tc>
      </w:tr>
      <w:tr w:rsidR="00D66A70" w:rsidTr="006D4EF8">
        <w:tc>
          <w:tcPr>
            <w:tcW w:w="2660"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 xml:space="preserve">Kevyt polttoöljy rikitön </w:t>
            </w:r>
            <w:proofErr w:type="spellStart"/>
            <w:r>
              <w:rPr>
                <w:sz w:val="20"/>
                <w:lang w:eastAsia="fi-FI"/>
              </w:rPr>
              <w:t>snt</w:t>
            </w:r>
            <w:proofErr w:type="spellEnd"/>
            <w:r>
              <w:rPr>
                <w:sz w:val="20"/>
                <w:lang w:eastAsia="fi-FI"/>
              </w:rPr>
              <w:t>/l</w:t>
            </w:r>
          </w:p>
        </w:tc>
        <w:tc>
          <w:tcPr>
            <w:tcW w:w="992"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61</w:t>
            </w:r>
          </w:p>
        </w:tc>
        <w:tc>
          <w:tcPr>
            <w:tcW w:w="1134" w:type="dxa"/>
            <w:tcBorders>
              <w:top w:val="nil"/>
              <w:left w:val="nil"/>
              <w:bottom w:val="nil"/>
              <w:right w:val="nil"/>
            </w:tcBorders>
            <w:shd w:val="clear" w:color="auto" w:fill="FFFFFF"/>
          </w:tcPr>
          <w:p w:rsidR="00D66A70" w:rsidRPr="00D66A70" w:rsidRDefault="00D66A70" w:rsidP="00D66A70">
            <w:pPr>
              <w:rPr>
                <w:sz w:val="20"/>
                <w:lang w:eastAsia="fi-FI"/>
              </w:rPr>
            </w:pPr>
            <w:r w:rsidRPr="00D66A70">
              <w:rPr>
                <w:sz w:val="20"/>
                <w:lang w:eastAsia="fi-FI"/>
              </w:rPr>
              <w:t>7,6</w:t>
            </w:r>
            <w:r w:rsidR="006D4EF8">
              <w:rPr>
                <w:sz w:val="20"/>
                <w:lang w:eastAsia="fi-FI"/>
              </w:rPr>
              <w:t>3</w:t>
            </w:r>
          </w:p>
        </w:tc>
        <w:tc>
          <w:tcPr>
            <w:tcW w:w="1701"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16,90</w:t>
            </w:r>
          </w:p>
        </w:tc>
        <w:tc>
          <w:tcPr>
            <w:tcW w:w="107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0,35</w:t>
            </w:r>
          </w:p>
        </w:tc>
        <w:tc>
          <w:tcPr>
            <w:tcW w:w="99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24,88</w:t>
            </w:r>
          </w:p>
        </w:tc>
      </w:tr>
      <w:tr w:rsidR="00D66A70" w:rsidTr="006D4EF8">
        <w:tc>
          <w:tcPr>
            <w:tcW w:w="2660"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 xml:space="preserve">Biopolttoöljy </w:t>
            </w:r>
            <w:proofErr w:type="spellStart"/>
            <w:r>
              <w:rPr>
                <w:sz w:val="20"/>
                <w:lang w:eastAsia="fi-FI"/>
              </w:rPr>
              <w:t>snt</w:t>
            </w:r>
            <w:proofErr w:type="spellEnd"/>
            <w:r>
              <w:rPr>
                <w:sz w:val="20"/>
                <w:lang w:eastAsia="fi-FI"/>
              </w:rPr>
              <w:t>/l</w:t>
            </w:r>
          </w:p>
        </w:tc>
        <w:tc>
          <w:tcPr>
            <w:tcW w:w="992"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62</w:t>
            </w:r>
          </w:p>
        </w:tc>
        <w:tc>
          <w:tcPr>
            <w:tcW w:w="1134"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7,63</w:t>
            </w:r>
          </w:p>
        </w:tc>
        <w:tc>
          <w:tcPr>
            <w:tcW w:w="1701"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16,90</w:t>
            </w:r>
          </w:p>
        </w:tc>
        <w:tc>
          <w:tcPr>
            <w:tcW w:w="107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0,35</w:t>
            </w:r>
          </w:p>
        </w:tc>
        <w:tc>
          <w:tcPr>
            <w:tcW w:w="99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24,88</w:t>
            </w:r>
          </w:p>
        </w:tc>
      </w:tr>
      <w:tr w:rsidR="00D66A70" w:rsidTr="006D4EF8">
        <w:tc>
          <w:tcPr>
            <w:tcW w:w="2660"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 xml:space="preserve">Biopolttoöljy R </w:t>
            </w:r>
            <w:proofErr w:type="spellStart"/>
            <w:r>
              <w:rPr>
                <w:sz w:val="20"/>
                <w:lang w:eastAsia="fi-FI"/>
              </w:rPr>
              <w:t>snt</w:t>
            </w:r>
            <w:proofErr w:type="spellEnd"/>
            <w:r>
              <w:rPr>
                <w:sz w:val="20"/>
                <w:lang w:eastAsia="fi-FI"/>
              </w:rPr>
              <w:t>/l</w:t>
            </w:r>
          </w:p>
        </w:tc>
        <w:tc>
          <w:tcPr>
            <w:tcW w:w="992"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63</w:t>
            </w:r>
          </w:p>
        </w:tc>
        <w:tc>
          <w:tcPr>
            <w:tcW w:w="1134"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7,63</w:t>
            </w:r>
          </w:p>
        </w:tc>
        <w:tc>
          <w:tcPr>
            <w:tcW w:w="1701"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8,45</w:t>
            </w:r>
          </w:p>
        </w:tc>
        <w:tc>
          <w:tcPr>
            <w:tcW w:w="107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0,35</w:t>
            </w:r>
          </w:p>
        </w:tc>
        <w:tc>
          <w:tcPr>
            <w:tcW w:w="99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16,43</w:t>
            </w:r>
          </w:p>
        </w:tc>
      </w:tr>
      <w:tr w:rsidR="00D66A70" w:rsidTr="006D4EF8">
        <w:tc>
          <w:tcPr>
            <w:tcW w:w="2660"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 xml:space="preserve">Biopolttoöljy T </w:t>
            </w:r>
            <w:proofErr w:type="spellStart"/>
            <w:r>
              <w:rPr>
                <w:sz w:val="20"/>
                <w:lang w:eastAsia="fi-FI"/>
              </w:rPr>
              <w:t>snt</w:t>
            </w:r>
            <w:proofErr w:type="spellEnd"/>
            <w:r>
              <w:rPr>
                <w:sz w:val="20"/>
                <w:lang w:eastAsia="fi-FI"/>
              </w:rPr>
              <w:t>/l</w:t>
            </w:r>
          </w:p>
        </w:tc>
        <w:tc>
          <w:tcPr>
            <w:tcW w:w="992"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64</w:t>
            </w:r>
          </w:p>
        </w:tc>
        <w:tc>
          <w:tcPr>
            <w:tcW w:w="1134"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7,63</w:t>
            </w:r>
          </w:p>
        </w:tc>
        <w:tc>
          <w:tcPr>
            <w:tcW w:w="1701"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0,00</w:t>
            </w:r>
          </w:p>
        </w:tc>
        <w:tc>
          <w:tcPr>
            <w:tcW w:w="107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0,35</w:t>
            </w:r>
          </w:p>
        </w:tc>
        <w:tc>
          <w:tcPr>
            <w:tcW w:w="99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7,98</w:t>
            </w:r>
          </w:p>
        </w:tc>
      </w:tr>
      <w:tr w:rsidR="00D66A70" w:rsidTr="006D4EF8">
        <w:tc>
          <w:tcPr>
            <w:tcW w:w="2660"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 xml:space="preserve">Raskas polttoöljy </w:t>
            </w:r>
            <w:proofErr w:type="spellStart"/>
            <w:r>
              <w:rPr>
                <w:sz w:val="20"/>
                <w:lang w:eastAsia="fi-FI"/>
              </w:rPr>
              <w:t>snt</w:t>
            </w:r>
            <w:proofErr w:type="spellEnd"/>
            <w:r>
              <w:rPr>
                <w:sz w:val="20"/>
                <w:lang w:eastAsia="fi-FI"/>
              </w:rPr>
              <w:t>/kg</w:t>
            </w:r>
          </w:p>
        </w:tc>
        <w:tc>
          <w:tcPr>
            <w:tcW w:w="992"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71</w:t>
            </w:r>
          </w:p>
        </w:tc>
        <w:tc>
          <w:tcPr>
            <w:tcW w:w="1134"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8,56</w:t>
            </w:r>
          </w:p>
        </w:tc>
        <w:tc>
          <w:tcPr>
            <w:tcW w:w="1701"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18,67</w:t>
            </w:r>
          </w:p>
        </w:tc>
        <w:tc>
          <w:tcPr>
            <w:tcW w:w="107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0,28</w:t>
            </w:r>
          </w:p>
        </w:tc>
        <w:tc>
          <w:tcPr>
            <w:tcW w:w="99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27,51</w:t>
            </w:r>
          </w:p>
        </w:tc>
      </w:tr>
      <w:tr w:rsidR="00D66A70" w:rsidTr="006D4EF8">
        <w:tc>
          <w:tcPr>
            <w:tcW w:w="2660" w:type="dxa"/>
            <w:tcBorders>
              <w:top w:val="nil"/>
              <w:left w:val="nil"/>
              <w:bottom w:val="nil"/>
              <w:right w:val="nil"/>
            </w:tcBorders>
            <w:shd w:val="clear" w:color="auto" w:fill="FFFFFF"/>
          </w:tcPr>
          <w:p w:rsidR="00D66A70" w:rsidRPr="00D66A70" w:rsidRDefault="00D66A70" w:rsidP="00D66A70">
            <w:pPr>
              <w:rPr>
                <w:sz w:val="20"/>
                <w:lang w:eastAsia="fi-FI"/>
              </w:rPr>
            </w:pPr>
            <w:r w:rsidRPr="00D66A70">
              <w:rPr>
                <w:sz w:val="20"/>
                <w:lang w:eastAsia="fi-FI"/>
              </w:rPr>
              <w:t xml:space="preserve">Lentopetroli </w:t>
            </w:r>
            <w:proofErr w:type="spellStart"/>
            <w:r w:rsidRPr="00D66A70">
              <w:rPr>
                <w:sz w:val="20"/>
                <w:lang w:eastAsia="fi-FI"/>
              </w:rPr>
              <w:t>snt</w:t>
            </w:r>
            <w:proofErr w:type="spellEnd"/>
            <w:r w:rsidRPr="00D66A70">
              <w:rPr>
                <w:sz w:val="20"/>
                <w:lang w:eastAsia="fi-FI"/>
              </w:rPr>
              <w:t>/l</w:t>
            </w:r>
          </w:p>
        </w:tc>
        <w:tc>
          <w:tcPr>
            <w:tcW w:w="992"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81</w:t>
            </w:r>
          </w:p>
        </w:tc>
        <w:tc>
          <w:tcPr>
            <w:tcW w:w="1134"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56,76</w:t>
            </w:r>
          </w:p>
        </w:tc>
        <w:tc>
          <w:tcPr>
            <w:tcW w:w="1701"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19,24</w:t>
            </w:r>
          </w:p>
        </w:tc>
        <w:tc>
          <w:tcPr>
            <w:tcW w:w="107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0,35</w:t>
            </w:r>
          </w:p>
        </w:tc>
        <w:tc>
          <w:tcPr>
            <w:tcW w:w="99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76,35</w:t>
            </w:r>
          </w:p>
        </w:tc>
      </w:tr>
      <w:tr w:rsidR="00D66A70" w:rsidTr="006D4EF8">
        <w:tc>
          <w:tcPr>
            <w:tcW w:w="2660"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 xml:space="preserve">Lentobensiini </w:t>
            </w:r>
            <w:proofErr w:type="spellStart"/>
            <w:r>
              <w:rPr>
                <w:sz w:val="20"/>
                <w:lang w:eastAsia="fi-FI"/>
              </w:rPr>
              <w:t>snt</w:t>
            </w:r>
            <w:proofErr w:type="spellEnd"/>
            <w:r>
              <w:rPr>
                <w:sz w:val="20"/>
                <w:lang w:eastAsia="fi-FI"/>
              </w:rPr>
              <w:t>/l</w:t>
            </w:r>
          </w:p>
        </w:tc>
        <w:tc>
          <w:tcPr>
            <w:tcW w:w="992"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91</w:t>
            </w:r>
          </w:p>
        </w:tc>
        <w:tc>
          <w:tcPr>
            <w:tcW w:w="1134"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51,70</w:t>
            </w:r>
          </w:p>
        </w:tc>
        <w:tc>
          <w:tcPr>
            <w:tcW w:w="1701"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17,21</w:t>
            </w:r>
          </w:p>
        </w:tc>
        <w:tc>
          <w:tcPr>
            <w:tcW w:w="107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0,68</w:t>
            </w:r>
          </w:p>
        </w:tc>
        <w:tc>
          <w:tcPr>
            <w:tcW w:w="99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69,59</w:t>
            </w:r>
          </w:p>
        </w:tc>
      </w:tr>
      <w:tr w:rsidR="00D66A70" w:rsidTr="006D4EF8">
        <w:tc>
          <w:tcPr>
            <w:tcW w:w="2660"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 xml:space="preserve">Metanoli </w:t>
            </w:r>
            <w:proofErr w:type="spellStart"/>
            <w:r>
              <w:rPr>
                <w:sz w:val="20"/>
                <w:lang w:eastAsia="fi-FI"/>
              </w:rPr>
              <w:t>snt</w:t>
            </w:r>
            <w:proofErr w:type="spellEnd"/>
            <w:r>
              <w:rPr>
                <w:sz w:val="20"/>
                <w:lang w:eastAsia="fi-FI"/>
              </w:rPr>
              <w:t>/l</w:t>
            </w:r>
          </w:p>
        </w:tc>
        <w:tc>
          <w:tcPr>
            <w:tcW w:w="992"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100</w:t>
            </w:r>
          </w:p>
        </w:tc>
        <w:tc>
          <w:tcPr>
            <w:tcW w:w="1134"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26,10</w:t>
            </w:r>
          </w:p>
        </w:tc>
        <w:tc>
          <w:tcPr>
            <w:tcW w:w="1701"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8,69</w:t>
            </w:r>
          </w:p>
        </w:tc>
        <w:tc>
          <w:tcPr>
            <w:tcW w:w="107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0,68</w:t>
            </w:r>
          </w:p>
        </w:tc>
        <w:tc>
          <w:tcPr>
            <w:tcW w:w="99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35,47</w:t>
            </w:r>
          </w:p>
        </w:tc>
      </w:tr>
      <w:tr w:rsidR="00D66A70" w:rsidTr="006D4EF8">
        <w:tc>
          <w:tcPr>
            <w:tcW w:w="2660"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 xml:space="preserve">Metanoli R </w:t>
            </w:r>
            <w:proofErr w:type="spellStart"/>
            <w:r>
              <w:rPr>
                <w:sz w:val="20"/>
                <w:lang w:eastAsia="fi-FI"/>
              </w:rPr>
              <w:t>snt</w:t>
            </w:r>
            <w:proofErr w:type="spellEnd"/>
            <w:r>
              <w:rPr>
                <w:sz w:val="20"/>
                <w:lang w:eastAsia="fi-FI"/>
              </w:rPr>
              <w:t>/l</w:t>
            </w:r>
          </w:p>
        </w:tc>
        <w:tc>
          <w:tcPr>
            <w:tcW w:w="992"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101</w:t>
            </w:r>
          </w:p>
        </w:tc>
        <w:tc>
          <w:tcPr>
            <w:tcW w:w="1134"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26,10</w:t>
            </w:r>
          </w:p>
        </w:tc>
        <w:tc>
          <w:tcPr>
            <w:tcW w:w="1701"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4,34</w:t>
            </w:r>
          </w:p>
        </w:tc>
        <w:tc>
          <w:tcPr>
            <w:tcW w:w="107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0,68</w:t>
            </w:r>
          </w:p>
        </w:tc>
        <w:tc>
          <w:tcPr>
            <w:tcW w:w="99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31,12</w:t>
            </w:r>
          </w:p>
        </w:tc>
      </w:tr>
      <w:tr w:rsidR="00D66A70" w:rsidTr="006D4EF8">
        <w:tc>
          <w:tcPr>
            <w:tcW w:w="2660"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 xml:space="preserve">Metanoli T </w:t>
            </w:r>
            <w:proofErr w:type="spellStart"/>
            <w:r>
              <w:rPr>
                <w:sz w:val="20"/>
                <w:lang w:eastAsia="fi-FI"/>
              </w:rPr>
              <w:t>snt</w:t>
            </w:r>
            <w:proofErr w:type="spellEnd"/>
            <w:r>
              <w:rPr>
                <w:sz w:val="20"/>
                <w:lang w:eastAsia="fi-FI"/>
              </w:rPr>
              <w:t>/l</w:t>
            </w:r>
          </w:p>
        </w:tc>
        <w:tc>
          <w:tcPr>
            <w:tcW w:w="992"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102</w:t>
            </w:r>
          </w:p>
        </w:tc>
        <w:tc>
          <w:tcPr>
            <w:tcW w:w="1134"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26,10</w:t>
            </w:r>
          </w:p>
        </w:tc>
        <w:tc>
          <w:tcPr>
            <w:tcW w:w="1701"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0,00</w:t>
            </w:r>
          </w:p>
        </w:tc>
        <w:tc>
          <w:tcPr>
            <w:tcW w:w="107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0,68</w:t>
            </w:r>
          </w:p>
        </w:tc>
        <w:tc>
          <w:tcPr>
            <w:tcW w:w="99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26,78</w:t>
            </w:r>
          </w:p>
        </w:tc>
      </w:tr>
      <w:tr w:rsidR="00D66A70" w:rsidTr="006D4EF8">
        <w:tc>
          <w:tcPr>
            <w:tcW w:w="2660"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 xml:space="preserve">Nestekaasu </w:t>
            </w:r>
            <w:proofErr w:type="spellStart"/>
            <w:r>
              <w:rPr>
                <w:sz w:val="20"/>
                <w:lang w:eastAsia="fi-FI"/>
              </w:rPr>
              <w:t>snt</w:t>
            </w:r>
            <w:proofErr w:type="spellEnd"/>
            <w:r>
              <w:rPr>
                <w:sz w:val="20"/>
                <w:lang w:eastAsia="fi-FI"/>
              </w:rPr>
              <w:t>/kg</w:t>
            </w:r>
          </w:p>
        </w:tc>
        <w:tc>
          <w:tcPr>
            <w:tcW w:w="992" w:type="dxa"/>
            <w:tcBorders>
              <w:top w:val="nil"/>
              <w:left w:val="nil"/>
              <w:bottom w:val="nil"/>
              <w:right w:val="nil"/>
            </w:tcBorders>
            <w:shd w:val="clear" w:color="auto" w:fill="FFFFFF"/>
          </w:tcPr>
          <w:p w:rsidR="00D66A70" w:rsidRPr="00D66A70" w:rsidRDefault="00D66A70" w:rsidP="00D66A70">
            <w:pPr>
              <w:rPr>
                <w:sz w:val="20"/>
                <w:lang w:eastAsia="fi-FI"/>
              </w:rPr>
            </w:pPr>
            <w:r w:rsidRPr="00D66A70">
              <w:rPr>
                <w:sz w:val="20"/>
                <w:lang w:eastAsia="fi-FI"/>
              </w:rPr>
              <w:t>11</w:t>
            </w:r>
            <w:r w:rsidR="006D4EF8">
              <w:rPr>
                <w:sz w:val="20"/>
                <w:lang w:eastAsia="fi-FI"/>
              </w:rPr>
              <w:t>0</w:t>
            </w:r>
          </w:p>
        </w:tc>
        <w:tc>
          <w:tcPr>
            <w:tcW w:w="1134"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9,81</w:t>
            </w:r>
          </w:p>
        </w:tc>
        <w:tc>
          <w:tcPr>
            <w:tcW w:w="1701"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18,09</w:t>
            </w:r>
          </w:p>
        </w:tc>
        <w:tc>
          <w:tcPr>
            <w:tcW w:w="107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0,11</w:t>
            </w:r>
          </w:p>
        </w:tc>
        <w:tc>
          <w:tcPr>
            <w:tcW w:w="99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28,01</w:t>
            </w:r>
          </w:p>
        </w:tc>
      </w:tr>
      <w:tr w:rsidR="00D66A70" w:rsidTr="006D4EF8">
        <w:tc>
          <w:tcPr>
            <w:tcW w:w="2660"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 xml:space="preserve">Bionestekaasu </w:t>
            </w:r>
            <w:proofErr w:type="spellStart"/>
            <w:r>
              <w:rPr>
                <w:sz w:val="20"/>
                <w:lang w:eastAsia="fi-FI"/>
              </w:rPr>
              <w:t>snt</w:t>
            </w:r>
            <w:proofErr w:type="spellEnd"/>
            <w:r>
              <w:rPr>
                <w:sz w:val="20"/>
                <w:lang w:eastAsia="fi-FI"/>
              </w:rPr>
              <w:t>/kg</w:t>
            </w:r>
          </w:p>
        </w:tc>
        <w:tc>
          <w:tcPr>
            <w:tcW w:w="992"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111</w:t>
            </w:r>
          </w:p>
        </w:tc>
        <w:tc>
          <w:tcPr>
            <w:tcW w:w="1134"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9,81</w:t>
            </w:r>
          </w:p>
        </w:tc>
        <w:tc>
          <w:tcPr>
            <w:tcW w:w="1701"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18,09</w:t>
            </w:r>
          </w:p>
        </w:tc>
        <w:tc>
          <w:tcPr>
            <w:tcW w:w="107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0,11</w:t>
            </w:r>
          </w:p>
        </w:tc>
        <w:tc>
          <w:tcPr>
            <w:tcW w:w="99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28,01</w:t>
            </w:r>
          </w:p>
        </w:tc>
      </w:tr>
      <w:tr w:rsidR="00D66A70" w:rsidTr="006D4EF8">
        <w:tc>
          <w:tcPr>
            <w:tcW w:w="2660"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 xml:space="preserve">Bionestekaasu R </w:t>
            </w:r>
            <w:proofErr w:type="spellStart"/>
            <w:r>
              <w:rPr>
                <w:sz w:val="20"/>
                <w:lang w:eastAsia="fi-FI"/>
              </w:rPr>
              <w:t>snt</w:t>
            </w:r>
            <w:proofErr w:type="spellEnd"/>
            <w:r>
              <w:rPr>
                <w:sz w:val="20"/>
                <w:lang w:eastAsia="fi-FI"/>
              </w:rPr>
              <w:t>/kg</w:t>
            </w:r>
          </w:p>
        </w:tc>
        <w:tc>
          <w:tcPr>
            <w:tcW w:w="992"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112</w:t>
            </w:r>
          </w:p>
        </w:tc>
        <w:tc>
          <w:tcPr>
            <w:tcW w:w="1134"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9,81</w:t>
            </w:r>
          </w:p>
        </w:tc>
        <w:tc>
          <w:tcPr>
            <w:tcW w:w="1701"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9,04</w:t>
            </w:r>
          </w:p>
        </w:tc>
        <w:tc>
          <w:tcPr>
            <w:tcW w:w="107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0,11</w:t>
            </w:r>
          </w:p>
        </w:tc>
        <w:tc>
          <w:tcPr>
            <w:tcW w:w="99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18,96</w:t>
            </w:r>
          </w:p>
        </w:tc>
      </w:tr>
      <w:tr w:rsidR="00D66A70" w:rsidTr="006D4EF8">
        <w:tc>
          <w:tcPr>
            <w:tcW w:w="2660"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 xml:space="preserve">Bionestekaasu T </w:t>
            </w:r>
            <w:proofErr w:type="spellStart"/>
            <w:r>
              <w:rPr>
                <w:sz w:val="20"/>
                <w:lang w:eastAsia="fi-FI"/>
              </w:rPr>
              <w:t>snt</w:t>
            </w:r>
            <w:proofErr w:type="spellEnd"/>
            <w:r>
              <w:rPr>
                <w:sz w:val="20"/>
                <w:lang w:eastAsia="fi-FI"/>
              </w:rPr>
              <w:t>/kg</w:t>
            </w:r>
          </w:p>
        </w:tc>
        <w:tc>
          <w:tcPr>
            <w:tcW w:w="992"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113</w:t>
            </w:r>
          </w:p>
        </w:tc>
        <w:tc>
          <w:tcPr>
            <w:tcW w:w="1134"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9,81</w:t>
            </w:r>
          </w:p>
        </w:tc>
        <w:tc>
          <w:tcPr>
            <w:tcW w:w="1701"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0,00</w:t>
            </w:r>
          </w:p>
        </w:tc>
        <w:tc>
          <w:tcPr>
            <w:tcW w:w="107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0,11</w:t>
            </w:r>
          </w:p>
        </w:tc>
        <w:tc>
          <w:tcPr>
            <w:tcW w:w="997" w:type="dxa"/>
            <w:tcBorders>
              <w:top w:val="nil"/>
              <w:left w:val="nil"/>
              <w:bottom w:val="nil"/>
              <w:right w:val="nil"/>
            </w:tcBorders>
            <w:shd w:val="clear" w:color="auto" w:fill="FFFFFF"/>
          </w:tcPr>
          <w:p w:rsidR="00D66A70" w:rsidRPr="00D66A70" w:rsidRDefault="006D4EF8" w:rsidP="00D66A70">
            <w:pPr>
              <w:rPr>
                <w:sz w:val="20"/>
                <w:lang w:eastAsia="fi-FI"/>
              </w:rPr>
            </w:pPr>
            <w:r>
              <w:rPr>
                <w:sz w:val="20"/>
                <w:lang w:eastAsia="fi-FI"/>
              </w:rPr>
              <w:t>9,92</w:t>
            </w:r>
          </w:p>
        </w:tc>
      </w:tr>
    </w:tbl>
    <w:p w:rsidR="001E046B" w:rsidRDefault="001E046B" w:rsidP="00EB7EE2">
      <w:pPr>
        <w:pStyle w:val="LLNormaali"/>
      </w:pPr>
    </w:p>
    <w:p w:rsidR="00D66A70" w:rsidRDefault="00D66A70" w:rsidP="00EB7EE2">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D66A70" w:rsidTr="00D66A70">
        <w:tc>
          <w:tcPr>
            <w:tcW w:w="4168" w:type="dxa"/>
            <w:shd w:val="clear" w:color="auto" w:fill="auto"/>
          </w:tcPr>
          <w:p w:rsidR="00D66A70" w:rsidRPr="00D66A70" w:rsidRDefault="00D66A70" w:rsidP="00EB7EE2">
            <w:pPr>
              <w:pStyle w:val="LLNormaali"/>
            </w:pPr>
          </w:p>
        </w:tc>
        <w:tc>
          <w:tcPr>
            <w:tcW w:w="4168" w:type="dxa"/>
            <w:shd w:val="clear" w:color="auto" w:fill="auto"/>
          </w:tcPr>
          <w:p w:rsidR="00D66A70" w:rsidRPr="00D66A70" w:rsidRDefault="00D66A70" w:rsidP="00EB7EE2">
            <w:pPr>
              <w:pStyle w:val="LLNormaali"/>
              <w:rPr>
                <w:i/>
              </w:rPr>
            </w:pPr>
            <w:r w:rsidRPr="00D66A70">
              <w:rPr>
                <w:i/>
              </w:rPr>
              <w:t>Ehdotus</w:t>
            </w:r>
          </w:p>
        </w:tc>
      </w:tr>
    </w:tbl>
    <w:tbl>
      <w:tblPr>
        <w:tblW w:w="8380" w:type="dxa"/>
        <w:tblCellMar>
          <w:left w:w="70" w:type="dxa"/>
          <w:right w:w="70" w:type="dxa"/>
        </w:tblCellMar>
        <w:tblLook w:val="04A0" w:firstRow="1" w:lastRow="0" w:firstColumn="1" w:lastColumn="0" w:noHBand="0" w:noVBand="1"/>
      </w:tblPr>
      <w:tblGrid>
        <w:gridCol w:w="2540"/>
        <w:gridCol w:w="960"/>
        <w:gridCol w:w="1178"/>
        <w:gridCol w:w="1582"/>
        <w:gridCol w:w="1160"/>
        <w:gridCol w:w="960"/>
      </w:tblGrid>
      <w:tr w:rsidR="00D66A70" w:rsidRPr="002335EA" w:rsidTr="00D66A70">
        <w:trPr>
          <w:trHeight w:val="790"/>
        </w:trPr>
        <w:tc>
          <w:tcPr>
            <w:tcW w:w="8380" w:type="dxa"/>
            <w:gridSpan w:val="6"/>
            <w:shd w:val="clear" w:color="auto" w:fill="auto"/>
            <w:vAlign w:val="bottom"/>
            <w:hideMark/>
          </w:tcPr>
          <w:p w:rsidR="00D66A70" w:rsidRPr="002335EA" w:rsidRDefault="00D66A70" w:rsidP="00D66A70">
            <w:pPr>
              <w:jc w:val="center"/>
              <w:rPr>
                <w:b/>
                <w:bCs/>
                <w:sz w:val="20"/>
                <w:lang w:eastAsia="fi-FI"/>
              </w:rPr>
            </w:pPr>
            <w:r w:rsidRPr="002335EA">
              <w:rPr>
                <w:b/>
                <w:bCs/>
                <w:sz w:val="20"/>
                <w:lang w:eastAsia="fi-FI"/>
              </w:rPr>
              <w:t>VEROTAULUKKO</w:t>
            </w:r>
          </w:p>
        </w:tc>
      </w:tr>
      <w:tr w:rsidR="00D66A70" w:rsidRPr="002335EA" w:rsidTr="00D66A70">
        <w:trPr>
          <w:trHeight w:val="260"/>
        </w:trPr>
        <w:tc>
          <w:tcPr>
            <w:tcW w:w="2540" w:type="dxa"/>
            <w:vMerge w:val="restart"/>
            <w:shd w:val="clear" w:color="auto" w:fill="auto"/>
            <w:hideMark/>
          </w:tcPr>
          <w:p w:rsidR="00D66A70" w:rsidRPr="002335EA" w:rsidRDefault="00D66A70" w:rsidP="00D66A70">
            <w:pPr>
              <w:rPr>
                <w:b/>
                <w:bCs/>
                <w:sz w:val="20"/>
                <w:lang w:eastAsia="fi-FI"/>
              </w:rPr>
            </w:pPr>
            <w:r w:rsidRPr="002335EA">
              <w:rPr>
                <w:b/>
                <w:bCs/>
                <w:sz w:val="20"/>
                <w:lang w:eastAsia="fi-FI"/>
              </w:rPr>
              <w:t>Tuote</w:t>
            </w:r>
          </w:p>
        </w:tc>
        <w:tc>
          <w:tcPr>
            <w:tcW w:w="960" w:type="dxa"/>
            <w:shd w:val="clear" w:color="auto" w:fill="auto"/>
            <w:hideMark/>
          </w:tcPr>
          <w:p w:rsidR="00D66A70" w:rsidRPr="002335EA" w:rsidRDefault="00D66A70" w:rsidP="00D66A70">
            <w:pPr>
              <w:jc w:val="center"/>
              <w:rPr>
                <w:b/>
                <w:bCs/>
                <w:sz w:val="20"/>
                <w:lang w:eastAsia="fi-FI"/>
              </w:rPr>
            </w:pPr>
            <w:r w:rsidRPr="002335EA">
              <w:rPr>
                <w:b/>
                <w:bCs/>
                <w:sz w:val="20"/>
                <w:lang w:eastAsia="fi-FI"/>
              </w:rPr>
              <w:t>Tuote-</w:t>
            </w:r>
          </w:p>
        </w:tc>
        <w:tc>
          <w:tcPr>
            <w:tcW w:w="1178" w:type="dxa"/>
            <w:vMerge w:val="restart"/>
            <w:shd w:val="clear" w:color="auto" w:fill="auto"/>
            <w:hideMark/>
          </w:tcPr>
          <w:p w:rsidR="00D66A70" w:rsidRPr="002335EA" w:rsidRDefault="00D66A70" w:rsidP="00D66A70">
            <w:pPr>
              <w:jc w:val="center"/>
              <w:rPr>
                <w:b/>
                <w:bCs/>
                <w:sz w:val="20"/>
                <w:lang w:eastAsia="fi-FI"/>
              </w:rPr>
            </w:pPr>
            <w:r w:rsidRPr="002335EA">
              <w:rPr>
                <w:b/>
                <w:bCs/>
                <w:sz w:val="20"/>
                <w:lang w:eastAsia="fi-FI"/>
              </w:rPr>
              <w:t>Energiasisältövero</w:t>
            </w:r>
          </w:p>
        </w:tc>
        <w:tc>
          <w:tcPr>
            <w:tcW w:w="1582" w:type="dxa"/>
            <w:vMerge w:val="restart"/>
            <w:shd w:val="clear" w:color="auto" w:fill="auto"/>
            <w:hideMark/>
          </w:tcPr>
          <w:p w:rsidR="00D66A70" w:rsidRPr="002335EA" w:rsidRDefault="00D66A70" w:rsidP="00D66A70">
            <w:pPr>
              <w:jc w:val="center"/>
              <w:rPr>
                <w:b/>
                <w:bCs/>
                <w:sz w:val="20"/>
                <w:lang w:eastAsia="fi-FI"/>
              </w:rPr>
            </w:pPr>
            <w:r w:rsidRPr="002335EA">
              <w:rPr>
                <w:b/>
                <w:bCs/>
                <w:sz w:val="20"/>
                <w:lang w:eastAsia="fi-FI"/>
              </w:rPr>
              <w:t>Hiilidioksidi-vero</w:t>
            </w:r>
          </w:p>
        </w:tc>
        <w:tc>
          <w:tcPr>
            <w:tcW w:w="1160" w:type="dxa"/>
            <w:shd w:val="clear" w:color="auto" w:fill="auto"/>
            <w:hideMark/>
          </w:tcPr>
          <w:p w:rsidR="00D66A70" w:rsidRPr="002335EA" w:rsidRDefault="00D66A70" w:rsidP="00D66A70">
            <w:pPr>
              <w:jc w:val="center"/>
              <w:rPr>
                <w:b/>
                <w:bCs/>
                <w:sz w:val="20"/>
                <w:lang w:eastAsia="fi-FI"/>
              </w:rPr>
            </w:pPr>
            <w:r w:rsidRPr="002335EA">
              <w:rPr>
                <w:b/>
                <w:bCs/>
                <w:sz w:val="20"/>
                <w:lang w:eastAsia="fi-FI"/>
              </w:rPr>
              <w:t>Huolto-</w:t>
            </w:r>
          </w:p>
        </w:tc>
        <w:tc>
          <w:tcPr>
            <w:tcW w:w="960" w:type="dxa"/>
            <w:vMerge w:val="restart"/>
            <w:shd w:val="clear" w:color="auto" w:fill="auto"/>
            <w:hideMark/>
          </w:tcPr>
          <w:p w:rsidR="00D66A70" w:rsidRPr="002335EA" w:rsidRDefault="00D66A70" w:rsidP="00D66A70">
            <w:pPr>
              <w:jc w:val="center"/>
              <w:rPr>
                <w:b/>
                <w:bCs/>
                <w:sz w:val="20"/>
                <w:lang w:eastAsia="fi-FI"/>
              </w:rPr>
            </w:pPr>
            <w:r w:rsidRPr="002335EA">
              <w:rPr>
                <w:b/>
                <w:bCs/>
                <w:sz w:val="20"/>
                <w:lang w:eastAsia="fi-FI"/>
              </w:rPr>
              <w:t>Yhteensä</w:t>
            </w:r>
          </w:p>
        </w:tc>
      </w:tr>
      <w:tr w:rsidR="00D66A70" w:rsidRPr="002335EA" w:rsidTr="00D66A70">
        <w:trPr>
          <w:trHeight w:val="260"/>
        </w:trPr>
        <w:tc>
          <w:tcPr>
            <w:tcW w:w="2540" w:type="dxa"/>
            <w:vMerge/>
            <w:vAlign w:val="center"/>
            <w:hideMark/>
          </w:tcPr>
          <w:p w:rsidR="00D66A70" w:rsidRPr="002335EA" w:rsidRDefault="00D66A70" w:rsidP="00D66A70">
            <w:pPr>
              <w:rPr>
                <w:b/>
                <w:bCs/>
                <w:sz w:val="20"/>
                <w:lang w:eastAsia="fi-FI"/>
              </w:rPr>
            </w:pPr>
          </w:p>
        </w:tc>
        <w:tc>
          <w:tcPr>
            <w:tcW w:w="960" w:type="dxa"/>
            <w:shd w:val="clear" w:color="auto" w:fill="auto"/>
            <w:hideMark/>
          </w:tcPr>
          <w:p w:rsidR="00D66A70" w:rsidRPr="002335EA" w:rsidRDefault="00D66A70" w:rsidP="00D66A70">
            <w:pPr>
              <w:jc w:val="center"/>
              <w:rPr>
                <w:b/>
                <w:bCs/>
                <w:sz w:val="20"/>
                <w:lang w:eastAsia="fi-FI"/>
              </w:rPr>
            </w:pPr>
            <w:r w:rsidRPr="002335EA">
              <w:rPr>
                <w:b/>
                <w:bCs/>
                <w:sz w:val="20"/>
                <w:lang w:eastAsia="fi-FI"/>
              </w:rPr>
              <w:t>ryhmä</w:t>
            </w:r>
          </w:p>
        </w:tc>
        <w:tc>
          <w:tcPr>
            <w:tcW w:w="1178" w:type="dxa"/>
            <w:vMerge/>
            <w:vAlign w:val="center"/>
            <w:hideMark/>
          </w:tcPr>
          <w:p w:rsidR="00D66A70" w:rsidRPr="002335EA" w:rsidRDefault="00D66A70" w:rsidP="00D66A70">
            <w:pPr>
              <w:rPr>
                <w:b/>
                <w:bCs/>
                <w:sz w:val="20"/>
                <w:lang w:eastAsia="fi-FI"/>
              </w:rPr>
            </w:pPr>
          </w:p>
        </w:tc>
        <w:tc>
          <w:tcPr>
            <w:tcW w:w="1582" w:type="dxa"/>
            <w:vMerge/>
            <w:vAlign w:val="center"/>
            <w:hideMark/>
          </w:tcPr>
          <w:p w:rsidR="00D66A70" w:rsidRPr="002335EA" w:rsidRDefault="00D66A70" w:rsidP="00D66A70">
            <w:pPr>
              <w:rPr>
                <w:b/>
                <w:bCs/>
                <w:sz w:val="20"/>
                <w:lang w:eastAsia="fi-FI"/>
              </w:rPr>
            </w:pPr>
          </w:p>
        </w:tc>
        <w:tc>
          <w:tcPr>
            <w:tcW w:w="1160" w:type="dxa"/>
            <w:shd w:val="clear" w:color="auto" w:fill="auto"/>
            <w:hideMark/>
          </w:tcPr>
          <w:p w:rsidR="00D66A70" w:rsidRPr="002335EA" w:rsidRDefault="00D66A70" w:rsidP="00D66A70">
            <w:pPr>
              <w:jc w:val="center"/>
              <w:rPr>
                <w:b/>
                <w:bCs/>
                <w:sz w:val="20"/>
                <w:lang w:eastAsia="fi-FI"/>
              </w:rPr>
            </w:pPr>
            <w:r w:rsidRPr="002335EA">
              <w:rPr>
                <w:b/>
                <w:bCs/>
                <w:sz w:val="20"/>
                <w:lang w:eastAsia="fi-FI"/>
              </w:rPr>
              <w:t>varmuus-</w:t>
            </w:r>
          </w:p>
        </w:tc>
        <w:tc>
          <w:tcPr>
            <w:tcW w:w="960" w:type="dxa"/>
            <w:vMerge/>
            <w:vAlign w:val="center"/>
            <w:hideMark/>
          </w:tcPr>
          <w:p w:rsidR="00D66A70" w:rsidRPr="002335EA" w:rsidRDefault="00D66A70" w:rsidP="00D66A70">
            <w:pPr>
              <w:rPr>
                <w:b/>
                <w:bCs/>
                <w:sz w:val="20"/>
                <w:lang w:eastAsia="fi-FI"/>
              </w:rPr>
            </w:pPr>
          </w:p>
        </w:tc>
      </w:tr>
      <w:tr w:rsidR="00D66A70" w:rsidRPr="002335EA" w:rsidTr="00D66A70">
        <w:trPr>
          <w:trHeight w:val="260"/>
        </w:trPr>
        <w:tc>
          <w:tcPr>
            <w:tcW w:w="2540" w:type="dxa"/>
            <w:vMerge/>
            <w:vAlign w:val="center"/>
            <w:hideMark/>
          </w:tcPr>
          <w:p w:rsidR="00D66A70" w:rsidRPr="002335EA" w:rsidRDefault="00D66A70" w:rsidP="00D66A70">
            <w:pPr>
              <w:rPr>
                <w:b/>
                <w:bCs/>
                <w:sz w:val="20"/>
                <w:lang w:eastAsia="fi-FI"/>
              </w:rPr>
            </w:pPr>
          </w:p>
        </w:tc>
        <w:tc>
          <w:tcPr>
            <w:tcW w:w="960" w:type="dxa"/>
            <w:shd w:val="clear" w:color="auto" w:fill="auto"/>
            <w:hideMark/>
          </w:tcPr>
          <w:p w:rsidR="00D66A70" w:rsidRPr="002335EA" w:rsidRDefault="00D66A70" w:rsidP="00D66A70">
            <w:pPr>
              <w:jc w:val="center"/>
              <w:rPr>
                <w:b/>
                <w:bCs/>
                <w:sz w:val="20"/>
                <w:lang w:eastAsia="fi-FI"/>
              </w:rPr>
            </w:pPr>
          </w:p>
        </w:tc>
        <w:tc>
          <w:tcPr>
            <w:tcW w:w="1178" w:type="dxa"/>
            <w:vMerge/>
            <w:vAlign w:val="center"/>
            <w:hideMark/>
          </w:tcPr>
          <w:p w:rsidR="00D66A70" w:rsidRPr="002335EA" w:rsidRDefault="00D66A70" w:rsidP="00D66A70">
            <w:pPr>
              <w:rPr>
                <w:b/>
                <w:bCs/>
                <w:sz w:val="20"/>
                <w:lang w:eastAsia="fi-FI"/>
              </w:rPr>
            </w:pPr>
          </w:p>
        </w:tc>
        <w:tc>
          <w:tcPr>
            <w:tcW w:w="1582" w:type="dxa"/>
            <w:vMerge/>
            <w:vAlign w:val="center"/>
            <w:hideMark/>
          </w:tcPr>
          <w:p w:rsidR="00D66A70" w:rsidRPr="002335EA" w:rsidRDefault="00D66A70" w:rsidP="00D66A70">
            <w:pPr>
              <w:rPr>
                <w:b/>
                <w:bCs/>
                <w:sz w:val="20"/>
                <w:lang w:eastAsia="fi-FI"/>
              </w:rPr>
            </w:pPr>
          </w:p>
        </w:tc>
        <w:tc>
          <w:tcPr>
            <w:tcW w:w="1160" w:type="dxa"/>
            <w:shd w:val="clear" w:color="auto" w:fill="auto"/>
            <w:hideMark/>
          </w:tcPr>
          <w:p w:rsidR="00D66A70" w:rsidRPr="002335EA" w:rsidRDefault="00D66A70" w:rsidP="00D66A70">
            <w:pPr>
              <w:jc w:val="center"/>
              <w:rPr>
                <w:b/>
                <w:bCs/>
                <w:sz w:val="20"/>
                <w:lang w:eastAsia="fi-FI"/>
              </w:rPr>
            </w:pPr>
            <w:r w:rsidRPr="002335EA">
              <w:rPr>
                <w:b/>
                <w:bCs/>
                <w:sz w:val="20"/>
                <w:lang w:eastAsia="fi-FI"/>
              </w:rPr>
              <w:t>maksu</w:t>
            </w:r>
          </w:p>
        </w:tc>
        <w:tc>
          <w:tcPr>
            <w:tcW w:w="960" w:type="dxa"/>
            <w:vMerge/>
            <w:vAlign w:val="center"/>
            <w:hideMark/>
          </w:tcPr>
          <w:p w:rsidR="00D66A70" w:rsidRPr="002335EA" w:rsidRDefault="00D66A70" w:rsidP="00D66A70">
            <w:pPr>
              <w:rPr>
                <w:b/>
                <w:bCs/>
                <w:sz w:val="20"/>
                <w:lang w:eastAsia="fi-FI"/>
              </w:rPr>
            </w:pPr>
          </w:p>
        </w:tc>
      </w:tr>
      <w:tr w:rsidR="00D66A70" w:rsidRPr="002335EA" w:rsidTr="00D66A70">
        <w:trPr>
          <w:trHeight w:val="260"/>
        </w:trPr>
        <w:tc>
          <w:tcPr>
            <w:tcW w:w="2540" w:type="dxa"/>
            <w:shd w:val="clear" w:color="auto" w:fill="auto"/>
            <w:hideMark/>
          </w:tcPr>
          <w:p w:rsidR="00D66A70" w:rsidRPr="002335EA" w:rsidRDefault="00D66A70" w:rsidP="00D66A70">
            <w:pPr>
              <w:rPr>
                <w:sz w:val="20"/>
                <w:lang w:eastAsia="fi-FI"/>
              </w:rPr>
            </w:pPr>
            <w:r w:rsidRPr="002335EA">
              <w:rPr>
                <w:sz w:val="20"/>
                <w:lang w:eastAsia="fi-FI"/>
              </w:rPr>
              <w:t xml:space="preserve">Moottoribensiini </w:t>
            </w:r>
            <w:proofErr w:type="spellStart"/>
            <w:r w:rsidRPr="002335EA">
              <w:rPr>
                <w:sz w:val="20"/>
                <w:lang w:eastAsia="fi-FI"/>
              </w:rPr>
              <w:t>snt</w:t>
            </w:r>
            <w:proofErr w:type="spellEnd"/>
            <w:r w:rsidRPr="002335EA">
              <w:rPr>
                <w:sz w:val="20"/>
                <w:lang w:eastAsia="fi-FI"/>
              </w:rPr>
              <w:t>/l</w:t>
            </w:r>
          </w:p>
        </w:tc>
        <w:tc>
          <w:tcPr>
            <w:tcW w:w="960" w:type="dxa"/>
            <w:shd w:val="clear" w:color="auto" w:fill="auto"/>
            <w:hideMark/>
          </w:tcPr>
          <w:p w:rsidR="00D66A70" w:rsidRPr="002335EA" w:rsidRDefault="00D66A70" w:rsidP="00D66A70">
            <w:pPr>
              <w:jc w:val="center"/>
              <w:rPr>
                <w:sz w:val="20"/>
                <w:lang w:eastAsia="fi-FI"/>
              </w:rPr>
            </w:pPr>
            <w:r w:rsidRPr="002335EA">
              <w:rPr>
                <w:sz w:val="20"/>
                <w:lang w:eastAsia="fi-FI"/>
              </w:rPr>
              <w:t>10</w:t>
            </w:r>
          </w:p>
        </w:tc>
        <w:tc>
          <w:tcPr>
            <w:tcW w:w="1178" w:type="dxa"/>
            <w:shd w:val="clear" w:color="auto" w:fill="auto"/>
            <w:hideMark/>
          </w:tcPr>
          <w:p w:rsidR="00D66A70" w:rsidRPr="002335EA" w:rsidRDefault="00D66A70" w:rsidP="00D66A70">
            <w:pPr>
              <w:jc w:val="center"/>
              <w:rPr>
                <w:i/>
                <w:sz w:val="20"/>
                <w:lang w:eastAsia="fi-FI"/>
              </w:rPr>
            </w:pPr>
            <w:r w:rsidRPr="002335EA">
              <w:rPr>
                <w:i/>
                <w:sz w:val="20"/>
                <w:lang w:eastAsia="fi-FI"/>
              </w:rPr>
              <w:t>57,54</w:t>
            </w:r>
          </w:p>
        </w:tc>
        <w:tc>
          <w:tcPr>
            <w:tcW w:w="1582" w:type="dxa"/>
            <w:shd w:val="clear" w:color="auto" w:fill="auto"/>
            <w:hideMark/>
          </w:tcPr>
          <w:p w:rsidR="00D66A70" w:rsidRPr="002335EA" w:rsidRDefault="00D66A70" w:rsidP="00D66A70">
            <w:pPr>
              <w:jc w:val="center"/>
              <w:rPr>
                <w:i/>
                <w:sz w:val="20"/>
                <w:lang w:eastAsia="fi-FI"/>
              </w:rPr>
            </w:pPr>
            <w:r w:rsidRPr="002335EA">
              <w:rPr>
                <w:i/>
                <w:sz w:val="20"/>
                <w:lang w:eastAsia="fi-FI"/>
              </w:rPr>
              <w:t>17,30</w:t>
            </w:r>
          </w:p>
        </w:tc>
        <w:tc>
          <w:tcPr>
            <w:tcW w:w="1160" w:type="dxa"/>
            <w:shd w:val="clear" w:color="auto" w:fill="auto"/>
            <w:hideMark/>
          </w:tcPr>
          <w:p w:rsidR="00D66A70" w:rsidRPr="002335EA" w:rsidRDefault="00D66A70" w:rsidP="00D66A70">
            <w:pPr>
              <w:jc w:val="center"/>
              <w:rPr>
                <w:sz w:val="20"/>
                <w:lang w:eastAsia="fi-FI"/>
              </w:rPr>
            </w:pPr>
            <w:r w:rsidRPr="002335EA">
              <w:rPr>
                <w:sz w:val="20"/>
                <w:lang w:eastAsia="fi-FI"/>
              </w:rPr>
              <w:t>0,68</w:t>
            </w:r>
          </w:p>
        </w:tc>
        <w:tc>
          <w:tcPr>
            <w:tcW w:w="960" w:type="dxa"/>
            <w:shd w:val="clear" w:color="auto" w:fill="auto"/>
            <w:hideMark/>
          </w:tcPr>
          <w:p w:rsidR="00D66A70" w:rsidRPr="002335EA" w:rsidRDefault="00D66A70" w:rsidP="00D66A70">
            <w:pPr>
              <w:jc w:val="center"/>
              <w:rPr>
                <w:i/>
                <w:sz w:val="20"/>
                <w:lang w:eastAsia="fi-FI"/>
              </w:rPr>
            </w:pPr>
            <w:r w:rsidRPr="002335EA">
              <w:rPr>
                <w:i/>
                <w:sz w:val="20"/>
                <w:lang w:eastAsia="fi-FI"/>
              </w:rPr>
              <w:t>75,52</w:t>
            </w:r>
          </w:p>
        </w:tc>
      </w:tr>
      <w:tr w:rsidR="00D66A70" w:rsidRPr="002335EA" w:rsidTr="00D66A70">
        <w:trPr>
          <w:trHeight w:val="260"/>
        </w:trPr>
        <w:tc>
          <w:tcPr>
            <w:tcW w:w="2540" w:type="dxa"/>
            <w:shd w:val="clear" w:color="auto" w:fill="auto"/>
            <w:hideMark/>
          </w:tcPr>
          <w:p w:rsidR="00D66A70" w:rsidRPr="002335EA" w:rsidRDefault="00D66A70" w:rsidP="00D66A70">
            <w:pPr>
              <w:rPr>
                <w:sz w:val="20"/>
                <w:lang w:eastAsia="fi-FI"/>
              </w:rPr>
            </w:pPr>
            <w:r w:rsidRPr="002335EA">
              <w:rPr>
                <w:sz w:val="20"/>
                <w:lang w:eastAsia="fi-FI"/>
              </w:rPr>
              <w:t xml:space="preserve">Pienmoottoribensiini </w:t>
            </w:r>
            <w:proofErr w:type="spellStart"/>
            <w:r w:rsidRPr="002335EA">
              <w:rPr>
                <w:sz w:val="20"/>
                <w:lang w:eastAsia="fi-FI"/>
              </w:rPr>
              <w:t>snt</w:t>
            </w:r>
            <w:proofErr w:type="spellEnd"/>
            <w:r w:rsidRPr="002335EA">
              <w:rPr>
                <w:sz w:val="20"/>
                <w:lang w:eastAsia="fi-FI"/>
              </w:rPr>
              <w:t>/l</w:t>
            </w:r>
          </w:p>
        </w:tc>
        <w:tc>
          <w:tcPr>
            <w:tcW w:w="960" w:type="dxa"/>
            <w:shd w:val="clear" w:color="auto" w:fill="auto"/>
            <w:hideMark/>
          </w:tcPr>
          <w:p w:rsidR="00D66A70" w:rsidRPr="002335EA" w:rsidRDefault="00D66A70" w:rsidP="00D66A70">
            <w:pPr>
              <w:jc w:val="center"/>
              <w:rPr>
                <w:sz w:val="20"/>
                <w:lang w:eastAsia="fi-FI"/>
              </w:rPr>
            </w:pPr>
            <w:r w:rsidRPr="002335EA">
              <w:rPr>
                <w:sz w:val="20"/>
                <w:lang w:eastAsia="fi-FI"/>
              </w:rPr>
              <w:t>11</w:t>
            </w:r>
          </w:p>
        </w:tc>
        <w:tc>
          <w:tcPr>
            <w:tcW w:w="1178" w:type="dxa"/>
            <w:shd w:val="clear" w:color="auto" w:fill="auto"/>
            <w:hideMark/>
          </w:tcPr>
          <w:p w:rsidR="00D66A70" w:rsidRPr="002335EA" w:rsidRDefault="00D66A70" w:rsidP="00D66A70">
            <w:pPr>
              <w:jc w:val="center"/>
              <w:rPr>
                <w:i/>
                <w:sz w:val="20"/>
                <w:lang w:eastAsia="fi-FI"/>
              </w:rPr>
            </w:pPr>
            <w:r w:rsidRPr="002335EA">
              <w:rPr>
                <w:i/>
                <w:sz w:val="20"/>
                <w:lang w:eastAsia="fi-FI"/>
              </w:rPr>
              <w:t>37,54</w:t>
            </w:r>
          </w:p>
        </w:tc>
        <w:tc>
          <w:tcPr>
            <w:tcW w:w="1582" w:type="dxa"/>
            <w:shd w:val="clear" w:color="auto" w:fill="auto"/>
            <w:hideMark/>
          </w:tcPr>
          <w:p w:rsidR="00D66A70" w:rsidRPr="002335EA" w:rsidRDefault="00D66A70" w:rsidP="00D66A70">
            <w:pPr>
              <w:jc w:val="center"/>
              <w:rPr>
                <w:i/>
                <w:sz w:val="20"/>
                <w:lang w:eastAsia="fi-FI"/>
              </w:rPr>
            </w:pPr>
            <w:r w:rsidRPr="002335EA">
              <w:rPr>
                <w:i/>
                <w:sz w:val="20"/>
                <w:lang w:eastAsia="fi-FI"/>
              </w:rPr>
              <w:t>17,30</w:t>
            </w:r>
          </w:p>
        </w:tc>
        <w:tc>
          <w:tcPr>
            <w:tcW w:w="1160" w:type="dxa"/>
            <w:shd w:val="clear" w:color="auto" w:fill="auto"/>
            <w:hideMark/>
          </w:tcPr>
          <w:p w:rsidR="00D66A70" w:rsidRPr="002335EA" w:rsidRDefault="00D66A70" w:rsidP="00D66A70">
            <w:pPr>
              <w:jc w:val="center"/>
              <w:rPr>
                <w:sz w:val="20"/>
                <w:lang w:eastAsia="fi-FI"/>
              </w:rPr>
            </w:pPr>
            <w:r w:rsidRPr="002335EA">
              <w:rPr>
                <w:sz w:val="20"/>
                <w:lang w:eastAsia="fi-FI"/>
              </w:rPr>
              <w:t>0,68</w:t>
            </w:r>
          </w:p>
        </w:tc>
        <w:tc>
          <w:tcPr>
            <w:tcW w:w="960" w:type="dxa"/>
            <w:shd w:val="clear" w:color="auto" w:fill="auto"/>
            <w:hideMark/>
          </w:tcPr>
          <w:p w:rsidR="00D66A70" w:rsidRPr="002335EA" w:rsidRDefault="00D66A70" w:rsidP="00D66A70">
            <w:pPr>
              <w:jc w:val="center"/>
              <w:rPr>
                <w:sz w:val="20"/>
                <w:lang w:eastAsia="fi-FI"/>
              </w:rPr>
            </w:pPr>
            <w:r w:rsidRPr="002335EA">
              <w:rPr>
                <w:sz w:val="20"/>
                <w:lang w:eastAsia="fi-FI"/>
              </w:rPr>
              <w:t>55,52</w:t>
            </w:r>
          </w:p>
        </w:tc>
      </w:tr>
      <w:tr w:rsidR="00D66A70" w:rsidRPr="002335EA" w:rsidTr="00D66A70">
        <w:trPr>
          <w:trHeight w:val="260"/>
        </w:trPr>
        <w:tc>
          <w:tcPr>
            <w:tcW w:w="2540" w:type="dxa"/>
            <w:shd w:val="clear" w:color="auto" w:fill="auto"/>
            <w:hideMark/>
          </w:tcPr>
          <w:p w:rsidR="00D66A70" w:rsidRPr="002335EA" w:rsidRDefault="00D66A70" w:rsidP="00D66A70">
            <w:pPr>
              <w:rPr>
                <w:sz w:val="20"/>
                <w:lang w:eastAsia="fi-FI"/>
              </w:rPr>
            </w:pPr>
            <w:r w:rsidRPr="002335EA">
              <w:rPr>
                <w:sz w:val="20"/>
                <w:lang w:eastAsia="fi-FI"/>
              </w:rPr>
              <w:t xml:space="preserve">Bioetanoli </w:t>
            </w:r>
            <w:proofErr w:type="spellStart"/>
            <w:r w:rsidRPr="002335EA">
              <w:rPr>
                <w:sz w:val="20"/>
                <w:lang w:eastAsia="fi-FI"/>
              </w:rPr>
              <w:t>snt</w:t>
            </w:r>
            <w:proofErr w:type="spellEnd"/>
            <w:r w:rsidRPr="002335EA">
              <w:rPr>
                <w:sz w:val="20"/>
                <w:lang w:eastAsia="fi-FI"/>
              </w:rPr>
              <w:t>/l</w:t>
            </w:r>
          </w:p>
        </w:tc>
        <w:tc>
          <w:tcPr>
            <w:tcW w:w="960" w:type="dxa"/>
            <w:shd w:val="clear" w:color="auto" w:fill="auto"/>
            <w:hideMark/>
          </w:tcPr>
          <w:p w:rsidR="00D66A70" w:rsidRPr="002335EA" w:rsidRDefault="00D66A70" w:rsidP="00D66A70">
            <w:pPr>
              <w:jc w:val="center"/>
              <w:rPr>
                <w:sz w:val="20"/>
                <w:lang w:eastAsia="fi-FI"/>
              </w:rPr>
            </w:pPr>
            <w:r w:rsidRPr="002335EA">
              <w:rPr>
                <w:sz w:val="20"/>
                <w:lang w:eastAsia="fi-FI"/>
              </w:rPr>
              <w:t>20</w:t>
            </w:r>
          </w:p>
        </w:tc>
        <w:tc>
          <w:tcPr>
            <w:tcW w:w="1178" w:type="dxa"/>
            <w:shd w:val="clear" w:color="auto" w:fill="auto"/>
            <w:hideMark/>
          </w:tcPr>
          <w:p w:rsidR="00D66A70" w:rsidRPr="002335EA" w:rsidRDefault="00D66A70" w:rsidP="00D66A70">
            <w:pPr>
              <w:jc w:val="center"/>
              <w:rPr>
                <w:i/>
                <w:sz w:val="20"/>
                <w:lang w:eastAsia="fi-FI"/>
              </w:rPr>
            </w:pPr>
            <w:r w:rsidRPr="002335EA">
              <w:rPr>
                <w:i/>
                <w:sz w:val="20"/>
                <w:lang w:eastAsia="fi-FI"/>
              </w:rPr>
              <w:t>37,76</w:t>
            </w:r>
          </w:p>
        </w:tc>
        <w:tc>
          <w:tcPr>
            <w:tcW w:w="1582" w:type="dxa"/>
            <w:shd w:val="clear" w:color="auto" w:fill="auto"/>
            <w:hideMark/>
          </w:tcPr>
          <w:p w:rsidR="00D66A70" w:rsidRPr="002335EA" w:rsidRDefault="00D66A70" w:rsidP="00D66A70">
            <w:pPr>
              <w:jc w:val="center"/>
              <w:rPr>
                <w:i/>
                <w:sz w:val="20"/>
                <w:lang w:eastAsia="fi-FI"/>
              </w:rPr>
            </w:pPr>
            <w:r w:rsidRPr="002335EA">
              <w:rPr>
                <w:i/>
                <w:sz w:val="20"/>
                <w:lang w:eastAsia="fi-FI"/>
              </w:rPr>
              <w:t>11,35</w:t>
            </w:r>
          </w:p>
        </w:tc>
        <w:tc>
          <w:tcPr>
            <w:tcW w:w="1160" w:type="dxa"/>
            <w:shd w:val="clear" w:color="auto" w:fill="auto"/>
            <w:hideMark/>
          </w:tcPr>
          <w:p w:rsidR="00D66A70" w:rsidRPr="002335EA" w:rsidRDefault="00D66A70" w:rsidP="00D66A70">
            <w:pPr>
              <w:jc w:val="center"/>
              <w:rPr>
                <w:sz w:val="20"/>
                <w:lang w:eastAsia="fi-FI"/>
              </w:rPr>
            </w:pPr>
            <w:r w:rsidRPr="002335EA">
              <w:rPr>
                <w:sz w:val="20"/>
                <w:lang w:eastAsia="fi-FI"/>
              </w:rPr>
              <w:t>0,68</w:t>
            </w:r>
          </w:p>
        </w:tc>
        <w:tc>
          <w:tcPr>
            <w:tcW w:w="960" w:type="dxa"/>
            <w:shd w:val="clear" w:color="auto" w:fill="auto"/>
            <w:hideMark/>
          </w:tcPr>
          <w:p w:rsidR="00D66A70" w:rsidRPr="002335EA" w:rsidRDefault="00D66A70" w:rsidP="00D66A70">
            <w:pPr>
              <w:jc w:val="center"/>
              <w:rPr>
                <w:i/>
                <w:sz w:val="20"/>
                <w:lang w:eastAsia="fi-FI"/>
              </w:rPr>
            </w:pPr>
            <w:r w:rsidRPr="002335EA">
              <w:rPr>
                <w:i/>
                <w:sz w:val="20"/>
                <w:lang w:eastAsia="fi-FI"/>
              </w:rPr>
              <w:t>49,79</w:t>
            </w:r>
          </w:p>
        </w:tc>
      </w:tr>
      <w:tr w:rsidR="00D66A70" w:rsidRPr="002335EA" w:rsidTr="00D66A70">
        <w:trPr>
          <w:trHeight w:val="260"/>
        </w:trPr>
        <w:tc>
          <w:tcPr>
            <w:tcW w:w="2540" w:type="dxa"/>
            <w:shd w:val="clear" w:color="auto" w:fill="auto"/>
            <w:hideMark/>
          </w:tcPr>
          <w:p w:rsidR="00D66A70" w:rsidRPr="002335EA" w:rsidRDefault="00D66A70" w:rsidP="00D66A70">
            <w:pPr>
              <w:rPr>
                <w:sz w:val="20"/>
                <w:lang w:eastAsia="fi-FI"/>
              </w:rPr>
            </w:pPr>
            <w:r w:rsidRPr="002335EA">
              <w:rPr>
                <w:sz w:val="20"/>
                <w:lang w:eastAsia="fi-FI"/>
              </w:rPr>
              <w:t xml:space="preserve">Bioetanoli R </w:t>
            </w:r>
            <w:proofErr w:type="spellStart"/>
            <w:r w:rsidRPr="002335EA">
              <w:rPr>
                <w:sz w:val="20"/>
                <w:lang w:eastAsia="fi-FI"/>
              </w:rPr>
              <w:t>snt</w:t>
            </w:r>
            <w:proofErr w:type="spellEnd"/>
            <w:r w:rsidRPr="002335EA">
              <w:rPr>
                <w:sz w:val="20"/>
                <w:lang w:eastAsia="fi-FI"/>
              </w:rPr>
              <w:t>/l</w:t>
            </w:r>
          </w:p>
        </w:tc>
        <w:tc>
          <w:tcPr>
            <w:tcW w:w="960" w:type="dxa"/>
            <w:shd w:val="clear" w:color="auto" w:fill="auto"/>
            <w:hideMark/>
          </w:tcPr>
          <w:p w:rsidR="00D66A70" w:rsidRPr="002335EA" w:rsidRDefault="00D66A70" w:rsidP="00D66A70">
            <w:pPr>
              <w:jc w:val="center"/>
              <w:rPr>
                <w:sz w:val="20"/>
                <w:lang w:eastAsia="fi-FI"/>
              </w:rPr>
            </w:pPr>
            <w:r w:rsidRPr="002335EA">
              <w:rPr>
                <w:sz w:val="20"/>
                <w:lang w:eastAsia="fi-FI"/>
              </w:rPr>
              <w:t>21</w:t>
            </w:r>
          </w:p>
        </w:tc>
        <w:tc>
          <w:tcPr>
            <w:tcW w:w="1178" w:type="dxa"/>
            <w:shd w:val="clear" w:color="auto" w:fill="auto"/>
            <w:hideMark/>
          </w:tcPr>
          <w:p w:rsidR="00D66A70" w:rsidRPr="002335EA" w:rsidRDefault="00D66A70" w:rsidP="00D66A70">
            <w:pPr>
              <w:jc w:val="center"/>
              <w:rPr>
                <w:i/>
                <w:sz w:val="20"/>
                <w:lang w:eastAsia="fi-FI"/>
              </w:rPr>
            </w:pPr>
            <w:r w:rsidRPr="002335EA">
              <w:rPr>
                <w:i/>
                <w:sz w:val="20"/>
                <w:lang w:eastAsia="fi-FI"/>
              </w:rPr>
              <w:t>37,76</w:t>
            </w:r>
          </w:p>
        </w:tc>
        <w:tc>
          <w:tcPr>
            <w:tcW w:w="1582" w:type="dxa"/>
            <w:shd w:val="clear" w:color="auto" w:fill="auto"/>
            <w:hideMark/>
          </w:tcPr>
          <w:p w:rsidR="00D66A70" w:rsidRPr="002335EA" w:rsidRDefault="00D66A70" w:rsidP="00D66A70">
            <w:pPr>
              <w:jc w:val="center"/>
              <w:rPr>
                <w:i/>
                <w:sz w:val="20"/>
                <w:lang w:eastAsia="fi-FI"/>
              </w:rPr>
            </w:pPr>
            <w:r w:rsidRPr="002335EA">
              <w:rPr>
                <w:i/>
                <w:sz w:val="20"/>
                <w:lang w:eastAsia="fi-FI"/>
              </w:rPr>
              <w:t>5,68</w:t>
            </w:r>
          </w:p>
        </w:tc>
        <w:tc>
          <w:tcPr>
            <w:tcW w:w="1160" w:type="dxa"/>
            <w:shd w:val="clear" w:color="auto" w:fill="auto"/>
            <w:hideMark/>
          </w:tcPr>
          <w:p w:rsidR="00D66A70" w:rsidRPr="002335EA" w:rsidRDefault="00D66A70" w:rsidP="00D66A70">
            <w:pPr>
              <w:jc w:val="center"/>
              <w:rPr>
                <w:sz w:val="20"/>
                <w:lang w:eastAsia="fi-FI"/>
              </w:rPr>
            </w:pPr>
            <w:r w:rsidRPr="002335EA">
              <w:rPr>
                <w:sz w:val="20"/>
                <w:lang w:eastAsia="fi-FI"/>
              </w:rPr>
              <w:t>0,68</w:t>
            </w:r>
          </w:p>
        </w:tc>
        <w:tc>
          <w:tcPr>
            <w:tcW w:w="960" w:type="dxa"/>
            <w:shd w:val="clear" w:color="auto" w:fill="auto"/>
            <w:hideMark/>
          </w:tcPr>
          <w:p w:rsidR="00D66A70" w:rsidRPr="002335EA" w:rsidRDefault="00D66A70" w:rsidP="00D66A70">
            <w:pPr>
              <w:jc w:val="center"/>
              <w:rPr>
                <w:i/>
                <w:sz w:val="20"/>
                <w:lang w:eastAsia="fi-FI"/>
              </w:rPr>
            </w:pPr>
            <w:r w:rsidRPr="002335EA">
              <w:rPr>
                <w:i/>
                <w:sz w:val="20"/>
                <w:lang w:eastAsia="fi-FI"/>
              </w:rPr>
              <w:t>44,12</w:t>
            </w:r>
          </w:p>
        </w:tc>
      </w:tr>
      <w:tr w:rsidR="00D66A70" w:rsidRPr="002335EA" w:rsidTr="00D66A70">
        <w:trPr>
          <w:trHeight w:val="260"/>
        </w:trPr>
        <w:tc>
          <w:tcPr>
            <w:tcW w:w="2540" w:type="dxa"/>
            <w:shd w:val="clear" w:color="auto" w:fill="auto"/>
            <w:hideMark/>
          </w:tcPr>
          <w:p w:rsidR="00D66A70" w:rsidRPr="002335EA" w:rsidRDefault="00D66A70" w:rsidP="00D66A70">
            <w:pPr>
              <w:rPr>
                <w:sz w:val="20"/>
                <w:lang w:eastAsia="fi-FI"/>
              </w:rPr>
            </w:pPr>
            <w:r w:rsidRPr="002335EA">
              <w:rPr>
                <w:sz w:val="20"/>
                <w:lang w:eastAsia="fi-FI"/>
              </w:rPr>
              <w:t xml:space="preserve">Bioetanoli T </w:t>
            </w:r>
            <w:proofErr w:type="spellStart"/>
            <w:r w:rsidRPr="002335EA">
              <w:rPr>
                <w:sz w:val="20"/>
                <w:lang w:eastAsia="fi-FI"/>
              </w:rPr>
              <w:t>snt</w:t>
            </w:r>
            <w:proofErr w:type="spellEnd"/>
            <w:r w:rsidRPr="002335EA">
              <w:rPr>
                <w:sz w:val="20"/>
                <w:lang w:eastAsia="fi-FI"/>
              </w:rPr>
              <w:t>/l</w:t>
            </w:r>
          </w:p>
        </w:tc>
        <w:tc>
          <w:tcPr>
            <w:tcW w:w="960" w:type="dxa"/>
            <w:shd w:val="clear" w:color="auto" w:fill="auto"/>
            <w:hideMark/>
          </w:tcPr>
          <w:p w:rsidR="00D66A70" w:rsidRPr="002335EA" w:rsidRDefault="00D66A70" w:rsidP="00D66A70">
            <w:pPr>
              <w:jc w:val="center"/>
              <w:rPr>
                <w:sz w:val="20"/>
                <w:lang w:eastAsia="fi-FI"/>
              </w:rPr>
            </w:pPr>
            <w:r w:rsidRPr="002335EA">
              <w:rPr>
                <w:sz w:val="20"/>
                <w:lang w:eastAsia="fi-FI"/>
              </w:rPr>
              <w:t>22</w:t>
            </w:r>
          </w:p>
        </w:tc>
        <w:tc>
          <w:tcPr>
            <w:tcW w:w="1178" w:type="dxa"/>
            <w:shd w:val="clear" w:color="auto" w:fill="auto"/>
            <w:hideMark/>
          </w:tcPr>
          <w:p w:rsidR="00D66A70" w:rsidRPr="002335EA" w:rsidRDefault="00D66A70" w:rsidP="00D66A70">
            <w:pPr>
              <w:jc w:val="center"/>
              <w:rPr>
                <w:i/>
                <w:sz w:val="20"/>
                <w:lang w:eastAsia="fi-FI"/>
              </w:rPr>
            </w:pPr>
            <w:r w:rsidRPr="002335EA">
              <w:rPr>
                <w:i/>
                <w:sz w:val="20"/>
                <w:lang w:eastAsia="fi-FI"/>
              </w:rPr>
              <w:t>37,76</w:t>
            </w:r>
          </w:p>
        </w:tc>
        <w:tc>
          <w:tcPr>
            <w:tcW w:w="1582" w:type="dxa"/>
            <w:shd w:val="clear" w:color="auto" w:fill="auto"/>
            <w:hideMark/>
          </w:tcPr>
          <w:p w:rsidR="00D66A70" w:rsidRPr="002335EA" w:rsidRDefault="00D66A70" w:rsidP="00D66A70">
            <w:pPr>
              <w:jc w:val="center"/>
              <w:rPr>
                <w:sz w:val="20"/>
                <w:lang w:eastAsia="fi-FI"/>
              </w:rPr>
            </w:pPr>
            <w:r w:rsidRPr="002335EA">
              <w:rPr>
                <w:sz w:val="20"/>
                <w:lang w:eastAsia="fi-FI"/>
              </w:rPr>
              <w:t>0,00</w:t>
            </w:r>
          </w:p>
        </w:tc>
        <w:tc>
          <w:tcPr>
            <w:tcW w:w="1160" w:type="dxa"/>
            <w:shd w:val="clear" w:color="auto" w:fill="auto"/>
            <w:hideMark/>
          </w:tcPr>
          <w:p w:rsidR="00D66A70" w:rsidRPr="002335EA" w:rsidRDefault="00D66A70" w:rsidP="00D66A70">
            <w:pPr>
              <w:jc w:val="center"/>
              <w:rPr>
                <w:sz w:val="20"/>
                <w:lang w:eastAsia="fi-FI"/>
              </w:rPr>
            </w:pPr>
            <w:r w:rsidRPr="002335EA">
              <w:rPr>
                <w:sz w:val="20"/>
                <w:lang w:eastAsia="fi-FI"/>
              </w:rPr>
              <w:t>0,68</w:t>
            </w:r>
          </w:p>
        </w:tc>
        <w:tc>
          <w:tcPr>
            <w:tcW w:w="960" w:type="dxa"/>
            <w:shd w:val="clear" w:color="auto" w:fill="auto"/>
            <w:hideMark/>
          </w:tcPr>
          <w:p w:rsidR="00D66A70" w:rsidRPr="002335EA" w:rsidRDefault="00D66A70" w:rsidP="00D66A70">
            <w:pPr>
              <w:jc w:val="center"/>
              <w:rPr>
                <w:i/>
                <w:sz w:val="20"/>
                <w:lang w:eastAsia="fi-FI"/>
              </w:rPr>
            </w:pPr>
            <w:r w:rsidRPr="002335EA">
              <w:rPr>
                <w:i/>
                <w:sz w:val="20"/>
                <w:lang w:eastAsia="fi-FI"/>
              </w:rPr>
              <w:t>38,44</w:t>
            </w:r>
          </w:p>
        </w:tc>
      </w:tr>
      <w:tr w:rsidR="00D66A70" w:rsidRPr="002335EA" w:rsidTr="00D66A70">
        <w:trPr>
          <w:trHeight w:val="260"/>
        </w:trPr>
        <w:tc>
          <w:tcPr>
            <w:tcW w:w="2540" w:type="dxa"/>
            <w:shd w:val="clear" w:color="auto" w:fill="auto"/>
            <w:hideMark/>
          </w:tcPr>
          <w:p w:rsidR="00D66A70" w:rsidRPr="002335EA" w:rsidRDefault="00D66A70" w:rsidP="00D66A70">
            <w:pPr>
              <w:rPr>
                <w:sz w:val="20"/>
                <w:lang w:eastAsia="fi-FI"/>
              </w:rPr>
            </w:pPr>
            <w:proofErr w:type="spellStart"/>
            <w:r w:rsidRPr="002335EA">
              <w:rPr>
                <w:sz w:val="20"/>
                <w:lang w:eastAsia="fi-FI"/>
              </w:rPr>
              <w:t>MTBE</w:t>
            </w:r>
            <w:proofErr w:type="spellEnd"/>
            <w:r w:rsidRPr="002335EA">
              <w:rPr>
                <w:sz w:val="20"/>
                <w:lang w:eastAsia="fi-FI"/>
              </w:rPr>
              <w:t xml:space="preserve"> </w:t>
            </w:r>
            <w:proofErr w:type="spellStart"/>
            <w:r w:rsidRPr="002335EA">
              <w:rPr>
                <w:sz w:val="20"/>
                <w:lang w:eastAsia="fi-FI"/>
              </w:rPr>
              <w:t>snt</w:t>
            </w:r>
            <w:proofErr w:type="spellEnd"/>
            <w:r w:rsidRPr="002335EA">
              <w:rPr>
                <w:sz w:val="20"/>
                <w:lang w:eastAsia="fi-FI"/>
              </w:rPr>
              <w:t>/l</w:t>
            </w:r>
          </w:p>
        </w:tc>
        <w:tc>
          <w:tcPr>
            <w:tcW w:w="960" w:type="dxa"/>
            <w:shd w:val="clear" w:color="auto" w:fill="auto"/>
            <w:hideMark/>
          </w:tcPr>
          <w:p w:rsidR="00D66A70" w:rsidRPr="002335EA" w:rsidRDefault="00D66A70" w:rsidP="00D66A70">
            <w:pPr>
              <w:jc w:val="center"/>
              <w:rPr>
                <w:sz w:val="20"/>
                <w:lang w:eastAsia="fi-FI"/>
              </w:rPr>
            </w:pPr>
            <w:r w:rsidRPr="002335EA">
              <w:rPr>
                <w:sz w:val="20"/>
                <w:lang w:eastAsia="fi-FI"/>
              </w:rPr>
              <w:t>23</w:t>
            </w:r>
          </w:p>
        </w:tc>
        <w:tc>
          <w:tcPr>
            <w:tcW w:w="1178" w:type="dxa"/>
            <w:shd w:val="clear" w:color="auto" w:fill="auto"/>
            <w:hideMark/>
          </w:tcPr>
          <w:p w:rsidR="00D66A70" w:rsidRPr="002335EA" w:rsidRDefault="00D66A70" w:rsidP="00D66A70">
            <w:pPr>
              <w:jc w:val="center"/>
              <w:rPr>
                <w:i/>
                <w:sz w:val="20"/>
                <w:lang w:eastAsia="fi-FI"/>
              </w:rPr>
            </w:pPr>
            <w:r w:rsidRPr="002335EA">
              <w:rPr>
                <w:i/>
                <w:sz w:val="20"/>
                <w:lang w:eastAsia="fi-FI"/>
              </w:rPr>
              <w:t>46,75</w:t>
            </w:r>
          </w:p>
        </w:tc>
        <w:tc>
          <w:tcPr>
            <w:tcW w:w="1582" w:type="dxa"/>
            <w:shd w:val="clear" w:color="auto" w:fill="auto"/>
            <w:hideMark/>
          </w:tcPr>
          <w:p w:rsidR="00D66A70" w:rsidRPr="002335EA" w:rsidRDefault="00D66A70" w:rsidP="00D66A70">
            <w:pPr>
              <w:jc w:val="center"/>
              <w:rPr>
                <w:i/>
                <w:sz w:val="20"/>
                <w:lang w:eastAsia="fi-FI"/>
              </w:rPr>
            </w:pPr>
            <w:r w:rsidRPr="002335EA">
              <w:rPr>
                <w:i/>
                <w:sz w:val="20"/>
                <w:lang w:eastAsia="fi-FI"/>
              </w:rPr>
              <w:t>14,06</w:t>
            </w:r>
          </w:p>
        </w:tc>
        <w:tc>
          <w:tcPr>
            <w:tcW w:w="1160" w:type="dxa"/>
            <w:shd w:val="clear" w:color="auto" w:fill="auto"/>
            <w:hideMark/>
          </w:tcPr>
          <w:p w:rsidR="00D66A70" w:rsidRPr="002335EA" w:rsidRDefault="00D66A70" w:rsidP="00D66A70">
            <w:pPr>
              <w:jc w:val="center"/>
              <w:rPr>
                <w:sz w:val="20"/>
                <w:lang w:eastAsia="fi-FI"/>
              </w:rPr>
            </w:pPr>
            <w:r w:rsidRPr="002335EA">
              <w:rPr>
                <w:sz w:val="20"/>
                <w:lang w:eastAsia="fi-FI"/>
              </w:rPr>
              <w:t>0,68</w:t>
            </w:r>
          </w:p>
        </w:tc>
        <w:tc>
          <w:tcPr>
            <w:tcW w:w="960" w:type="dxa"/>
            <w:shd w:val="clear" w:color="auto" w:fill="auto"/>
            <w:hideMark/>
          </w:tcPr>
          <w:p w:rsidR="00D66A70" w:rsidRPr="002335EA" w:rsidRDefault="00D66A70" w:rsidP="00D66A70">
            <w:pPr>
              <w:jc w:val="center"/>
              <w:rPr>
                <w:i/>
                <w:sz w:val="20"/>
                <w:lang w:eastAsia="fi-FI"/>
              </w:rPr>
            </w:pPr>
            <w:r w:rsidRPr="002335EA">
              <w:rPr>
                <w:i/>
                <w:sz w:val="20"/>
                <w:lang w:eastAsia="fi-FI"/>
              </w:rPr>
              <w:t>61,49</w:t>
            </w:r>
          </w:p>
        </w:tc>
      </w:tr>
      <w:tr w:rsidR="00D66A70" w:rsidRPr="002335EA" w:rsidTr="00D66A70">
        <w:trPr>
          <w:trHeight w:val="260"/>
        </w:trPr>
        <w:tc>
          <w:tcPr>
            <w:tcW w:w="2540" w:type="dxa"/>
            <w:shd w:val="clear" w:color="auto" w:fill="auto"/>
            <w:hideMark/>
          </w:tcPr>
          <w:p w:rsidR="00D66A70" w:rsidRPr="002335EA" w:rsidRDefault="00D66A70" w:rsidP="00D66A70">
            <w:pPr>
              <w:rPr>
                <w:sz w:val="20"/>
                <w:lang w:eastAsia="fi-FI"/>
              </w:rPr>
            </w:pPr>
            <w:proofErr w:type="spellStart"/>
            <w:r w:rsidRPr="002335EA">
              <w:rPr>
                <w:sz w:val="20"/>
                <w:lang w:eastAsia="fi-FI"/>
              </w:rPr>
              <w:t>MTBE</w:t>
            </w:r>
            <w:proofErr w:type="spellEnd"/>
            <w:r w:rsidRPr="002335EA">
              <w:rPr>
                <w:sz w:val="20"/>
                <w:lang w:eastAsia="fi-FI"/>
              </w:rPr>
              <w:t xml:space="preserve"> R </w:t>
            </w:r>
            <w:proofErr w:type="spellStart"/>
            <w:r w:rsidRPr="002335EA">
              <w:rPr>
                <w:sz w:val="20"/>
                <w:lang w:eastAsia="fi-FI"/>
              </w:rPr>
              <w:t>snt</w:t>
            </w:r>
            <w:proofErr w:type="spellEnd"/>
            <w:r w:rsidRPr="002335EA">
              <w:rPr>
                <w:sz w:val="20"/>
                <w:lang w:eastAsia="fi-FI"/>
              </w:rPr>
              <w:t>/l</w:t>
            </w:r>
          </w:p>
        </w:tc>
        <w:tc>
          <w:tcPr>
            <w:tcW w:w="960" w:type="dxa"/>
            <w:shd w:val="clear" w:color="auto" w:fill="auto"/>
            <w:hideMark/>
          </w:tcPr>
          <w:p w:rsidR="00D66A70" w:rsidRPr="002335EA" w:rsidRDefault="00D66A70" w:rsidP="00D66A70">
            <w:pPr>
              <w:jc w:val="center"/>
              <w:rPr>
                <w:sz w:val="20"/>
                <w:lang w:eastAsia="fi-FI"/>
              </w:rPr>
            </w:pPr>
            <w:r w:rsidRPr="002335EA">
              <w:rPr>
                <w:sz w:val="20"/>
                <w:lang w:eastAsia="fi-FI"/>
              </w:rPr>
              <w:t>24</w:t>
            </w:r>
          </w:p>
        </w:tc>
        <w:tc>
          <w:tcPr>
            <w:tcW w:w="1178" w:type="dxa"/>
            <w:shd w:val="clear" w:color="auto" w:fill="auto"/>
            <w:hideMark/>
          </w:tcPr>
          <w:p w:rsidR="00D66A70" w:rsidRPr="002335EA" w:rsidRDefault="00D66A70" w:rsidP="00D66A70">
            <w:pPr>
              <w:jc w:val="center"/>
              <w:rPr>
                <w:i/>
                <w:sz w:val="20"/>
                <w:lang w:eastAsia="fi-FI"/>
              </w:rPr>
            </w:pPr>
            <w:r w:rsidRPr="002335EA">
              <w:rPr>
                <w:i/>
                <w:sz w:val="20"/>
                <w:lang w:eastAsia="fi-FI"/>
              </w:rPr>
              <w:t>46,75</w:t>
            </w:r>
          </w:p>
        </w:tc>
        <w:tc>
          <w:tcPr>
            <w:tcW w:w="1582" w:type="dxa"/>
            <w:shd w:val="clear" w:color="auto" w:fill="auto"/>
            <w:hideMark/>
          </w:tcPr>
          <w:p w:rsidR="00D66A70" w:rsidRPr="002335EA" w:rsidRDefault="00D66A70" w:rsidP="00D66A70">
            <w:pPr>
              <w:jc w:val="center"/>
              <w:rPr>
                <w:i/>
                <w:sz w:val="20"/>
                <w:lang w:eastAsia="fi-FI"/>
              </w:rPr>
            </w:pPr>
            <w:r w:rsidRPr="002335EA">
              <w:rPr>
                <w:i/>
                <w:sz w:val="20"/>
                <w:lang w:eastAsia="fi-FI"/>
              </w:rPr>
              <w:t>12,51</w:t>
            </w:r>
          </w:p>
        </w:tc>
        <w:tc>
          <w:tcPr>
            <w:tcW w:w="1160" w:type="dxa"/>
            <w:shd w:val="clear" w:color="auto" w:fill="auto"/>
            <w:hideMark/>
          </w:tcPr>
          <w:p w:rsidR="00D66A70" w:rsidRPr="002335EA" w:rsidRDefault="00D66A70" w:rsidP="00D66A70">
            <w:pPr>
              <w:jc w:val="center"/>
              <w:rPr>
                <w:sz w:val="20"/>
                <w:lang w:eastAsia="fi-FI"/>
              </w:rPr>
            </w:pPr>
            <w:r w:rsidRPr="002335EA">
              <w:rPr>
                <w:sz w:val="20"/>
                <w:lang w:eastAsia="fi-FI"/>
              </w:rPr>
              <w:t>0,68</w:t>
            </w:r>
          </w:p>
        </w:tc>
        <w:tc>
          <w:tcPr>
            <w:tcW w:w="960" w:type="dxa"/>
            <w:shd w:val="clear" w:color="auto" w:fill="auto"/>
            <w:hideMark/>
          </w:tcPr>
          <w:p w:rsidR="00D66A70" w:rsidRPr="002335EA" w:rsidRDefault="00D66A70" w:rsidP="00D66A70">
            <w:pPr>
              <w:jc w:val="center"/>
              <w:rPr>
                <w:i/>
                <w:sz w:val="20"/>
                <w:lang w:eastAsia="fi-FI"/>
              </w:rPr>
            </w:pPr>
            <w:r w:rsidRPr="002335EA">
              <w:rPr>
                <w:i/>
                <w:sz w:val="20"/>
                <w:lang w:eastAsia="fi-FI"/>
              </w:rPr>
              <w:t>59,94</w:t>
            </w:r>
          </w:p>
        </w:tc>
      </w:tr>
      <w:tr w:rsidR="00D66A70" w:rsidRPr="002335EA" w:rsidTr="00D66A70">
        <w:trPr>
          <w:trHeight w:val="260"/>
        </w:trPr>
        <w:tc>
          <w:tcPr>
            <w:tcW w:w="2540" w:type="dxa"/>
            <w:shd w:val="clear" w:color="auto" w:fill="auto"/>
            <w:hideMark/>
          </w:tcPr>
          <w:p w:rsidR="00D66A70" w:rsidRPr="002335EA" w:rsidRDefault="00D66A70" w:rsidP="00D66A70">
            <w:pPr>
              <w:rPr>
                <w:sz w:val="20"/>
                <w:lang w:eastAsia="fi-FI"/>
              </w:rPr>
            </w:pPr>
            <w:proofErr w:type="spellStart"/>
            <w:r w:rsidRPr="002335EA">
              <w:rPr>
                <w:sz w:val="20"/>
                <w:lang w:eastAsia="fi-FI"/>
              </w:rPr>
              <w:t>MTBE</w:t>
            </w:r>
            <w:proofErr w:type="spellEnd"/>
            <w:r w:rsidRPr="002335EA">
              <w:rPr>
                <w:sz w:val="20"/>
                <w:lang w:eastAsia="fi-FI"/>
              </w:rPr>
              <w:t xml:space="preserve"> T </w:t>
            </w:r>
            <w:proofErr w:type="spellStart"/>
            <w:r w:rsidRPr="002335EA">
              <w:rPr>
                <w:sz w:val="20"/>
                <w:lang w:eastAsia="fi-FI"/>
              </w:rPr>
              <w:t>snt</w:t>
            </w:r>
            <w:proofErr w:type="spellEnd"/>
            <w:r w:rsidRPr="002335EA">
              <w:rPr>
                <w:sz w:val="20"/>
                <w:lang w:eastAsia="fi-FI"/>
              </w:rPr>
              <w:t>/l</w:t>
            </w:r>
          </w:p>
        </w:tc>
        <w:tc>
          <w:tcPr>
            <w:tcW w:w="960" w:type="dxa"/>
            <w:shd w:val="clear" w:color="auto" w:fill="auto"/>
            <w:hideMark/>
          </w:tcPr>
          <w:p w:rsidR="00D66A70" w:rsidRPr="002335EA" w:rsidRDefault="00D66A70" w:rsidP="00D66A70">
            <w:pPr>
              <w:jc w:val="center"/>
              <w:rPr>
                <w:sz w:val="20"/>
                <w:lang w:eastAsia="fi-FI"/>
              </w:rPr>
            </w:pPr>
            <w:r w:rsidRPr="002335EA">
              <w:rPr>
                <w:sz w:val="20"/>
                <w:lang w:eastAsia="fi-FI"/>
              </w:rPr>
              <w:t>25</w:t>
            </w:r>
          </w:p>
        </w:tc>
        <w:tc>
          <w:tcPr>
            <w:tcW w:w="1178" w:type="dxa"/>
            <w:shd w:val="clear" w:color="auto" w:fill="auto"/>
            <w:hideMark/>
          </w:tcPr>
          <w:p w:rsidR="00D66A70" w:rsidRPr="002335EA" w:rsidRDefault="00D66A70" w:rsidP="00D66A70">
            <w:pPr>
              <w:jc w:val="center"/>
              <w:rPr>
                <w:i/>
                <w:sz w:val="20"/>
                <w:lang w:eastAsia="fi-FI"/>
              </w:rPr>
            </w:pPr>
            <w:r w:rsidRPr="002335EA">
              <w:rPr>
                <w:i/>
                <w:sz w:val="20"/>
                <w:lang w:eastAsia="fi-FI"/>
              </w:rPr>
              <w:t>46,75</w:t>
            </w:r>
          </w:p>
        </w:tc>
        <w:tc>
          <w:tcPr>
            <w:tcW w:w="1582" w:type="dxa"/>
            <w:shd w:val="clear" w:color="auto" w:fill="auto"/>
            <w:hideMark/>
          </w:tcPr>
          <w:p w:rsidR="00D66A70" w:rsidRPr="002335EA" w:rsidRDefault="00D66A70" w:rsidP="00D66A70">
            <w:pPr>
              <w:jc w:val="center"/>
              <w:rPr>
                <w:i/>
                <w:sz w:val="20"/>
                <w:lang w:eastAsia="fi-FI"/>
              </w:rPr>
            </w:pPr>
            <w:r w:rsidRPr="002335EA">
              <w:rPr>
                <w:i/>
                <w:sz w:val="20"/>
                <w:lang w:eastAsia="fi-FI"/>
              </w:rPr>
              <w:t>10,96</w:t>
            </w:r>
          </w:p>
        </w:tc>
        <w:tc>
          <w:tcPr>
            <w:tcW w:w="1160" w:type="dxa"/>
            <w:shd w:val="clear" w:color="auto" w:fill="auto"/>
            <w:hideMark/>
          </w:tcPr>
          <w:p w:rsidR="00D66A70" w:rsidRPr="002335EA" w:rsidRDefault="00D66A70" w:rsidP="00D66A70">
            <w:pPr>
              <w:jc w:val="center"/>
              <w:rPr>
                <w:sz w:val="20"/>
                <w:lang w:eastAsia="fi-FI"/>
              </w:rPr>
            </w:pPr>
            <w:r w:rsidRPr="002335EA">
              <w:rPr>
                <w:sz w:val="20"/>
                <w:lang w:eastAsia="fi-FI"/>
              </w:rPr>
              <w:t>0,68</w:t>
            </w:r>
          </w:p>
        </w:tc>
        <w:tc>
          <w:tcPr>
            <w:tcW w:w="960" w:type="dxa"/>
            <w:shd w:val="clear" w:color="auto" w:fill="auto"/>
            <w:hideMark/>
          </w:tcPr>
          <w:p w:rsidR="00D66A70" w:rsidRPr="002335EA" w:rsidRDefault="00D66A70" w:rsidP="00D66A70">
            <w:pPr>
              <w:jc w:val="center"/>
              <w:rPr>
                <w:i/>
                <w:sz w:val="20"/>
                <w:lang w:eastAsia="fi-FI"/>
              </w:rPr>
            </w:pPr>
            <w:r w:rsidRPr="002335EA">
              <w:rPr>
                <w:i/>
                <w:sz w:val="20"/>
                <w:lang w:eastAsia="fi-FI"/>
              </w:rPr>
              <w:t>58,39</w:t>
            </w:r>
          </w:p>
        </w:tc>
      </w:tr>
      <w:tr w:rsidR="00D66A70" w:rsidRPr="002335EA" w:rsidTr="00D66A70">
        <w:trPr>
          <w:trHeight w:val="260"/>
        </w:trPr>
        <w:tc>
          <w:tcPr>
            <w:tcW w:w="2540" w:type="dxa"/>
            <w:shd w:val="clear" w:color="auto" w:fill="auto"/>
            <w:hideMark/>
          </w:tcPr>
          <w:p w:rsidR="00D66A70" w:rsidRPr="002335EA" w:rsidRDefault="00D66A70" w:rsidP="00D66A70">
            <w:pPr>
              <w:rPr>
                <w:sz w:val="20"/>
                <w:lang w:eastAsia="fi-FI"/>
              </w:rPr>
            </w:pPr>
            <w:proofErr w:type="spellStart"/>
            <w:r w:rsidRPr="002335EA">
              <w:rPr>
                <w:sz w:val="20"/>
                <w:lang w:eastAsia="fi-FI"/>
              </w:rPr>
              <w:t>TAME</w:t>
            </w:r>
            <w:proofErr w:type="spellEnd"/>
            <w:r w:rsidRPr="002335EA">
              <w:rPr>
                <w:sz w:val="20"/>
                <w:lang w:eastAsia="fi-FI"/>
              </w:rPr>
              <w:t xml:space="preserve"> </w:t>
            </w:r>
            <w:proofErr w:type="spellStart"/>
            <w:r w:rsidRPr="002335EA">
              <w:rPr>
                <w:sz w:val="20"/>
                <w:lang w:eastAsia="fi-FI"/>
              </w:rPr>
              <w:t>snt</w:t>
            </w:r>
            <w:proofErr w:type="spellEnd"/>
            <w:r w:rsidRPr="002335EA">
              <w:rPr>
                <w:sz w:val="20"/>
                <w:lang w:eastAsia="fi-FI"/>
              </w:rPr>
              <w:t>/l</w:t>
            </w:r>
          </w:p>
        </w:tc>
        <w:tc>
          <w:tcPr>
            <w:tcW w:w="960" w:type="dxa"/>
            <w:shd w:val="clear" w:color="auto" w:fill="auto"/>
            <w:hideMark/>
          </w:tcPr>
          <w:p w:rsidR="00D66A70" w:rsidRPr="002335EA" w:rsidRDefault="00D66A70" w:rsidP="00D66A70">
            <w:pPr>
              <w:jc w:val="center"/>
              <w:rPr>
                <w:sz w:val="20"/>
                <w:lang w:eastAsia="fi-FI"/>
              </w:rPr>
            </w:pPr>
            <w:r w:rsidRPr="002335EA">
              <w:rPr>
                <w:sz w:val="20"/>
                <w:lang w:eastAsia="fi-FI"/>
              </w:rPr>
              <w:t>26</w:t>
            </w:r>
          </w:p>
        </w:tc>
        <w:tc>
          <w:tcPr>
            <w:tcW w:w="1178" w:type="dxa"/>
            <w:shd w:val="clear" w:color="auto" w:fill="auto"/>
            <w:hideMark/>
          </w:tcPr>
          <w:p w:rsidR="00D66A70" w:rsidRPr="002335EA" w:rsidRDefault="00D66A70" w:rsidP="00D66A70">
            <w:pPr>
              <w:jc w:val="center"/>
              <w:rPr>
                <w:i/>
                <w:sz w:val="20"/>
                <w:lang w:eastAsia="fi-FI"/>
              </w:rPr>
            </w:pPr>
            <w:r w:rsidRPr="002335EA">
              <w:rPr>
                <w:i/>
                <w:sz w:val="20"/>
                <w:lang w:eastAsia="fi-FI"/>
              </w:rPr>
              <w:t>50,34</w:t>
            </w:r>
          </w:p>
        </w:tc>
        <w:tc>
          <w:tcPr>
            <w:tcW w:w="1582" w:type="dxa"/>
            <w:shd w:val="clear" w:color="auto" w:fill="auto"/>
            <w:hideMark/>
          </w:tcPr>
          <w:p w:rsidR="00D66A70" w:rsidRPr="002335EA" w:rsidRDefault="00D66A70" w:rsidP="00D66A70">
            <w:pPr>
              <w:jc w:val="center"/>
              <w:rPr>
                <w:i/>
                <w:sz w:val="20"/>
                <w:lang w:eastAsia="fi-FI"/>
              </w:rPr>
            </w:pPr>
            <w:r w:rsidRPr="002335EA">
              <w:rPr>
                <w:i/>
                <w:sz w:val="20"/>
                <w:lang w:eastAsia="fi-FI"/>
              </w:rPr>
              <w:t>15,14</w:t>
            </w:r>
          </w:p>
        </w:tc>
        <w:tc>
          <w:tcPr>
            <w:tcW w:w="1160" w:type="dxa"/>
            <w:shd w:val="clear" w:color="auto" w:fill="auto"/>
            <w:hideMark/>
          </w:tcPr>
          <w:p w:rsidR="00D66A70" w:rsidRPr="002335EA" w:rsidRDefault="00D66A70" w:rsidP="00D66A70">
            <w:pPr>
              <w:jc w:val="center"/>
              <w:rPr>
                <w:sz w:val="20"/>
                <w:lang w:eastAsia="fi-FI"/>
              </w:rPr>
            </w:pPr>
            <w:r w:rsidRPr="002335EA">
              <w:rPr>
                <w:sz w:val="20"/>
                <w:lang w:eastAsia="fi-FI"/>
              </w:rPr>
              <w:t>0,68</w:t>
            </w:r>
          </w:p>
        </w:tc>
        <w:tc>
          <w:tcPr>
            <w:tcW w:w="960" w:type="dxa"/>
            <w:shd w:val="clear" w:color="auto" w:fill="auto"/>
            <w:hideMark/>
          </w:tcPr>
          <w:p w:rsidR="00D66A70" w:rsidRPr="002335EA" w:rsidRDefault="00D66A70" w:rsidP="00D66A70">
            <w:pPr>
              <w:jc w:val="center"/>
              <w:rPr>
                <w:i/>
                <w:sz w:val="20"/>
                <w:lang w:eastAsia="fi-FI"/>
              </w:rPr>
            </w:pPr>
            <w:r w:rsidRPr="002335EA">
              <w:rPr>
                <w:i/>
                <w:sz w:val="20"/>
                <w:lang w:eastAsia="fi-FI"/>
              </w:rPr>
              <w:t>66,16</w:t>
            </w:r>
          </w:p>
        </w:tc>
      </w:tr>
      <w:tr w:rsidR="00D66A70" w:rsidRPr="002335EA" w:rsidTr="00D66A70">
        <w:trPr>
          <w:trHeight w:val="260"/>
        </w:trPr>
        <w:tc>
          <w:tcPr>
            <w:tcW w:w="2540" w:type="dxa"/>
            <w:shd w:val="clear" w:color="auto" w:fill="auto"/>
            <w:hideMark/>
          </w:tcPr>
          <w:p w:rsidR="00D66A70" w:rsidRPr="002335EA" w:rsidRDefault="00D66A70" w:rsidP="00D66A70">
            <w:pPr>
              <w:rPr>
                <w:sz w:val="20"/>
                <w:lang w:eastAsia="fi-FI"/>
              </w:rPr>
            </w:pPr>
            <w:proofErr w:type="spellStart"/>
            <w:r w:rsidRPr="002335EA">
              <w:rPr>
                <w:sz w:val="20"/>
                <w:lang w:eastAsia="fi-FI"/>
              </w:rPr>
              <w:t>TAME</w:t>
            </w:r>
            <w:proofErr w:type="spellEnd"/>
            <w:r w:rsidRPr="002335EA">
              <w:rPr>
                <w:sz w:val="20"/>
                <w:lang w:eastAsia="fi-FI"/>
              </w:rPr>
              <w:t xml:space="preserve"> R </w:t>
            </w:r>
            <w:proofErr w:type="spellStart"/>
            <w:r w:rsidRPr="002335EA">
              <w:rPr>
                <w:sz w:val="20"/>
                <w:lang w:eastAsia="fi-FI"/>
              </w:rPr>
              <w:t>snt</w:t>
            </w:r>
            <w:proofErr w:type="spellEnd"/>
            <w:r w:rsidRPr="002335EA">
              <w:rPr>
                <w:sz w:val="20"/>
                <w:lang w:eastAsia="fi-FI"/>
              </w:rPr>
              <w:t>/l</w:t>
            </w:r>
          </w:p>
        </w:tc>
        <w:tc>
          <w:tcPr>
            <w:tcW w:w="960" w:type="dxa"/>
            <w:shd w:val="clear" w:color="auto" w:fill="auto"/>
            <w:hideMark/>
          </w:tcPr>
          <w:p w:rsidR="00D66A70" w:rsidRPr="002335EA" w:rsidRDefault="00D66A70" w:rsidP="00D66A70">
            <w:pPr>
              <w:jc w:val="center"/>
              <w:rPr>
                <w:sz w:val="20"/>
                <w:lang w:eastAsia="fi-FI"/>
              </w:rPr>
            </w:pPr>
            <w:r w:rsidRPr="002335EA">
              <w:rPr>
                <w:sz w:val="20"/>
                <w:lang w:eastAsia="fi-FI"/>
              </w:rPr>
              <w:t>27</w:t>
            </w:r>
          </w:p>
        </w:tc>
        <w:tc>
          <w:tcPr>
            <w:tcW w:w="1178" w:type="dxa"/>
            <w:shd w:val="clear" w:color="auto" w:fill="auto"/>
            <w:hideMark/>
          </w:tcPr>
          <w:p w:rsidR="00D66A70" w:rsidRPr="002335EA" w:rsidRDefault="00D66A70" w:rsidP="00D66A70">
            <w:pPr>
              <w:jc w:val="center"/>
              <w:rPr>
                <w:i/>
                <w:sz w:val="20"/>
                <w:lang w:eastAsia="fi-FI"/>
              </w:rPr>
            </w:pPr>
            <w:r w:rsidRPr="002335EA">
              <w:rPr>
                <w:i/>
                <w:sz w:val="20"/>
                <w:lang w:eastAsia="fi-FI"/>
              </w:rPr>
              <w:t>50,34</w:t>
            </w:r>
          </w:p>
        </w:tc>
        <w:tc>
          <w:tcPr>
            <w:tcW w:w="1582" w:type="dxa"/>
            <w:shd w:val="clear" w:color="auto" w:fill="auto"/>
            <w:hideMark/>
          </w:tcPr>
          <w:p w:rsidR="00D66A70" w:rsidRPr="002335EA" w:rsidRDefault="00D66A70" w:rsidP="00D66A70">
            <w:pPr>
              <w:jc w:val="center"/>
              <w:rPr>
                <w:i/>
                <w:sz w:val="20"/>
                <w:lang w:eastAsia="fi-FI"/>
              </w:rPr>
            </w:pPr>
            <w:r w:rsidRPr="002335EA">
              <w:rPr>
                <w:i/>
                <w:sz w:val="20"/>
                <w:lang w:eastAsia="fi-FI"/>
              </w:rPr>
              <w:t>13,78</w:t>
            </w:r>
          </w:p>
        </w:tc>
        <w:tc>
          <w:tcPr>
            <w:tcW w:w="1160" w:type="dxa"/>
            <w:shd w:val="clear" w:color="auto" w:fill="auto"/>
            <w:hideMark/>
          </w:tcPr>
          <w:p w:rsidR="00D66A70" w:rsidRPr="002335EA" w:rsidRDefault="00D66A70" w:rsidP="00D66A70">
            <w:pPr>
              <w:jc w:val="center"/>
              <w:rPr>
                <w:sz w:val="20"/>
                <w:lang w:eastAsia="fi-FI"/>
              </w:rPr>
            </w:pPr>
            <w:r w:rsidRPr="002335EA">
              <w:rPr>
                <w:sz w:val="20"/>
                <w:lang w:eastAsia="fi-FI"/>
              </w:rPr>
              <w:t>0,68</w:t>
            </w:r>
          </w:p>
        </w:tc>
        <w:tc>
          <w:tcPr>
            <w:tcW w:w="960" w:type="dxa"/>
            <w:shd w:val="clear" w:color="auto" w:fill="auto"/>
            <w:hideMark/>
          </w:tcPr>
          <w:p w:rsidR="00D66A70" w:rsidRPr="002335EA" w:rsidRDefault="00D66A70" w:rsidP="00D66A70">
            <w:pPr>
              <w:jc w:val="center"/>
              <w:rPr>
                <w:i/>
                <w:sz w:val="20"/>
                <w:lang w:eastAsia="fi-FI"/>
              </w:rPr>
            </w:pPr>
            <w:r w:rsidRPr="002335EA">
              <w:rPr>
                <w:i/>
                <w:sz w:val="20"/>
                <w:lang w:eastAsia="fi-FI"/>
              </w:rPr>
              <w:t>64,80</w:t>
            </w:r>
          </w:p>
        </w:tc>
      </w:tr>
      <w:tr w:rsidR="00D66A70" w:rsidRPr="002335EA" w:rsidTr="00D66A70">
        <w:trPr>
          <w:trHeight w:val="260"/>
        </w:trPr>
        <w:tc>
          <w:tcPr>
            <w:tcW w:w="2540" w:type="dxa"/>
            <w:shd w:val="clear" w:color="auto" w:fill="auto"/>
            <w:hideMark/>
          </w:tcPr>
          <w:p w:rsidR="00D66A70" w:rsidRPr="002335EA" w:rsidRDefault="00D66A70" w:rsidP="00D66A70">
            <w:pPr>
              <w:rPr>
                <w:sz w:val="20"/>
                <w:lang w:eastAsia="fi-FI"/>
              </w:rPr>
            </w:pPr>
            <w:proofErr w:type="spellStart"/>
            <w:r w:rsidRPr="002335EA">
              <w:rPr>
                <w:sz w:val="20"/>
                <w:lang w:eastAsia="fi-FI"/>
              </w:rPr>
              <w:t>TAME</w:t>
            </w:r>
            <w:proofErr w:type="spellEnd"/>
            <w:r w:rsidRPr="002335EA">
              <w:rPr>
                <w:sz w:val="20"/>
                <w:lang w:eastAsia="fi-FI"/>
              </w:rPr>
              <w:t xml:space="preserve"> T </w:t>
            </w:r>
            <w:proofErr w:type="spellStart"/>
            <w:r w:rsidRPr="002335EA">
              <w:rPr>
                <w:sz w:val="20"/>
                <w:lang w:eastAsia="fi-FI"/>
              </w:rPr>
              <w:t>snt</w:t>
            </w:r>
            <w:proofErr w:type="spellEnd"/>
            <w:r w:rsidRPr="002335EA">
              <w:rPr>
                <w:sz w:val="20"/>
                <w:lang w:eastAsia="fi-FI"/>
              </w:rPr>
              <w:t>/l</w:t>
            </w:r>
          </w:p>
        </w:tc>
        <w:tc>
          <w:tcPr>
            <w:tcW w:w="960" w:type="dxa"/>
            <w:shd w:val="clear" w:color="auto" w:fill="auto"/>
            <w:hideMark/>
          </w:tcPr>
          <w:p w:rsidR="00D66A70" w:rsidRPr="002335EA" w:rsidRDefault="00D66A70" w:rsidP="00D66A70">
            <w:pPr>
              <w:jc w:val="center"/>
              <w:rPr>
                <w:sz w:val="20"/>
                <w:lang w:eastAsia="fi-FI"/>
              </w:rPr>
            </w:pPr>
            <w:r w:rsidRPr="002335EA">
              <w:rPr>
                <w:sz w:val="20"/>
                <w:lang w:eastAsia="fi-FI"/>
              </w:rPr>
              <w:t>28</w:t>
            </w:r>
          </w:p>
        </w:tc>
        <w:tc>
          <w:tcPr>
            <w:tcW w:w="1178" w:type="dxa"/>
            <w:shd w:val="clear" w:color="auto" w:fill="auto"/>
            <w:hideMark/>
          </w:tcPr>
          <w:p w:rsidR="00D66A70" w:rsidRPr="002335EA" w:rsidRDefault="00D66A70" w:rsidP="00D66A70">
            <w:pPr>
              <w:jc w:val="center"/>
              <w:rPr>
                <w:i/>
                <w:sz w:val="20"/>
                <w:lang w:eastAsia="fi-FI"/>
              </w:rPr>
            </w:pPr>
            <w:r w:rsidRPr="002335EA">
              <w:rPr>
                <w:i/>
                <w:sz w:val="20"/>
                <w:lang w:eastAsia="fi-FI"/>
              </w:rPr>
              <w:t>50,34</w:t>
            </w:r>
          </w:p>
        </w:tc>
        <w:tc>
          <w:tcPr>
            <w:tcW w:w="1582" w:type="dxa"/>
            <w:shd w:val="clear" w:color="auto" w:fill="auto"/>
            <w:hideMark/>
          </w:tcPr>
          <w:p w:rsidR="00D66A70" w:rsidRPr="002335EA" w:rsidRDefault="00D66A70" w:rsidP="00D66A70">
            <w:pPr>
              <w:jc w:val="center"/>
              <w:rPr>
                <w:i/>
                <w:sz w:val="20"/>
                <w:lang w:eastAsia="fi-FI"/>
              </w:rPr>
            </w:pPr>
            <w:r w:rsidRPr="002335EA">
              <w:rPr>
                <w:i/>
                <w:sz w:val="20"/>
                <w:lang w:eastAsia="fi-FI"/>
              </w:rPr>
              <w:t>12,41</w:t>
            </w:r>
          </w:p>
        </w:tc>
        <w:tc>
          <w:tcPr>
            <w:tcW w:w="1160" w:type="dxa"/>
            <w:shd w:val="clear" w:color="auto" w:fill="auto"/>
            <w:hideMark/>
          </w:tcPr>
          <w:p w:rsidR="00D66A70" w:rsidRPr="002335EA" w:rsidRDefault="00D66A70" w:rsidP="00D66A70">
            <w:pPr>
              <w:jc w:val="center"/>
              <w:rPr>
                <w:sz w:val="20"/>
                <w:lang w:eastAsia="fi-FI"/>
              </w:rPr>
            </w:pPr>
            <w:r w:rsidRPr="002335EA">
              <w:rPr>
                <w:sz w:val="20"/>
                <w:lang w:eastAsia="fi-FI"/>
              </w:rPr>
              <w:t>0,68</w:t>
            </w:r>
          </w:p>
        </w:tc>
        <w:tc>
          <w:tcPr>
            <w:tcW w:w="960" w:type="dxa"/>
            <w:shd w:val="clear" w:color="auto" w:fill="auto"/>
            <w:hideMark/>
          </w:tcPr>
          <w:p w:rsidR="00D66A70" w:rsidRPr="002335EA" w:rsidRDefault="00D66A70" w:rsidP="00D66A70">
            <w:pPr>
              <w:jc w:val="center"/>
              <w:rPr>
                <w:i/>
                <w:sz w:val="20"/>
                <w:lang w:eastAsia="fi-FI"/>
              </w:rPr>
            </w:pPr>
            <w:r w:rsidRPr="002335EA">
              <w:rPr>
                <w:i/>
                <w:sz w:val="20"/>
                <w:lang w:eastAsia="fi-FI"/>
              </w:rPr>
              <w:t>63,43</w:t>
            </w:r>
          </w:p>
        </w:tc>
      </w:tr>
      <w:tr w:rsidR="00D66A70" w:rsidRPr="002335EA" w:rsidTr="00D66A70">
        <w:trPr>
          <w:trHeight w:val="260"/>
        </w:trPr>
        <w:tc>
          <w:tcPr>
            <w:tcW w:w="2540" w:type="dxa"/>
            <w:shd w:val="clear" w:color="auto" w:fill="auto"/>
            <w:hideMark/>
          </w:tcPr>
          <w:p w:rsidR="00D66A70" w:rsidRPr="002335EA" w:rsidRDefault="00D66A70" w:rsidP="00D66A70">
            <w:pPr>
              <w:rPr>
                <w:sz w:val="20"/>
                <w:lang w:eastAsia="fi-FI"/>
              </w:rPr>
            </w:pPr>
            <w:proofErr w:type="spellStart"/>
            <w:r w:rsidRPr="002335EA">
              <w:rPr>
                <w:sz w:val="20"/>
                <w:lang w:eastAsia="fi-FI"/>
              </w:rPr>
              <w:t>ETBE</w:t>
            </w:r>
            <w:proofErr w:type="spellEnd"/>
            <w:r w:rsidRPr="002335EA">
              <w:rPr>
                <w:sz w:val="20"/>
                <w:lang w:eastAsia="fi-FI"/>
              </w:rPr>
              <w:t xml:space="preserve"> </w:t>
            </w:r>
            <w:proofErr w:type="spellStart"/>
            <w:r w:rsidRPr="002335EA">
              <w:rPr>
                <w:sz w:val="20"/>
                <w:lang w:eastAsia="fi-FI"/>
              </w:rPr>
              <w:t>snt</w:t>
            </w:r>
            <w:proofErr w:type="spellEnd"/>
            <w:r w:rsidRPr="002335EA">
              <w:rPr>
                <w:sz w:val="20"/>
                <w:lang w:eastAsia="fi-FI"/>
              </w:rPr>
              <w:t>/l</w:t>
            </w:r>
          </w:p>
        </w:tc>
        <w:tc>
          <w:tcPr>
            <w:tcW w:w="960" w:type="dxa"/>
            <w:shd w:val="clear" w:color="auto" w:fill="auto"/>
            <w:hideMark/>
          </w:tcPr>
          <w:p w:rsidR="00D66A70" w:rsidRPr="002335EA" w:rsidRDefault="00D66A70" w:rsidP="00D66A70">
            <w:pPr>
              <w:jc w:val="center"/>
              <w:rPr>
                <w:sz w:val="20"/>
                <w:lang w:eastAsia="fi-FI"/>
              </w:rPr>
            </w:pPr>
            <w:r w:rsidRPr="002335EA">
              <w:rPr>
                <w:sz w:val="20"/>
                <w:lang w:eastAsia="fi-FI"/>
              </w:rPr>
              <w:t>29</w:t>
            </w:r>
          </w:p>
        </w:tc>
        <w:tc>
          <w:tcPr>
            <w:tcW w:w="1178" w:type="dxa"/>
            <w:shd w:val="clear" w:color="auto" w:fill="auto"/>
            <w:hideMark/>
          </w:tcPr>
          <w:p w:rsidR="00D66A70" w:rsidRPr="002335EA" w:rsidRDefault="00D66A70" w:rsidP="00D66A70">
            <w:pPr>
              <w:jc w:val="center"/>
              <w:rPr>
                <w:i/>
                <w:sz w:val="20"/>
                <w:lang w:eastAsia="fi-FI"/>
              </w:rPr>
            </w:pPr>
            <w:r w:rsidRPr="002335EA">
              <w:rPr>
                <w:i/>
                <w:sz w:val="20"/>
                <w:lang w:eastAsia="fi-FI"/>
              </w:rPr>
              <w:t>48,55</w:t>
            </w:r>
          </w:p>
        </w:tc>
        <w:tc>
          <w:tcPr>
            <w:tcW w:w="1582" w:type="dxa"/>
            <w:shd w:val="clear" w:color="auto" w:fill="auto"/>
            <w:hideMark/>
          </w:tcPr>
          <w:p w:rsidR="00D66A70" w:rsidRPr="002335EA" w:rsidRDefault="00D66A70" w:rsidP="00D66A70">
            <w:pPr>
              <w:jc w:val="center"/>
              <w:rPr>
                <w:i/>
                <w:sz w:val="20"/>
                <w:lang w:eastAsia="fi-FI"/>
              </w:rPr>
            </w:pPr>
            <w:r w:rsidRPr="002335EA">
              <w:rPr>
                <w:i/>
                <w:sz w:val="20"/>
                <w:lang w:eastAsia="fi-FI"/>
              </w:rPr>
              <w:t>14,60</w:t>
            </w:r>
          </w:p>
        </w:tc>
        <w:tc>
          <w:tcPr>
            <w:tcW w:w="1160" w:type="dxa"/>
            <w:shd w:val="clear" w:color="auto" w:fill="auto"/>
            <w:hideMark/>
          </w:tcPr>
          <w:p w:rsidR="00D66A70" w:rsidRPr="002335EA" w:rsidRDefault="00D66A70" w:rsidP="00D66A70">
            <w:pPr>
              <w:jc w:val="center"/>
              <w:rPr>
                <w:sz w:val="20"/>
                <w:lang w:eastAsia="fi-FI"/>
              </w:rPr>
            </w:pPr>
            <w:r w:rsidRPr="002335EA">
              <w:rPr>
                <w:sz w:val="20"/>
                <w:lang w:eastAsia="fi-FI"/>
              </w:rPr>
              <w:t>0,68</w:t>
            </w:r>
          </w:p>
        </w:tc>
        <w:tc>
          <w:tcPr>
            <w:tcW w:w="960" w:type="dxa"/>
            <w:shd w:val="clear" w:color="auto" w:fill="auto"/>
            <w:hideMark/>
          </w:tcPr>
          <w:p w:rsidR="00D66A70" w:rsidRPr="002335EA" w:rsidRDefault="00D66A70" w:rsidP="00D66A70">
            <w:pPr>
              <w:jc w:val="center"/>
              <w:rPr>
                <w:i/>
                <w:sz w:val="20"/>
                <w:lang w:eastAsia="fi-FI"/>
              </w:rPr>
            </w:pPr>
            <w:r w:rsidRPr="002335EA">
              <w:rPr>
                <w:i/>
                <w:sz w:val="20"/>
                <w:lang w:eastAsia="fi-FI"/>
              </w:rPr>
              <w:t>63,83</w:t>
            </w:r>
          </w:p>
        </w:tc>
      </w:tr>
      <w:tr w:rsidR="00D66A70" w:rsidRPr="002335EA" w:rsidTr="00D66A70">
        <w:trPr>
          <w:trHeight w:val="260"/>
        </w:trPr>
        <w:tc>
          <w:tcPr>
            <w:tcW w:w="2540" w:type="dxa"/>
            <w:shd w:val="clear" w:color="auto" w:fill="auto"/>
            <w:hideMark/>
          </w:tcPr>
          <w:p w:rsidR="00D66A70" w:rsidRPr="002335EA" w:rsidRDefault="00D66A70" w:rsidP="00D66A70">
            <w:pPr>
              <w:rPr>
                <w:sz w:val="20"/>
                <w:lang w:eastAsia="fi-FI"/>
              </w:rPr>
            </w:pPr>
            <w:proofErr w:type="spellStart"/>
            <w:r w:rsidRPr="002335EA">
              <w:rPr>
                <w:sz w:val="20"/>
                <w:lang w:eastAsia="fi-FI"/>
              </w:rPr>
              <w:t>ETBE</w:t>
            </w:r>
            <w:proofErr w:type="spellEnd"/>
            <w:r w:rsidRPr="002335EA">
              <w:rPr>
                <w:sz w:val="20"/>
                <w:lang w:eastAsia="fi-FI"/>
              </w:rPr>
              <w:t xml:space="preserve"> R </w:t>
            </w:r>
            <w:proofErr w:type="spellStart"/>
            <w:r w:rsidRPr="002335EA">
              <w:rPr>
                <w:sz w:val="20"/>
                <w:lang w:eastAsia="fi-FI"/>
              </w:rPr>
              <w:t>snt</w:t>
            </w:r>
            <w:proofErr w:type="spellEnd"/>
            <w:r w:rsidRPr="002335EA">
              <w:rPr>
                <w:sz w:val="20"/>
                <w:lang w:eastAsia="fi-FI"/>
              </w:rPr>
              <w:t>/l</w:t>
            </w:r>
          </w:p>
        </w:tc>
        <w:tc>
          <w:tcPr>
            <w:tcW w:w="960" w:type="dxa"/>
            <w:shd w:val="clear" w:color="auto" w:fill="auto"/>
            <w:hideMark/>
          </w:tcPr>
          <w:p w:rsidR="00D66A70" w:rsidRPr="002335EA" w:rsidRDefault="00D66A70" w:rsidP="00D66A70">
            <w:pPr>
              <w:jc w:val="center"/>
              <w:rPr>
                <w:sz w:val="20"/>
                <w:lang w:eastAsia="fi-FI"/>
              </w:rPr>
            </w:pPr>
            <w:r w:rsidRPr="002335EA">
              <w:rPr>
                <w:sz w:val="20"/>
                <w:lang w:eastAsia="fi-FI"/>
              </w:rPr>
              <w:t>30</w:t>
            </w:r>
          </w:p>
        </w:tc>
        <w:tc>
          <w:tcPr>
            <w:tcW w:w="1178" w:type="dxa"/>
            <w:shd w:val="clear" w:color="auto" w:fill="auto"/>
            <w:hideMark/>
          </w:tcPr>
          <w:p w:rsidR="00D66A70" w:rsidRPr="002335EA" w:rsidRDefault="00D66A70" w:rsidP="00D66A70">
            <w:pPr>
              <w:jc w:val="center"/>
              <w:rPr>
                <w:i/>
                <w:sz w:val="20"/>
                <w:lang w:eastAsia="fi-FI"/>
              </w:rPr>
            </w:pPr>
            <w:r w:rsidRPr="002335EA">
              <w:rPr>
                <w:i/>
                <w:sz w:val="20"/>
                <w:lang w:eastAsia="fi-FI"/>
              </w:rPr>
              <w:t>48,55</w:t>
            </w:r>
          </w:p>
        </w:tc>
        <w:tc>
          <w:tcPr>
            <w:tcW w:w="1582" w:type="dxa"/>
            <w:shd w:val="clear" w:color="auto" w:fill="auto"/>
            <w:hideMark/>
          </w:tcPr>
          <w:p w:rsidR="00D66A70" w:rsidRPr="002335EA" w:rsidRDefault="00D66A70" w:rsidP="00D66A70">
            <w:pPr>
              <w:jc w:val="center"/>
              <w:rPr>
                <w:i/>
                <w:sz w:val="20"/>
                <w:lang w:eastAsia="fi-FI"/>
              </w:rPr>
            </w:pPr>
            <w:r w:rsidRPr="002335EA">
              <w:rPr>
                <w:i/>
                <w:sz w:val="20"/>
                <w:lang w:eastAsia="fi-FI"/>
              </w:rPr>
              <w:t>11,90</w:t>
            </w:r>
          </w:p>
        </w:tc>
        <w:tc>
          <w:tcPr>
            <w:tcW w:w="1160" w:type="dxa"/>
            <w:shd w:val="clear" w:color="auto" w:fill="auto"/>
            <w:hideMark/>
          </w:tcPr>
          <w:p w:rsidR="00D66A70" w:rsidRPr="002335EA" w:rsidRDefault="00D66A70" w:rsidP="00D66A70">
            <w:pPr>
              <w:jc w:val="center"/>
              <w:rPr>
                <w:sz w:val="20"/>
                <w:lang w:eastAsia="fi-FI"/>
              </w:rPr>
            </w:pPr>
            <w:r w:rsidRPr="002335EA">
              <w:rPr>
                <w:sz w:val="20"/>
                <w:lang w:eastAsia="fi-FI"/>
              </w:rPr>
              <w:t>0,68</w:t>
            </w:r>
          </w:p>
        </w:tc>
        <w:tc>
          <w:tcPr>
            <w:tcW w:w="960" w:type="dxa"/>
            <w:shd w:val="clear" w:color="auto" w:fill="auto"/>
            <w:hideMark/>
          </w:tcPr>
          <w:p w:rsidR="00D66A70" w:rsidRPr="002335EA" w:rsidRDefault="00D66A70" w:rsidP="00D66A70">
            <w:pPr>
              <w:jc w:val="center"/>
              <w:rPr>
                <w:i/>
                <w:sz w:val="20"/>
                <w:lang w:eastAsia="fi-FI"/>
              </w:rPr>
            </w:pPr>
            <w:r w:rsidRPr="002335EA">
              <w:rPr>
                <w:i/>
                <w:sz w:val="20"/>
                <w:lang w:eastAsia="fi-FI"/>
              </w:rPr>
              <w:t>61,13</w:t>
            </w:r>
          </w:p>
        </w:tc>
      </w:tr>
      <w:tr w:rsidR="00D66A70" w:rsidRPr="002335EA" w:rsidTr="00D66A70">
        <w:trPr>
          <w:trHeight w:val="260"/>
        </w:trPr>
        <w:tc>
          <w:tcPr>
            <w:tcW w:w="2540" w:type="dxa"/>
            <w:shd w:val="clear" w:color="auto" w:fill="auto"/>
            <w:hideMark/>
          </w:tcPr>
          <w:p w:rsidR="00D66A70" w:rsidRPr="002335EA" w:rsidRDefault="00D66A70" w:rsidP="00D66A70">
            <w:pPr>
              <w:rPr>
                <w:sz w:val="20"/>
                <w:lang w:eastAsia="fi-FI"/>
              </w:rPr>
            </w:pPr>
            <w:proofErr w:type="spellStart"/>
            <w:r w:rsidRPr="002335EA">
              <w:rPr>
                <w:sz w:val="20"/>
                <w:lang w:eastAsia="fi-FI"/>
              </w:rPr>
              <w:t>ETBE</w:t>
            </w:r>
            <w:proofErr w:type="spellEnd"/>
            <w:r w:rsidRPr="002335EA">
              <w:rPr>
                <w:sz w:val="20"/>
                <w:lang w:eastAsia="fi-FI"/>
              </w:rPr>
              <w:t xml:space="preserve"> T </w:t>
            </w:r>
            <w:proofErr w:type="spellStart"/>
            <w:r w:rsidRPr="002335EA">
              <w:rPr>
                <w:sz w:val="20"/>
                <w:lang w:eastAsia="fi-FI"/>
              </w:rPr>
              <w:t>snt</w:t>
            </w:r>
            <w:proofErr w:type="spellEnd"/>
            <w:r w:rsidRPr="002335EA">
              <w:rPr>
                <w:sz w:val="20"/>
                <w:lang w:eastAsia="fi-FI"/>
              </w:rPr>
              <w:t>/l</w:t>
            </w:r>
          </w:p>
        </w:tc>
        <w:tc>
          <w:tcPr>
            <w:tcW w:w="960" w:type="dxa"/>
            <w:shd w:val="clear" w:color="auto" w:fill="auto"/>
            <w:hideMark/>
          </w:tcPr>
          <w:p w:rsidR="00D66A70" w:rsidRPr="002335EA" w:rsidRDefault="00D66A70" w:rsidP="00D66A70">
            <w:pPr>
              <w:jc w:val="center"/>
              <w:rPr>
                <w:sz w:val="20"/>
                <w:lang w:eastAsia="fi-FI"/>
              </w:rPr>
            </w:pPr>
            <w:r w:rsidRPr="002335EA">
              <w:rPr>
                <w:sz w:val="20"/>
                <w:lang w:eastAsia="fi-FI"/>
              </w:rPr>
              <w:t>31</w:t>
            </w:r>
          </w:p>
        </w:tc>
        <w:tc>
          <w:tcPr>
            <w:tcW w:w="1178" w:type="dxa"/>
            <w:shd w:val="clear" w:color="auto" w:fill="auto"/>
            <w:hideMark/>
          </w:tcPr>
          <w:p w:rsidR="00D66A70" w:rsidRPr="002335EA" w:rsidRDefault="00D66A70" w:rsidP="00D66A70">
            <w:pPr>
              <w:jc w:val="center"/>
              <w:rPr>
                <w:i/>
                <w:sz w:val="20"/>
                <w:lang w:eastAsia="fi-FI"/>
              </w:rPr>
            </w:pPr>
            <w:r w:rsidRPr="002335EA">
              <w:rPr>
                <w:i/>
                <w:sz w:val="20"/>
                <w:lang w:eastAsia="fi-FI"/>
              </w:rPr>
              <w:t>48,55</w:t>
            </w:r>
          </w:p>
        </w:tc>
        <w:tc>
          <w:tcPr>
            <w:tcW w:w="1582" w:type="dxa"/>
            <w:shd w:val="clear" w:color="auto" w:fill="auto"/>
            <w:hideMark/>
          </w:tcPr>
          <w:p w:rsidR="00D66A70" w:rsidRPr="002335EA" w:rsidRDefault="00D66A70" w:rsidP="00D66A70">
            <w:pPr>
              <w:jc w:val="center"/>
              <w:rPr>
                <w:i/>
                <w:sz w:val="20"/>
                <w:lang w:eastAsia="fi-FI"/>
              </w:rPr>
            </w:pPr>
            <w:r w:rsidRPr="002335EA">
              <w:rPr>
                <w:i/>
                <w:sz w:val="20"/>
                <w:lang w:eastAsia="fi-FI"/>
              </w:rPr>
              <w:t>9,20</w:t>
            </w:r>
          </w:p>
        </w:tc>
        <w:tc>
          <w:tcPr>
            <w:tcW w:w="1160" w:type="dxa"/>
            <w:shd w:val="clear" w:color="auto" w:fill="auto"/>
            <w:hideMark/>
          </w:tcPr>
          <w:p w:rsidR="00D66A70" w:rsidRPr="002335EA" w:rsidRDefault="00D66A70" w:rsidP="00D66A70">
            <w:pPr>
              <w:jc w:val="center"/>
              <w:rPr>
                <w:sz w:val="20"/>
                <w:lang w:eastAsia="fi-FI"/>
              </w:rPr>
            </w:pPr>
            <w:r w:rsidRPr="002335EA">
              <w:rPr>
                <w:sz w:val="20"/>
                <w:lang w:eastAsia="fi-FI"/>
              </w:rPr>
              <w:t>0,68</w:t>
            </w:r>
          </w:p>
        </w:tc>
        <w:tc>
          <w:tcPr>
            <w:tcW w:w="960" w:type="dxa"/>
            <w:shd w:val="clear" w:color="auto" w:fill="auto"/>
            <w:hideMark/>
          </w:tcPr>
          <w:p w:rsidR="00D66A70" w:rsidRPr="002335EA" w:rsidRDefault="00D66A70" w:rsidP="00D66A70">
            <w:pPr>
              <w:jc w:val="center"/>
              <w:rPr>
                <w:i/>
                <w:sz w:val="20"/>
                <w:lang w:eastAsia="fi-FI"/>
              </w:rPr>
            </w:pPr>
            <w:r w:rsidRPr="002335EA">
              <w:rPr>
                <w:i/>
                <w:sz w:val="20"/>
                <w:lang w:eastAsia="fi-FI"/>
              </w:rPr>
              <w:t>58,43</w:t>
            </w:r>
          </w:p>
        </w:tc>
      </w:tr>
      <w:tr w:rsidR="00D66A70" w:rsidRPr="002335EA" w:rsidTr="00D66A70">
        <w:trPr>
          <w:trHeight w:val="260"/>
        </w:trPr>
        <w:tc>
          <w:tcPr>
            <w:tcW w:w="2540" w:type="dxa"/>
            <w:shd w:val="clear" w:color="auto" w:fill="auto"/>
            <w:hideMark/>
          </w:tcPr>
          <w:p w:rsidR="00D66A70" w:rsidRPr="002335EA" w:rsidRDefault="00D66A70" w:rsidP="00D66A70">
            <w:pPr>
              <w:rPr>
                <w:sz w:val="20"/>
                <w:lang w:eastAsia="fi-FI"/>
              </w:rPr>
            </w:pPr>
            <w:proofErr w:type="spellStart"/>
            <w:r w:rsidRPr="002335EA">
              <w:rPr>
                <w:sz w:val="20"/>
                <w:lang w:eastAsia="fi-FI"/>
              </w:rPr>
              <w:t>TAEE</w:t>
            </w:r>
            <w:proofErr w:type="spellEnd"/>
            <w:r w:rsidRPr="002335EA">
              <w:rPr>
                <w:sz w:val="20"/>
                <w:lang w:eastAsia="fi-FI"/>
              </w:rPr>
              <w:t xml:space="preserve"> </w:t>
            </w:r>
            <w:proofErr w:type="spellStart"/>
            <w:r w:rsidRPr="002335EA">
              <w:rPr>
                <w:sz w:val="20"/>
                <w:lang w:eastAsia="fi-FI"/>
              </w:rPr>
              <w:t>snt</w:t>
            </w:r>
            <w:proofErr w:type="spellEnd"/>
            <w:r w:rsidRPr="002335EA">
              <w:rPr>
                <w:sz w:val="20"/>
                <w:lang w:eastAsia="fi-FI"/>
              </w:rPr>
              <w:t>/l</w:t>
            </w:r>
          </w:p>
        </w:tc>
        <w:tc>
          <w:tcPr>
            <w:tcW w:w="960" w:type="dxa"/>
            <w:shd w:val="clear" w:color="auto" w:fill="auto"/>
            <w:hideMark/>
          </w:tcPr>
          <w:p w:rsidR="00D66A70" w:rsidRPr="002335EA" w:rsidRDefault="00D66A70" w:rsidP="00D66A70">
            <w:pPr>
              <w:jc w:val="center"/>
              <w:rPr>
                <w:sz w:val="20"/>
                <w:lang w:eastAsia="fi-FI"/>
              </w:rPr>
            </w:pPr>
            <w:r w:rsidRPr="002335EA">
              <w:rPr>
                <w:sz w:val="20"/>
                <w:lang w:eastAsia="fi-FI"/>
              </w:rPr>
              <w:t>32</w:t>
            </w:r>
          </w:p>
        </w:tc>
        <w:tc>
          <w:tcPr>
            <w:tcW w:w="1178" w:type="dxa"/>
            <w:shd w:val="clear" w:color="auto" w:fill="auto"/>
            <w:hideMark/>
          </w:tcPr>
          <w:p w:rsidR="00D66A70" w:rsidRPr="002335EA" w:rsidRDefault="00D66A70" w:rsidP="00D66A70">
            <w:pPr>
              <w:jc w:val="center"/>
              <w:rPr>
                <w:i/>
                <w:sz w:val="20"/>
                <w:lang w:eastAsia="fi-FI"/>
              </w:rPr>
            </w:pPr>
            <w:r w:rsidRPr="002335EA">
              <w:rPr>
                <w:i/>
                <w:sz w:val="20"/>
                <w:lang w:eastAsia="fi-FI"/>
              </w:rPr>
              <w:t>52,14</w:t>
            </w:r>
          </w:p>
        </w:tc>
        <w:tc>
          <w:tcPr>
            <w:tcW w:w="1582" w:type="dxa"/>
            <w:shd w:val="clear" w:color="auto" w:fill="auto"/>
            <w:hideMark/>
          </w:tcPr>
          <w:p w:rsidR="00D66A70" w:rsidRPr="002335EA" w:rsidRDefault="00D66A70" w:rsidP="00D66A70">
            <w:pPr>
              <w:jc w:val="center"/>
              <w:rPr>
                <w:i/>
                <w:sz w:val="20"/>
                <w:lang w:eastAsia="fi-FI"/>
              </w:rPr>
            </w:pPr>
            <w:r w:rsidRPr="002335EA">
              <w:rPr>
                <w:i/>
                <w:sz w:val="20"/>
                <w:lang w:eastAsia="fi-FI"/>
              </w:rPr>
              <w:t>15,68</w:t>
            </w:r>
          </w:p>
        </w:tc>
        <w:tc>
          <w:tcPr>
            <w:tcW w:w="1160" w:type="dxa"/>
            <w:shd w:val="clear" w:color="auto" w:fill="auto"/>
            <w:hideMark/>
          </w:tcPr>
          <w:p w:rsidR="00D66A70" w:rsidRPr="002335EA" w:rsidRDefault="00D66A70" w:rsidP="00D66A70">
            <w:pPr>
              <w:jc w:val="center"/>
              <w:rPr>
                <w:sz w:val="20"/>
                <w:lang w:eastAsia="fi-FI"/>
              </w:rPr>
            </w:pPr>
            <w:r w:rsidRPr="002335EA">
              <w:rPr>
                <w:sz w:val="20"/>
                <w:lang w:eastAsia="fi-FI"/>
              </w:rPr>
              <w:t>0,68</w:t>
            </w:r>
          </w:p>
        </w:tc>
        <w:tc>
          <w:tcPr>
            <w:tcW w:w="960" w:type="dxa"/>
            <w:shd w:val="clear" w:color="auto" w:fill="auto"/>
            <w:hideMark/>
          </w:tcPr>
          <w:p w:rsidR="00D66A70" w:rsidRPr="002335EA" w:rsidRDefault="00D66A70" w:rsidP="00D66A70">
            <w:pPr>
              <w:jc w:val="center"/>
              <w:rPr>
                <w:i/>
                <w:sz w:val="20"/>
                <w:lang w:eastAsia="fi-FI"/>
              </w:rPr>
            </w:pPr>
            <w:r w:rsidRPr="002335EA">
              <w:rPr>
                <w:i/>
                <w:sz w:val="20"/>
                <w:lang w:eastAsia="fi-FI"/>
              </w:rPr>
              <w:t>68,50</w:t>
            </w:r>
          </w:p>
        </w:tc>
      </w:tr>
      <w:tr w:rsidR="00D66A70" w:rsidRPr="002335EA" w:rsidTr="00D66A70">
        <w:trPr>
          <w:trHeight w:val="260"/>
        </w:trPr>
        <w:tc>
          <w:tcPr>
            <w:tcW w:w="2540" w:type="dxa"/>
            <w:shd w:val="clear" w:color="auto" w:fill="auto"/>
            <w:hideMark/>
          </w:tcPr>
          <w:p w:rsidR="00D66A70" w:rsidRPr="002335EA" w:rsidRDefault="00D66A70" w:rsidP="00D66A70">
            <w:pPr>
              <w:rPr>
                <w:sz w:val="20"/>
                <w:lang w:eastAsia="fi-FI"/>
              </w:rPr>
            </w:pPr>
            <w:proofErr w:type="spellStart"/>
            <w:r w:rsidRPr="002335EA">
              <w:rPr>
                <w:sz w:val="20"/>
                <w:lang w:eastAsia="fi-FI"/>
              </w:rPr>
              <w:t>TAEE</w:t>
            </w:r>
            <w:proofErr w:type="spellEnd"/>
            <w:r w:rsidRPr="002335EA">
              <w:rPr>
                <w:sz w:val="20"/>
                <w:lang w:eastAsia="fi-FI"/>
              </w:rPr>
              <w:t xml:space="preserve"> R </w:t>
            </w:r>
            <w:proofErr w:type="spellStart"/>
            <w:r w:rsidRPr="002335EA">
              <w:rPr>
                <w:sz w:val="20"/>
                <w:lang w:eastAsia="fi-FI"/>
              </w:rPr>
              <w:t>snt</w:t>
            </w:r>
            <w:proofErr w:type="spellEnd"/>
            <w:r w:rsidRPr="002335EA">
              <w:rPr>
                <w:sz w:val="20"/>
                <w:lang w:eastAsia="fi-FI"/>
              </w:rPr>
              <w:t>/l</w:t>
            </w:r>
          </w:p>
        </w:tc>
        <w:tc>
          <w:tcPr>
            <w:tcW w:w="960" w:type="dxa"/>
            <w:shd w:val="clear" w:color="auto" w:fill="auto"/>
            <w:hideMark/>
          </w:tcPr>
          <w:p w:rsidR="00D66A70" w:rsidRPr="002335EA" w:rsidRDefault="00D66A70" w:rsidP="00D66A70">
            <w:pPr>
              <w:jc w:val="center"/>
              <w:rPr>
                <w:sz w:val="20"/>
                <w:lang w:eastAsia="fi-FI"/>
              </w:rPr>
            </w:pPr>
            <w:r w:rsidRPr="002335EA">
              <w:rPr>
                <w:sz w:val="20"/>
                <w:lang w:eastAsia="fi-FI"/>
              </w:rPr>
              <w:t>33</w:t>
            </w:r>
          </w:p>
        </w:tc>
        <w:tc>
          <w:tcPr>
            <w:tcW w:w="1178" w:type="dxa"/>
            <w:shd w:val="clear" w:color="auto" w:fill="auto"/>
            <w:hideMark/>
          </w:tcPr>
          <w:p w:rsidR="00D66A70" w:rsidRPr="002335EA" w:rsidRDefault="00D66A70" w:rsidP="00D66A70">
            <w:pPr>
              <w:jc w:val="center"/>
              <w:rPr>
                <w:i/>
                <w:sz w:val="20"/>
                <w:lang w:eastAsia="fi-FI"/>
              </w:rPr>
            </w:pPr>
            <w:r w:rsidRPr="002335EA">
              <w:rPr>
                <w:i/>
                <w:sz w:val="20"/>
                <w:lang w:eastAsia="fi-FI"/>
              </w:rPr>
              <w:t>52,14</w:t>
            </w:r>
          </w:p>
        </w:tc>
        <w:tc>
          <w:tcPr>
            <w:tcW w:w="1582" w:type="dxa"/>
            <w:shd w:val="clear" w:color="auto" w:fill="auto"/>
            <w:hideMark/>
          </w:tcPr>
          <w:p w:rsidR="00D66A70" w:rsidRPr="002335EA" w:rsidRDefault="00D66A70" w:rsidP="00D66A70">
            <w:pPr>
              <w:jc w:val="center"/>
              <w:rPr>
                <w:i/>
                <w:sz w:val="20"/>
                <w:lang w:eastAsia="fi-FI"/>
              </w:rPr>
            </w:pPr>
            <w:r w:rsidRPr="002335EA">
              <w:rPr>
                <w:i/>
                <w:sz w:val="20"/>
                <w:lang w:eastAsia="fi-FI"/>
              </w:rPr>
              <w:t>13,41</w:t>
            </w:r>
          </w:p>
        </w:tc>
        <w:tc>
          <w:tcPr>
            <w:tcW w:w="1160" w:type="dxa"/>
            <w:shd w:val="clear" w:color="auto" w:fill="auto"/>
            <w:hideMark/>
          </w:tcPr>
          <w:p w:rsidR="00D66A70" w:rsidRPr="002335EA" w:rsidRDefault="00D66A70" w:rsidP="00D66A70">
            <w:pPr>
              <w:jc w:val="center"/>
              <w:rPr>
                <w:sz w:val="20"/>
                <w:lang w:eastAsia="fi-FI"/>
              </w:rPr>
            </w:pPr>
            <w:r w:rsidRPr="002335EA">
              <w:rPr>
                <w:sz w:val="20"/>
                <w:lang w:eastAsia="fi-FI"/>
              </w:rPr>
              <w:t>0,68</w:t>
            </w:r>
          </w:p>
        </w:tc>
        <w:tc>
          <w:tcPr>
            <w:tcW w:w="960" w:type="dxa"/>
            <w:shd w:val="clear" w:color="auto" w:fill="auto"/>
            <w:hideMark/>
          </w:tcPr>
          <w:p w:rsidR="00D66A70" w:rsidRPr="002335EA" w:rsidRDefault="00D66A70" w:rsidP="00D66A70">
            <w:pPr>
              <w:jc w:val="center"/>
              <w:rPr>
                <w:i/>
                <w:sz w:val="20"/>
                <w:lang w:eastAsia="fi-FI"/>
              </w:rPr>
            </w:pPr>
            <w:r w:rsidRPr="002335EA">
              <w:rPr>
                <w:i/>
                <w:sz w:val="20"/>
                <w:lang w:eastAsia="fi-FI"/>
              </w:rPr>
              <w:t>66,23</w:t>
            </w:r>
          </w:p>
        </w:tc>
      </w:tr>
      <w:tr w:rsidR="00D66A70" w:rsidRPr="002335EA" w:rsidTr="00D66A70">
        <w:trPr>
          <w:trHeight w:val="260"/>
        </w:trPr>
        <w:tc>
          <w:tcPr>
            <w:tcW w:w="2540" w:type="dxa"/>
            <w:shd w:val="clear" w:color="auto" w:fill="auto"/>
            <w:hideMark/>
          </w:tcPr>
          <w:p w:rsidR="00D66A70" w:rsidRPr="002335EA" w:rsidRDefault="00D66A70" w:rsidP="00D66A70">
            <w:pPr>
              <w:rPr>
                <w:sz w:val="20"/>
                <w:lang w:eastAsia="fi-FI"/>
              </w:rPr>
            </w:pPr>
            <w:proofErr w:type="spellStart"/>
            <w:r w:rsidRPr="002335EA">
              <w:rPr>
                <w:sz w:val="20"/>
                <w:lang w:eastAsia="fi-FI"/>
              </w:rPr>
              <w:t>TAEE</w:t>
            </w:r>
            <w:proofErr w:type="spellEnd"/>
            <w:r w:rsidRPr="002335EA">
              <w:rPr>
                <w:sz w:val="20"/>
                <w:lang w:eastAsia="fi-FI"/>
              </w:rPr>
              <w:t xml:space="preserve"> T </w:t>
            </w:r>
            <w:proofErr w:type="spellStart"/>
            <w:r w:rsidRPr="002335EA">
              <w:rPr>
                <w:sz w:val="20"/>
                <w:lang w:eastAsia="fi-FI"/>
              </w:rPr>
              <w:t>snt</w:t>
            </w:r>
            <w:proofErr w:type="spellEnd"/>
            <w:r w:rsidRPr="002335EA">
              <w:rPr>
                <w:sz w:val="20"/>
                <w:lang w:eastAsia="fi-FI"/>
              </w:rPr>
              <w:t>/l</w:t>
            </w:r>
          </w:p>
        </w:tc>
        <w:tc>
          <w:tcPr>
            <w:tcW w:w="960" w:type="dxa"/>
            <w:shd w:val="clear" w:color="auto" w:fill="auto"/>
            <w:hideMark/>
          </w:tcPr>
          <w:p w:rsidR="00D66A70" w:rsidRPr="002335EA" w:rsidRDefault="00D66A70" w:rsidP="00D66A70">
            <w:pPr>
              <w:jc w:val="center"/>
              <w:rPr>
                <w:sz w:val="20"/>
                <w:lang w:eastAsia="fi-FI"/>
              </w:rPr>
            </w:pPr>
            <w:r w:rsidRPr="002335EA">
              <w:rPr>
                <w:sz w:val="20"/>
                <w:lang w:eastAsia="fi-FI"/>
              </w:rPr>
              <w:t>34</w:t>
            </w:r>
          </w:p>
        </w:tc>
        <w:tc>
          <w:tcPr>
            <w:tcW w:w="1178" w:type="dxa"/>
            <w:shd w:val="clear" w:color="auto" w:fill="auto"/>
            <w:hideMark/>
          </w:tcPr>
          <w:p w:rsidR="00D66A70" w:rsidRPr="002335EA" w:rsidRDefault="00D66A70" w:rsidP="00D66A70">
            <w:pPr>
              <w:jc w:val="center"/>
              <w:rPr>
                <w:i/>
                <w:sz w:val="20"/>
                <w:lang w:eastAsia="fi-FI"/>
              </w:rPr>
            </w:pPr>
            <w:r w:rsidRPr="002335EA">
              <w:rPr>
                <w:i/>
                <w:sz w:val="20"/>
                <w:lang w:eastAsia="fi-FI"/>
              </w:rPr>
              <w:t>52,14</w:t>
            </w:r>
          </w:p>
        </w:tc>
        <w:tc>
          <w:tcPr>
            <w:tcW w:w="1582" w:type="dxa"/>
            <w:shd w:val="clear" w:color="auto" w:fill="auto"/>
            <w:hideMark/>
          </w:tcPr>
          <w:p w:rsidR="00D66A70" w:rsidRPr="002335EA" w:rsidRDefault="00D66A70" w:rsidP="00D66A70">
            <w:pPr>
              <w:jc w:val="center"/>
              <w:rPr>
                <w:i/>
                <w:sz w:val="20"/>
                <w:lang w:eastAsia="fi-FI"/>
              </w:rPr>
            </w:pPr>
            <w:r w:rsidRPr="002335EA">
              <w:rPr>
                <w:i/>
                <w:sz w:val="20"/>
                <w:lang w:eastAsia="fi-FI"/>
              </w:rPr>
              <w:t>11,13</w:t>
            </w:r>
          </w:p>
        </w:tc>
        <w:tc>
          <w:tcPr>
            <w:tcW w:w="1160" w:type="dxa"/>
            <w:shd w:val="clear" w:color="auto" w:fill="auto"/>
            <w:hideMark/>
          </w:tcPr>
          <w:p w:rsidR="00D66A70" w:rsidRPr="002335EA" w:rsidRDefault="00D66A70" w:rsidP="00D66A70">
            <w:pPr>
              <w:jc w:val="center"/>
              <w:rPr>
                <w:sz w:val="20"/>
                <w:lang w:eastAsia="fi-FI"/>
              </w:rPr>
            </w:pPr>
            <w:r w:rsidRPr="002335EA">
              <w:rPr>
                <w:sz w:val="20"/>
                <w:lang w:eastAsia="fi-FI"/>
              </w:rPr>
              <w:t>0,68</w:t>
            </w:r>
          </w:p>
        </w:tc>
        <w:tc>
          <w:tcPr>
            <w:tcW w:w="960" w:type="dxa"/>
            <w:shd w:val="clear" w:color="auto" w:fill="auto"/>
            <w:hideMark/>
          </w:tcPr>
          <w:p w:rsidR="00D66A70" w:rsidRPr="002335EA" w:rsidRDefault="00D66A70" w:rsidP="00D66A70">
            <w:pPr>
              <w:jc w:val="center"/>
              <w:rPr>
                <w:i/>
                <w:sz w:val="20"/>
                <w:lang w:eastAsia="fi-FI"/>
              </w:rPr>
            </w:pPr>
            <w:r w:rsidRPr="002335EA">
              <w:rPr>
                <w:i/>
                <w:sz w:val="20"/>
                <w:lang w:eastAsia="fi-FI"/>
              </w:rPr>
              <w:t>63,95</w:t>
            </w:r>
          </w:p>
        </w:tc>
      </w:tr>
      <w:tr w:rsidR="00D66A70" w:rsidRPr="002335EA" w:rsidTr="00D66A70">
        <w:trPr>
          <w:trHeight w:val="260"/>
        </w:trPr>
        <w:tc>
          <w:tcPr>
            <w:tcW w:w="2540" w:type="dxa"/>
            <w:shd w:val="clear" w:color="auto" w:fill="auto"/>
            <w:hideMark/>
          </w:tcPr>
          <w:p w:rsidR="00D66A70" w:rsidRPr="002335EA" w:rsidRDefault="00D66A70" w:rsidP="00D66A70">
            <w:pPr>
              <w:rPr>
                <w:sz w:val="20"/>
                <w:lang w:eastAsia="fi-FI"/>
              </w:rPr>
            </w:pPr>
            <w:r w:rsidRPr="002335EA">
              <w:rPr>
                <w:sz w:val="20"/>
                <w:lang w:eastAsia="fi-FI"/>
              </w:rPr>
              <w:t xml:space="preserve">Biobensiini </w:t>
            </w:r>
            <w:proofErr w:type="spellStart"/>
            <w:r w:rsidRPr="002335EA">
              <w:rPr>
                <w:sz w:val="20"/>
                <w:lang w:eastAsia="fi-FI"/>
              </w:rPr>
              <w:t>snt</w:t>
            </w:r>
            <w:proofErr w:type="spellEnd"/>
            <w:r w:rsidRPr="002335EA">
              <w:rPr>
                <w:sz w:val="20"/>
                <w:lang w:eastAsia="fi-FI"/>
              </w:rPr>
              <w:t>/l</w:t>
            </w:r>
          </w:p>
        </w:tc>
        <w:tc>
          <w:tcPr>
            <w:tcW w:w="960" w:type="dxa"/>
            <w:shd w:val="clear" w:color="auto" w:fill="auto"/>
            <w:hideMark/>
          </w:tcPr>
          <w:p w:rsidR="00D66A70" w:rsidRPr="002335EA" w:rsidRDefault="00D66A70" w:rsidP="00D66A70">
            <w:pPr>
              <w:jc w:val="center"/>
              <w:rPr>
                <w:sz w:val="20"/>
                <w:lang w:eastAsia="fi-FI"/>
              </w:rPr>
            </w:pPr>
            <w:r w:rsidRPr="002335EA">
              <w:rPr>
                <w:sz w:val="20"/>
                <w:lang w:eastAsia="fi-FI"/>
              </w:rPr>
              <w:t>38</w:t>
            </w:r>
          </w:p>
        </w:tc>
        <w:tc>
          <w:tcPr>
            <w:tcW w:w="1178" w:type="dxa"/>
            <w:shd w:val="clear" w:color="auto" w:fill="auto"/>
            <w:hideMark/>
          </w:tcPr>
          <w:p w:rsidR="00D66A70" w:rsidRPr="002335EA" w:rsidRDefault="00D66A70" w:rsidP="00D66A70">
            <w:pPr>
              <w:jc w:val="center"/>
              <w:rPr>
                <w:i/>
                <w:sz w:val="20"/>
                <w:lang w:eastAsia="fi-FI"/>
              </w:rPr>
            </w:pPr>
            <w:r w:rsidRPr="002335EA">
              <w:rPr>
                <w:i/>
                <w:sz w:val="20"/>
                <w:lang w:eastAsia="fi-FI"/>
              </w:rPr>
              <w:t>57,54</w:t>
            </w:r>
          </w:p>
        </w:tc>
        <w:tc>
          <w:tcPr>
            <w:tcW w:w="1582" w:type="dxa"/>
            <w:shd w:val="clear" w:color="auto" w:fill="auto"/>
            <w:hideMark/>
          </w:tcPr>
          <w:p w:rsidR="00D66A70" w:rsidRPr="002335EA" w:rsidRDefault="00D66A70" w:rsidP="00D66A70">
            <w:pPr>
              <w:jc w:val="center"/>
              <w:rPr>
                <w:i/>
                <w:sz w:val="20"/>
                <w:lang w:eastAsia="fi-FI"/>
              </w:rPr>
            </w:pPr>
            <w:r w:rsidRPr="002335EA">
              <w:rPr>
                <w:i/>
                <w:sz w:val="20"/>
                <w:lang w:eastAsia="fi-FI"/>
              </w:rPr>
              <w:t>17,30</w:t>
            </w:r>
          </w:p>
        </w:tc>
        <w:tc>
          <w:tcPr>
            <w:tcW w:w="1160" w:type="dxa"/>
            <w:shd w:val="clear" w:color="auto" w:fill="auto"/>
            <w:hideMark/>
          </w:tcPr>
          <w:p w:rsidR="00D66A70" w:rsidRPr="002335EA" w:rsidRDefault="00D66A70" w:rsidP="00D66A70">
            <w:pPr>
              <w:jc w:val="center"/>
              <w:rPr>
                <w:sz w:val="20"/>
                <w:lang w:eastAsia="fi-FI"/>
              </w:rPr>
            </w:pPr>
            <w:r w:rsidRPr="002335EA">
              <w:rPr>
                <w:sz w:val="20"/>
                <w:lang w:eastAsia="fi-FI"/>
              </w:rPr>
              <w:t>0,68</w:t>
            </w:r>
          </w:p>
        </w:tc>
        <w:tc>
          <w:tcPr>
            <w:tcW w:w="960" w:type="dxa"/>
            <w:shd w:val="clear" w:color="auto" w:fill="auto"/>
            <w:hideMark/>
          </w:tcPr>
          <w:p w:rsidR="00D66A70" w:rsidRPr="002335EA" w:rsidRDefault="00D66A70" w:rsidP="00D66A70">
            <w:pPr>
              <w:jc w:val="center"/>
              <w:rPr>
                <w:i/>
                <w:sz w:val="20"/>
                <w:lang w:eastAsia="fi-FI"/>
              </w:rPr>
            </w:pPr>
            <w:r w:rsidRPr="002335EA">
              <w:rPr>
                <w:i/>
                <w:sz w:val="20"/>
                <w:lang w:eastAsia="fi-FI"/>
              </w:rPr>
              <w:t>75,52</w:t>
            </w:r>
          </w:p>
        </w:tc>
      </w:tr>
      <w:tr w:rsidR="00D66A70" w:rsidRPr="002335EA" w:rsidTr="00D66A70">
        <w:trPr>
          <w:trHeight w:val="260"/>
        </w:trPr>
        <w:tc>
          <w:tcPr>
            <w:tcW w:w="2540" w:type="dxa"/>
            <w:shd w:val="clear" w:color="auto" w:fill="auto"/>
            <w:hideMark/>
          </w:tcPr>
          <w:p w:rsidR="00D66A70" w:rsidRPr="002335EA" w:rsidRDefault="00D66A70" w:rsidP="00D66A70">
            <w:pPr>
              <w:rPr>
                <w:sz w:val="20"/>
                <w:lang w:eastAsia="fi-FI"/>
              </w:rPr>
            </w:pPr>
            <w:r w:rsidRPr="002335EA">
              <w:rPr>
                <w:sz w:val="20"/>
                <w:lang w:eastAsia="fi-FI"/>
              </w:rPr>
              <w:t xml:space="preserve">Biobensiini R </w:t>
            </w:r>
            <w:proofErr w:type="spellStart"/>
            <w:r w:rsidRPr="002335EA">
              <w:rPr>
                <w:sz w:val="20"/>
                <w:lang w:eastAsia="fi-FI"/>
              </w:rPr>
              <w:t>snt</w:t>
            </w:r>
            <w:proofErr w:type="spellEnd"/>
            <w:r w:rsidRPr="002335EA">
              <w:rPr>
                <w:sz w:val="20"/>
                <w:lang w:eastAsia="fi-FI"/>
              </w:rPr>
              <w:t>/l</w:t>
            </w:r>
          </w:p>
        </w:tc>
        <w:tc>
          <w:tcPr>
            <w:tcW w:w="960" w:type="dxa"/>
            <w:shd w:val="clear" w:color="auto" w:fill="auto"/>
            <w:hideMark/>
          </w:tcPr>
          <w:p w:rsidR="00D66A70" w:rsidRPr="002335EA" w:rsidRDefault="00D66A70" w:rsidP="00D66A70">
            <w:pPr>
              <w:jc w:val="center"/>
              <w:rPr>
                <w:sz w:val="20"/>
                <w:lang w:eastAsia="fi-FI"/>
              </w:rPr>
            </w:pPr>
            <w:r w:rsidRPr="002335EA">
              <w:rPr>
                <w:sz w:val="20"/>
                <w:lang w:eastAsia="fi-FI"/>
              </w:rPr>
              <w:t>39</w:t>
            </w:r>
          </w:p>
        </w:tc>
        <w:tc>
          <w:tcPr>
            <w:tcW w:w="1178" w:type="dxa"/>
            <w:shd w:val="clear" w:color="auto" w:fill="auto"/>
            <w:hideMark/>
          </w:tcPr>
          <w:p w:rsidR="00D66A70" w:rsidRPr="002335EA" w:rsidRDefault="00D66A70" w:rsidP="00D66A70">
            <w:pPr>
              <w:jc w:val="center"/>
              <w:rPr>
                <w:i/>
                <w:sz w:val="20"/>
                <w:lang w:eastAsia="fi-FI"/>
              </w:rPr>
            </w:pPr>
            <w:r w:rsidRPr="002335EA">
              <w:rPr>
                <w:i/>
                <w:sz w:val="20"/>
                <w:lang w:eastAsia="fi-FI"/>
              </w:rPr>
              <w:t>57,54</w:t>
            </w:r>
          </w:p>
        </w:tc>
        <w:tc>
          <w:tcPr>
            <w:tcW w:w="1582" w:type="dxa"/>
            <w:shd w:val="clear" w:color="auto" w:fill="auto"/>
            <w:hideMark/>
          </w:tcPr>
          <w:p w:rsidR="00D66A70" w:rsidRPr="002335EA" w:rsidRDefault="00D66A70" w:rsidP="00D66A70">
            <w:pPr>
              <w:jc w:val="center"/>
              <w:rPr>
                <w:i/>
                <w:sz w:val="20"/>
                <w:lang w:eastAsia="fi-FI"/>
              </w:rPr>
            </w:pPr>
            <w:r w:rsidRPr="002335EA">
              <w:rPr>
                <w:i/>
                <w:sz w:val="20"/>
                <w:lang w:eastAsia="fi-FI"/>
              </w:rPr>
              <w:t>8,65</w:t>
            </w:r>
          </w:p>
        </w:tc>
        <w:tc>
          <w:tcPr>
            <w:tcW w:w="1160" w:type="dxa"/>
            <w:shd w:val="clear" w:color="auto" w:fill="auto"/>
            <w:hideMark/>
          </w:tcPr>
          <w:p w:rsidR="00D66A70" w:rsidRPr="002335EA" w:rsidRDefault="00D66A70" w:rsidP="00D66A70">
            <w:pPr>
              <w:jc w:val="center"/>
              <w:rPr>
                <w:sz w:val="20"/>
                <w:lang w:eastAsia="fi-FI"/>
              </w:rPr>
            </w:pPr>
            <w:r w:rsidRPr="002335EA">
              <w:rPr>
                <w:sz w:val="20"/>
                <w:lang w:eastAsia="fi-FI"/>
              </w:rPr>
              <w:t>0,68</w:t>
            </w:r>
          </w:p>
        </w:tc>
        <w:tc>
          <w:tcPr>
            <w:tcW w:w="960" w:type="dxa"/>
            <w:shd w:val="clear" w:color="auto" w:fill="auto"/>
            <w:hideMark/>
          </w:tcPr>
          <w:p w:rsidR="00D66A70" w:rsidRPr="002335EA" w:rsidRDefault="00D66A70" w:rsidP="00D66A70">
            <w:pPr>
              <w:jc w:val="center"/>
              <w:rPr>
                <w:i/>
                <w:sz w:val="20"/>
                <w:lang w:eastAsia="fi-FI"/>
              </w:rPr>
            </w:pPr>
            <w:r w:rsidRPr="002335EA">
              <w:rPr>
                <w:i/>
                <w:sz w:val="20"/>
                <w:lang w:eastAsia="fi-FI"/>
              </w:rPr>
              <w:t>66,87</w:t>
            </w:r>
          </w:p>
        </w:tc>
      </w:tr>
      <w:tr w:rsidR="00D66A70" w:rsidRPr="002335EA" w:rsidTr="00D66A70">
        <w:trPr>
          <w:trHeight w:val="260"/>
        </w:trPr>
        <w:tc>
          <w:tcPr>
            <w:tcW w:w="2540" w:type="dxa"/>
            <w:shd w:val="clear" w:color="auto" w:fill="auto"/>
            <w:hideMark/>
          </w:tcPr>
          <w:p w:rsidR="00D66A70" w:rsidRPr="002335EA" w:rsidRDefault="00D66A70" w:rsidP="00D66A70">
            <w:pPr>
              <w:rPr>
                <w:sz w:val="20"/>
                <w:lang w:eastAsia="fi-FI"/>
              </w:rPr>
            </w:pPr>
            <w:r w:rsidRPr="002335EA">
              <w:rPr>
                <w:sz w:val="20"/>
                <w:lang w:eastAsia="fi-FI"/>
              </w:rPr>
              <w:t xml:space="preserve">Biobensiini T </w:t>
            </w:r>
            <w:proofErr w:type="spellStart"/>
            <w:r w:rsidRPr="002335EA">
              <w:rPr>
                <w:sz w:val="20"/>
                <w:lang w:eastAsia="fi-FI"/>
              </w:rPr>
              <w:t>snt</w:t>
            </w:r>
            <w:proofErr w:type="spellEnd"/>
            <w:r w:rsidRPr="002335EA">
              <w:rPr>
                <w:sz w:val="20"/>
                <w:lang w:eastAsia="fi-FI"/>
              </w:rPr>
              <w:t>/l</w:t>
            </w:r>
          </w:p>
        </w:tc>
        <w:tc>
          <w:tcPr>
            <w:tcW w:w="960" w:type="dxa"/>
            <w:shd w:val="clear" w:color="auto" w:fill="auto"/>
            <w:hideMark/>
          </w:tcPr>
          <w:p w:rsidR="00D66A70" w:rsidRPr="002335EA" w:rsidRDefault="00D66A70" w:rsidP="00D66A70">
            <w:pPr>
              <w:jc w:val="center"/>
              <w:rPr>
                <w:sz w:val="20"/>
                <w:lang w:eastAsia="fi-FI"/>
              </w:rPr>
            </w:pPr>
            <w:r w:rsidRPr="002335EA">
              <w:rPr>
                <w:sz w:val="20"/>
                <w:lang w:eastAsia="fi-FI"/>
              </w:rPr>
              <w:t>40</w:t>
            </w:r>
          </w:p>
        </w:tc>
        <w:tc>
          <w:tcPr>
            <w:tcW w:w="1178" w:type="dxa"/>
            <w:shd w:val="clear" w:color="auto" w:fill="auto"/>
            <w:hideMark/>
          </w:tcPr>
          <w:p w:rsidR="00D66A70" w:rsidRPr="002335EA" w:rsidRDefault="00D66A70" w:rsidP="00D66A70">
            <w:pPr>
              <w:jc w:val="center"/>
              <w:rPr>
                <w:i/>
                <w:sz w:val="20"/>
                <w:lang w:eastAsia="fi-FI"/>
              </w:rPr>
            </w:pPr>
            <w:r w:rsidRPr="002335EA">
              <w:rPr>
                <w:i/>
                <w:sz w:val="20"/>
                <w:lang w:eastAsia="fi-FI"/>
              </w:rPr>
              <w:t>57,54</w:t>
            </w:r>
          </w:p>
        </w:tc>
        <w:tc>
          <w:tcPr>
            <w:tcW w:w="1582" w:type="dxa"/>
            <w:shd w:val="clear" w:color="auto" w:fill="auto"/>
            <w:hideMark/>
          </w:tcPr>
          <w:p w:rsidR="00D66A70" w:rsidRPr="002335EA" w:rsidRDefault="00D66A70" w:rsidP="00D66A70">
            <w:pPr>
              <w:jc w:val="center"/>
              <w:rPr>
                <w:sz w:val="20"/>
                <w:lang w:eastAsia="fi-FI"/>
              </w:rPr>
            </w:pPr>
            <w:r w:rsidRPr="002335EA">
              <w:rPr>
                <w:sz w:val="20"/>
                <w:lang w:eastAsia="fi-FI"/>
              </w:rPr>
              <w:t>0,00</w:t>
            </w:r>
          </w:p>
        </w:tc>
        <w:tc>
          <w:tcPr>
            <w:tcW w:w="1160" w:type="dxa"/>
            <w:shd w:val="clear" w:color="auto" w:fill="auto"/>
            <w:hideMark/>
          </w:tcPr>
          <w:p w:rsidR="00D66A70" w:rsidRPr="002335EA" w:rsidRDefault="00D66A70" w:rsidP="00D66A70">
            <w:pPr>
              <w:jc w:val="center"/>
              <w:rPr>
                <w:sz w:val="20"/>
                <w:lang w:eastAsia="fi-FI"/>
              </w:rPr>
            </w:pPr>
            <w:r w:rsidRPr="002335EA">
              <w:rPr>
                <w:sz w:val="20"/>
                <w:lang w:eastAsia="fi-FI"/>
              </w:rPr>
              <w:t>0,68</w:t>
            </w:r>
          </w:p>
        </w:tc>
        <w:tc>
          <w:tcPr>
            <w:tcW w:w="960" w:type="dxa"/>
            <w:shd w:val="clear" w:color="auto" w:fill="auto"/>
            <w:hideMark/>
          </w:tcPr>
          <w:p w:rsidR="00D66A70" w:rsidRPr="002335EA" w:rsidRDefault="00D66A70" w:rsidP="00D66A70">
            <w:pPr>
              <w:jc w:val="center"/>
              <w:rPr>
                <w:i/>
                <w:sz w:val="20"/>
                <w:lang w:eastAsia="fi-FI"/>
              </w:rPr>
            </w:pPr>
            <w:r w:rsidRPr="002335EA">
              <w:rPr>
                <w:i/>
                <w:sz w:val="20"/>
                <w:lang w:eastAsia="fi-FI"/>
              </w:rPr>
              <w:t>58,22</w:t>
            </w:r>
          </w:p>
        </w:tc>
      </w:tr>
      <w:tr w:rsidR="00D66A70" w:rsidRPr="002335EA" w:rsidTr="00D66A70">
        <w:trPr>
          <w:trHeight w:val="260"/>
        </w:trPr>
        <w:tc>
          <w:tcPr>
            <w:tcW w:w="2540" w:type="dxa"/>
            <w:shd w:val="clear" w:color="auto" w:fill="auto"/>
            <w:hideMark/>
          </w:tcPr>
          <w:p w:rsidR="00D66A70" w:rsidRPr="002335EA" w:rsidRDefault="00D66A70" w:rsidP="00D66A70">
            <w:pPr>
              <w:rPr>
                <w:sz w:val="20"/>
                <w:lang w:eastAsia="fi-FI"/>
              </w:rPr>
            </w:pPr>
            <w:r w:rsidRPr="002335EA">
              <w:rPr>
                <w:sz w:val="20"/>
                <w:lang w:eastAsia="fi-FI"/>
              </w:rPr>
              <w:t xml:space="preserve">Etanolidiesel </w:t>
            </w:r>
            <w:proofErr w:type="spellStart"/>
            <w:r w:rsidRPr="002335EA">
              <w:rPr>
                <w:sz w:val="20"/>
                <w:lang w:eastAsia="fi-FI"/>
              </w:rPr>
              <w:t>snt</w:t>
            </w:r>
            <w:proofErr w:type="spellEnd"/>
            <w:r w:rsidRPr="002335EA">
              <w:rPr>
                <w:sz w:val="20"/>
                <w:lang w:eastAsia="fi-FI"/>
              </w:rPr>
              <w:t>/l</w:t>
            </w:r>
          </w:p>
        </w:tc>
        <w:tc>
          <w:tcPr>
            <w:tcW w:w="960" w:type="dxa"/>
            <w:shd w:val="clear" w:color="auto" w:fill="auto"/>
            <w:hideMark/>
          </w:tcPr>
          <w:p w:rsidR="00D66A70" w:rsidRPr="002335EA" w:rsidRDefault="00D66A70" w:rsidP="00D66A70">
            <w:pPr>
              <w:jc w:val="center"/>
              <w:rPr>
                <w:sz w:val="20"/>
                <w:lang w:eastAsia="fi-FI"/>
              </w:rPr>
            </w:pPr>
            <w:r w:rsidRPr="002335EA">
              <w:rPr>
                <w:sz w:val="20"/>
                <w:lang w:eastAsia="fi-FI"/>
              </w:rPr>
              <w:t>47</w:t>
            </w:r>
          </w:p>
        </w:tc>
        <w:tc>
          <w:tcPr>
            <w:tcW w:w="1178" w:type="dxa"/>
            <w:shd w:val="clear" w:color="auto" w:fill="auto"/>
            <w:hideMark/>
          </w:tcPr>
          <w:p w:rsidR="00D66A70" w:rsidRPr="002335EA" w:rsidRDefault="00D66A70" w:rsidP="00D66A70">
            <w:pPr>
              <w:jc w:val="center"/>
              <w:rPr>
                <w:i/>
                <w:sz w:val="20"/>
                <w:lang w:eastAsia="fi-FI"/>
              </w:rPr>
            </w:pPr>
            <w:r w:rsidRPr="002335EA">
              <w:rPr>
                <w:i/>
                <w:sz w:val="20"/>
                <w:lang w:eastAsia="fi-FI"/>
              </w:rPr>
              <w:t>18,70</w:t>
            </w:r>
          </w:p>
        </w:tc>
        <w:tc>
          <w:tcPr>
            <w:tcW w:w="1582" w:type="dxa"/>
            <w:shd w:val="clear" w:color="auto" w:fill="auto"/>
            <w:hideMark/>
          </w:tcPr>
          <w:p w:rsidR="00D66A70" w:rsidRPr="002335EA" w:rsidRDefault="00D66A70" w:rsidP="00D66A70">
            <w:pPr>
              <w:jc w:val="center"/>
              <w:rPr>
                <w:i/>
                <w:sz w:val="20"/>
                <w:lang w:eastAsia="fi-FI"/>
              </w:rPr>
            </w:pPr>
            <w:r w:rsidRPr="002335EA">
              <w:rPr>
                <w:i/>
                <w:sz w:val="20"/>
                <w:lang w:eastAsia="fi-FI"/>
              </w:rPr>
              <w:t>11,58</w:t>
            </w:r>
          </w:p>
        </w:tc>
        <w:tc>
          <w:tcPr>
            <w:tcW w:w="1160" w:type="dxa"/>
            <w:shd w:val="clear" w:color="auto" w:fill="auto"/>
            <w:hideMark/>
          </w:tcPr>
          <w:p w:rsidR="00D66A70" w:rsidRPr="002335EA" w:rsidRDefault="00D66A70" w:rsidP="00D66A70">
            <w:pPr>
              <w:jc w:val="center"/>
              <w:rPr>
                <w:sz w:val="20"/>
                <w:lang w:eastAsia="fi-FI"/>
              </w:rPr>
            </w:pPr>
            <w:r w:rsidRPr="002335EA">
              <w:rPr>
                <w:sz w:val="20"/>
                <w:lang w:eastAsia="fi-FI"/>
              </w:rPr>
              <w:t>0,35</w:t>
            </w:r>
          </w:p>
        </w:tc>
        <w:tc>
          <w:tcPr>
            <w:tcW w:w="960" w:type="dxa"/>
            <w:shd w:val="clear" w:color="auto" w:fill="auto"/>
            <w:hideMark/>
          </w:tcPr>
          <w:p w:rsidR="00D66A70" w:rsidRPr="002335EA" w:rsidRDefault="00D66A70" w:rsidP="00D66A70">
            <w:pPr>
              <w:jc w:val="center"/>
              <w:rPr>
                <w:i/>
                <w:sz w:val="20"/>
                <w:lang w:eastAsia="fi-FI"/>
              </w:rPr>
            </w:pPr>
            <w:r w:rsidRPr="002335EA">
              <w:rPr>
                <w:i/>
                <w:sz w:val="20"/>
                <w:lang w:eastAsia="fi-FI"/>
              </w:rPr>
              <w:t>30,63</w:t>
            </w:r>
          </w:p>
        </w:tc>
      </w:tr>
      <w:tr w:rsidR="00D66A70" w:rsidRPr="002335EA" w:rsidTr="00D66A70">
        <w:trPr>
          <w:trHeight w:val="260"/>
        </w:trPr>
        <w:tc>
          <w:tcPr>
            <w:tcW w:w="2540" w:type="dxa"/>
            <w:shd w:val="clear" w:color="auto" w:fill="auto"/>
            <w:hideMark/>
          </w:tcPr>
          <w:p w:rsidR="00D66A70" w:rsidRPr="002335EA" w:rsidRDefault="00D66A70" w:rsidP="00D66A70">
            <w:pPr>
              <w:rPr>
                <w:sz w:val="20"/>
                <w:lang w:eastAsia="fi-FI"/>
              </w:rPr>
            </w:pPr>
            <w:r w:rsidRPr="002335EA">
              <w:rPr>
                <w:sz w:val="20"/>
                <w:lang w:eastAsia="fi-FI"/>
              </w:rPr>
              <w:lastRenderedPageBreak/>
              <w:t xml:space="preserve">Etanolidiesel </w:t>
            </w:r>
            <w:proofErr w:type="spellStart"/>
            <w:r w:rsidRPr="002335EA">
              <w:rPr>
                <w:sz w:val="20"/>
                <w:lang w:eastAsia="fi-FI"/>
              </w:rPr>
              <w:t>snt</w:t>
            </w:r>
            <w:proofErr w:type="spellEnd"/>
            <w:r w:rsidRPr="002335EA">
              <w:rPr>
                <w:sz w:val="20"/>
                <w:lang w:eastAsia="fi-FI"/>
              </w:rPr>
              <w:t>/l R</w:t>
            </w:r>
          </w:p>
        </w:tc>
        <w:tc>
          <w:tcPr>
            <w:tcW w:w="960" w:type="dxa"/>
            <w:shd w:val="clear" w:color="auto" w:fill="auto"/>
            <w:hideMark/>
          </w:tcPr>
          <w:p w:rsidR="00D66A70" w:rsidRPr="002335EA" w:rsidRDefault="00D66A70" w:rsidP="00D66A70">
            <w:pPr>
              <w:jc w:val="center"/>
              <w:rPr>
                <w:sz w:val="20"/>
                <w:lang w:eastAsia="fi-FI"/>
              </w:rPr>
            </w:pPr>
            <w:r w:rsidRPr="002335EA">
              <w:rPr>
                <w:sz w:val="20"/>
                <w:lang w:eastAsia="fi-FI"/>
              </w:rPr>
              <w:t>48</w:t>
            </w:r>
          </w:p>
        </w:tc>
        <w:tc>
          <w:tcPr>
            <w:tcW w:w="1178" w:type="dxa"/>
            <w:shd w:val="clear" w:color="auto" w:fill="auto"/>
            <w:hideMark/>
          </w:tcPr>
          <w:p w:rsidR="00D66A70" w:rsidRPr="002335EA" w:rsidRDefault="00D66A70" w:rsidP="00D66A70">
            <w:pPr>
              <w:jc w:val="center"/>
              <w:rPr>
                <w:i/>
                <w:sz w:val="20"/>
                <w:lang w:eastAsia="fi-FI"/>
              </w:rPr>
            </w:pPr>
            <w:r w:rsidRPr="002335EA">
              <w:rPr>
                <w:i/>
                <w:sz w:val="20"/>
                <w:lang w:eastAsia="fi-FI"/>
              </w:rPr>
              <w:t>18,70</w:t>
            </w:r>
          </w:p>
        </w:tc>
        <w:tc>
          <w:tcPr>
            <w:tcW w:w="1582" w:type="dxa"/>
            <w:shd w:val="clear" w:color="auto" w:fill="auto"/>
            <w:hideMark/>
          </w:tcPr>
          <w:p w:rsidR="00D66A70" w:rsidRPr="002335EA" w:rsidRDefault="00D66A70" w:rsidP="00D66A70">
            <w:pPr>
              <w:jc w:val="center"/>
              <w:rPr>
                <w:i/>
                <w:sz w:val="20"/>
                <w:lang w:eastAsia="fi-FI"/>
              </w:rPr>
            </w:pPr>
            <w:r w:rsidRPr="002335EA">
              <w:rPr>
                <w:i/>
                <w:sz w:val="20"/>
                <w:lang w:eastAsia="fi-FI"/>
              </w:rPr>
              <w:t>6,36</w:t>
            </w:r>
          </w:p>
        </w:tc>
        <w:tc>
          <w:tcPr>
            <w:tcW w:w="1160" w:type="dxa"/>
            <w:shd w:val="clear" w:color="auto" w:fill="auto"/>
            <w:hideMark/>
          </w:tcPr>
          <w:p w:rsidR="00D66A70" w:rsidRPr="002335EA" w:rsidRDefault="00D66A70" w:rsidP="00D66A70">
            <w:pPr>
              <w:jc w:val="center"/>
              <w:rPr>
                <w:sz w:val="20"/>
                <w:lang w:eastAsia="fi-FI"/>
              </w:rPr>
            </w:pPr>
            <w:r w:rsidRPr="002335EA">
              <w:rPr>
                <w:sz w:val="20"/>
                <w:lang w:eastAsia="fi-FI"/>
              </w:rPr>
              <w:t>0,35</w:t>
            </w:r>
          </w:p>
        </w:tc>
        <w:tc>
          <w:tcPr>
            <w:tcW w:w="960" w:type="dxa"/>
            <w:shd w:val="clear" w:color="auto" w:fill="auto"/>
            <w:hideMark/>
          </w:tcPr>
          <w:p w:rsidR="00D66A70" w:rsidRPr="002335EA" w:rsidRDefault="00D66A70" w:rsidP="00D66A70">
            <w:pPr>
              <w:jc w:val="center"/>
              <w:rPr>
                <w:i/>
                <w:sz w:val="20"/>
                <w:lang w:eastAsia="fi-FI"/>
              </w:rPr>
            </w:pPr>
            <w:r w:rsidRPr="002335EA">
              <w:rPr>
                <w:i/>
                <w:sz w:val="20"/>
                <w:lang w:eastAsia="fi-FI"/>
              </w:rPr>
              <w:t>25,41</w:t>
            </w:r>
          </w:p>
        </w:tc>
      </w:tr>
      <w:tr w:rsidR="00D66A70" w:rsidRPr="002335EA" w:rsidTr="00D66A70">
        <w:trPr>
          <w:trHeight w:val="260"/>
        </w:trPr>
        <w:tc>
          <w:tcPr>
            <w:tcW w:w="2540" w:type="dxa"/>
            <w:shd w:val="clear" w:color="auto" w:fill="auto"/>
            <w:hideMark/>
          </w:tcPr>
          <w:p w:rsidR="00D66A70" w:rsidRPr="002335EA" w:rsidRDefault="00D66A70" w:rsidP="00D66A70">
            <w:pPr>
              <w:rPr>
                <w:sz w:val="20"/>
                <w:lang w:eastAsia="fi-FI"/>
              </w:rPr>
            </w:pPr>
            <w:r w:rsidRPr="002335EA">
              <w:rPr>
                <w:sz w:val="20"/>
                <w:lang w:eastAsia="fi-FI"/>
              </w:rPr>
              <w:t xml:space="preserve">Etanolidiesel </w:t>
            </w:r>
            <w:proofErr w:type="spellStart"/>
            <w:r w:rsidRPr="002335EA">
              <w:rPr>
                <w:sz w:val="20"/>
                <w:lang w:eastAsia="fi-FI"/>
              </w:rPr>
              <w:t>snt</w:t>
            </w:r>
            <w:proofErr w:type="spellEnd"/>
            <w:r w:rsidRPr="002335EA">
              <w:rPr>
                <w:sz w:val="20"/>
                <w:lang w:eastAsia="fi-FI"/>
              </w:rPr>
              <w:t>/l T</w:t>
            </w:r>
          </w:p>
        </w:tc>
        <w:tc>
          <w:tcPr>
            <w:tcW w:w="960" w:type="dxa"/>
            <w:shd w:val="clear" w:color="auto" w:fill="auto"/>
            <w:hideMark/>
          </w:tcPr>
          <w:p w:rsidR="00D66A70" w:rsidRPr="002335EA" w:rsidRDefault="00D66A70" w:rsidP="00D66A70">
            <w:pPr>
              <w:jc w:val="center"/>
              <w:rPr>
                <w:sz w:val="20"/>
                <w:lang w:eastAsia="fi-FI"/>
              </w:rPr>
            </w:pPr>
            <w:r w:rsidRPr="002335EA">
              <w:rPr>
                <w:sz w:val="20"/>
                <w:lang w:eastAsia="fi-FI"/>
              </w:rPr>
              <w:t>49</w:t>
            </w:r>
          </w:p>
        </w:tc>
        <w:tc>
          <w:tcPr>
            <w:tcW w:w="1178" w:type="dxa"/>
            <w:shd w:val="clear" w:color="auto" w:fill="auto"/>
            <w:hideMark/>
          </w:tcPr>
          <w:p w:rsidR="00D66A70" w:rsidRPr="002335EA" w:rsidRDefault="00D66A70" w:rsidP="00D66A70">
            <w:pPr>
              <w:jc w:val="center"/>
              <w:rPr>
                <w:i/>
                <w:sz w:val="20"/>
                <w:lang w:eastAsia="fi-FI"/>
              </w:rPr>
            </w:pPr>
            <w:r w:rsidRPr="002335EA">
              <w:rPr>
                <w:i/>
                <w:sz w:val="20"/>
                <w:lang w:eastAsia="fi-FI"/>
              </w:rPr>
              <w:t>18,70</w:t>
            </w:r>
          </w:p>
        </w:tc>
        <w:tc>
          <w:tcPr>
            <w:tcW w:w="1582" w:type="dxa"/>
            <w:shd w:val="clear" w:color="auto" w:fill="auto"/>
            <w:hideMark/>
          </w:tcPr>
          <w:p w:rsidR="00D66A70" w:rsidRPr="002335EA" w:rsidRDefault="00D66A70" w:rsidP="00D66A70">
            <w:pPr>
              <w:jc w:val="center"/>
              <w:rPr>
                <w:i/>
                <w:sz w:val="20"/>
                <w:lang w:eastAsia="fi-FI"/>
              </w:rPr>
            </w:pPr>
            <w:r w:rsidRPr="002335EA">
              <w:rPr>
                <w:i/>
                <w:sz w:val="20"/>
                <w:lang w:eastAsia="fi-FI"/>
              </w:rPr>
              <w:t>1,14</w:t>
            </w:r>
          </w:p>
        </w:tc>
        <w:tc>
          <w:tcPr>
            <w:tcW w:w="1160" w:type="dxa"/>
            <w:shd w:val="clear" w:color="auto" w:fill="auto"/>
            <w:hideMark/>
          </w:tcPr>
          <w:p w:rsidR="00D66A70" w:rsidRPr="002335EA" w:rsidRDefault="00D66A70" w:rsidP="00D66A70">
            <w:pPr>
              <w:jc w:val="center"/>
              <w:rPr>
                <w:sz w:val="20"/>
                <w:lang w:eastAsia="fi-FI"/>
              </w:rPr>
            </w:pPr>
            <w:r w:rsidRPr="002335EA">
              <w:rPr>
                <w:sz w:val="20"/>
                <w:lang w:eastAsia="fi-FI"/>
              </w:rPr>
              <w:t>0,35</w:t>
            </w:r>
          </w:p>
        </w:tc>
        <w:tc>
          <w:tcPr>
            <w:tcW w:w="960" w:type="dxa"/>
            <w:shd w:val="clear" w:color="auto" w:fill="auto"/>
            <w:hideMark/>
          </w:tcPr>
          <w:p w:rsidR="00D66A70" w:rsidRPr="002335EA" w:rsidRDefault="00D66A70" w:rsidP="00D66A70">
            <w:pPr>
              <w:jc w:val="center"/>
              <w:rPr>
                <w:i/>
                <w:sz w:val="20"/>
                <w:lang w:eastAsia="fi-FI"/>
              </w:rPr>
            </w:pPr>
            <w:r w:rsidRPr="002335EA">
              <w:rPr>
                <w:i/>
                <w:sz w:val="20"/>
                <w:lang w:eastAsia="fi-FI"/>
              </w:rPr>
              <w:t>20,19</w:t>
            </w:r>
          </w:p>
        </w:tc>
      </w:tr>
      <w:tr w:rsidR="00D66A70" w:rsidRPr="002335EA" w:rsidTr="00D66A70">
        <w:trPr>
          <w:trHeight w:val="260"/>
        </w:trPr>
        <w:tc>
          <w:tcPr>
            <w:tcW w:w="2540" w:type="dxa"/>
            <w:shd w:val="clear" w:color="auto" w:fill="auto"/>
            <w:hideMark/>
          </w:tcPr>
          <w:p w:rsidR="00D66A70" w:rsidRPr="002335EA" w:rsidRDefault="00D66A70" w:rsidP="00D66A70">
            <w:pPr>
              <w:rPr>
                <w:sz w:val="20"/>
                <w:lang w:eastAsia="fi-FI"/>
              </w:rPr>
            </w:pPr>
            <w:r w:rsidRPr="002335EA">
              <w:rPr>
                <w:sz w:val="20"/>
                <w:lang w:eastAsia="fi-FI"/>
              </w:rPr>
              <w:t xml:space="preserve">Dieselöljy </w:t>
            </w:r>
            <w:proofErr w:type="spellStart"/>
            <w:r w:rsidRPr="002335EA">
              <w:rPr>
                <w:sz w:val="20"/>
                <w:lang w:eastAsia="fi-FI"/>
              </w:rPr>
              <w:t>snt</w:t>
            </w:r>
            <w:proofErr w:type="spellEnd"/>
            <w:r w:rsidRPr="002335EA">
              <w:rPr>
                <w:sz w:val="20"/>
                <w:lang w:eastAsia="fi-FI"/>
              </w:rPr>
              <w:t>/l</w:t>
            </w:r>
          </w:p>
        </w:tc>
        <w:tc>
          <w:tcPr>
            <w:tcW w:w="960" w:type="dxa"/>
            <w:shd w:val="clear" w:color="auto" w:fill="auto"/>
            <w:hideMark/>
          </w:tcPr>
          <w:p w:rsidR="00D66A70" w:rsidRPr="002335EA" w:rsidRDefault="00D66A70" w:rsidP="00D66A70">
            <w:pPr>
              <w:jc w:val="center"/>
              <w:rPr>
                <w:sz w:val="20"/>
                <w:lang w:eastAsia="fi-FI"/>
              </w:rPr>
            </w:pPr>
            <w:r w:rsidRPr="002335EA">
              <w:rPr>
                <w:sz w:val="20"/>
                <w:lang w:eastAsia="fi-FI"/>
              </w:rPr>
              <w:t>50</w:t>
            </w:r>
          </w:p>
        </w:tc>
        <w:tc>
          <w:tcPr>
            <w:tcW w:w="1178" w:type="dxa"/>
            <w:shd w:val="clear" w:color="auto" w:fill="auto"/>
            <w:hideMark/>
          </w:tcPr>
          <w:p w:rsidR="00D66A70" w:rsidRPr="002335EA" w:rsidRDefault="00D66A70" w:rsidP="00D66A70">
            <w:pPr>
              <w:jc w:val="center"/>
              <w:rPr>
                <w:i/>
                <w:sz w:val="20"/>
                <w:lang w:eastAsia="fi-FI"/>
              </w:rPr>
            </w:pPr>
            <w:r w:rsidRPr="002335EA">
              <w:rPr>
                <w:i/>
                <w:sz w:val="20"/>
                <w:lang w:eastAsia="fi-FI"/>
              </w:rPr>
              <w:t>38,78</w:t>
            </w:r>
          </w:p>
        </w:tc>
        <w:tc>
          <w:tcPr>
            <w:tcW w:w="1582" w:type="dxa"/>
            <w:shd w:val="clear" w:color="auto" w:fill="auto"/>
            <w:hideMark/>
          </w:tcPr>
          <w:p w:rsidR="00D66A70" w:rsidRPr="002335EA" w:rsidRDefault="00D66A70" w:rsidP="00D66A70">
            <w:pPr>
              <w:jc w:val="center"/>
              <w:rPr>
                <w:i/>
                <w:sz w:val="20"/>
                <w:lang w:eastAsia="fi-FI"/>
              </w:rPr>
            </w:pPr>
            <w:r w:rsidRPr="002335EA">
              <w:rPr>
                <w:i/>
                <w:sz w:val="20"/>
                <w:lang w:eastAsia="fi-FI"/>
              </w:rPr>
              <w:t>19,78</w:t>
            </w:r>
          </w:p>
        </w:tc>
        <w:tc>
          <w:tcPr>
            <w:tcW w:w="1160" w:type="dxa"/>
            <w:shd w:val="clear" w:color="auto" w:fill="auto"/>
            <w:hideMark/>
          </w:tcPr>
          <w:p w:rsidR="00D66A70" w:rsidRPr="002335EA" w:rsidRDefault="00D66A70" w:rsidP="00D66A70">
            <w:pPr>
              <w:jc w:val="center"/>
              <w:rPr>
                <w:sz w:val="20"/>
                <w:lang w:eastAsia="fi-FI"/>
              </w:rPr>
            </w:pPr>
            <w:r w:rsidRPr="002335EA">
              <w:rPr>
                <w:sz w:val="20"/>
                <w:lang w:eastAsia="fi-FI"/>
              </w:rPr>
              <w:t>0,35</w:t>
            </w:r>
          </w:p>
        </w:tc>
        <w:tc>
          <w:tcPr>
            <w:tcW w:w="960" w:type="dxa"/>
            <w:shd w:val="clear" w:color="auto" w:fill="auto"/>
            <w:hideMark/>
          </w:tcPr>
          <w:p w:rsidR="00D66A70" w:rsidRPr="002335EA" w:rsidRDefault="00D66A70" w:rsidP="00D66A70">
            <w:pPr>
              <w:jc w:val="center"/>
              <w:rPr>
                <w:i/>
                <w:sz w:val="20"/>
                <w:lang w:eastAsia="fi-FI"/>
              </w:rPr>
            </w:pPr>
            <w:r w:rsidRPr="002335EA">
              <w:rPr>
                <w:i/>
                <w:sz w:val="20"/>
                <w:lang w:eastAsia="fi-FI"/>
              </w:rPr>
              <w:t>58,91</w:t>
            </w:r>
          </w:p>
        </w:tc>
      </w:tr>
      <w:tr w:rsidR="00D66A70" w:rsidRPr="002335EA" w:rsidTr="00D66A70">
        <w:trPr>
          <w:trHeight w:val="260"/>
        </w:trPr>
        <w:tc>
          <w:tcPr>
            <w:tcW w:w="2540" w:type="dxa"/>
            <w:shd w:val="clear" w:color="auto" w:fill="auto"/>
            <w:hideMark/>
          </w:tcPr>
          <w:p w:rsidR="00D66A70" w:rsidRPr="002335EA" w:rsidRDefault="00D66A70" w:rsidP="00D66A70">
            <w:pPr>
              <w:rPr>
                <w:sz w:val="20"/>
                <w:lang w:eastAsia="fi-FI"/>
              </w:rPr>
            </w:pPr>
            <w:r w:rsidRPr="002335EA">
              <w:rPr>
                <w:sz w:val="20"/>
                <w:lang w:eastAsia="fi-FI"/>
              </w:rPr>
              <w:t xml:space="preserve">Dieselöljy </w:t>
            </w:r>
            <w:proofErr w:type="spellStart"/>
            <w:r w:rsidRPr="002335EA">
              <w:rPr>
                <w:sz w:val="20"/>
                <w:lang w:eastAsia="fi-FI"/>
              </w:rPr>
              <w:t>para</w:t>
            </w:r>
            <w:proofErr w:type="spellEnd"/>
            <w:r w:rsidRPr="002335EA">
              <w:rPr>
                <w:sz w:val="20"/>
                <w:lang w:eastAsia="fi-FI"/>
              </w:rPr>
              <w:t xml:space="preserve"> </w:t>
            </w:r>
            <w:proofErr w:type="spellStart"/>
            <w:r w:rsidRPr="002335EA">
              <w:rPr>
                <w:sz w:val="20"/>
                <w:lang w:eastAsia="fi-FI"/>
              </w:rPr>
              <w:t>snt</w:t>
            </w:r>
            <w:proofErr w:type="spellEnd"/>
            <w:r w:rsidRPr="002335EA">
              <w:rPr>
                <w:sz w:val="20"/>
                <w:lang w:eastAsia="fi-FI"/>
              </w:rPr>
              <w:t>/l</w:t>
            </w:r>
          </w:p>
        </w:tc>
        <w:tc>
          <w:tcPr>
            <w:tcW w:w="960" w:type="dxa"/>
            <w:shd w:val="clear" w:color="auto" w:fill="auto"/>
            <w:hideMark/>
          </w:tcPr>
          <w:p w:rsidR="00D66A70" w:rsidRPr="002335EA" w:rsidRDefault="00D66A70" w:rsidP="00D66A70">
            <w:pPr>
              <w:jc w:val="center"/>
              <w:rPr>
                <w:sz w:val="20"/>
                <w:lang w:eastAsia="fi-FI"/>
              </w:rPr>
            </w:pPr>
            <w:r w:rsidRPr="002335EA">
              <w:rPr>
                <w:sz w:val="20"/>
                <w:lang w:eastAsia="fi-FI"/>
              </w:rPr>
              <w:t>51</w:t>
            </w:r>
          </w:p>
        </w:tc>
        <w:tc>
          <w:tcPr>
            <w:tcW w:w="1178" w:type="dxa"/>
            <w:shd w:val="clear" w:color="auto" w:fill="auto"/>
            <w:hideMark/>
          </w:tcPr>
          <w:p w:rsidR="00D66A70" w:rsidRPr="002335EA" w:rsidRDefault="00D66A70" w:rsidP="00D66A70">
            <w:pPr>
              <w:jc w:val="center"/>
              <w:rPr>
                <w:i/>
                <w:sz w:val="20"/>
                <w:lang w:eastAsia="fi-FI"/>
              </w:rPr>
            </w:pPr>
            <w:r w:rsidRPr="002335EA">
              <w:rPr>
                <w:i/>
                <w:sz w:val="20"/>
                <w:lang w:eastAsia="fi-FI"/>
              </w:rPr>
              <w:t>31,62</w:t>
            </w:r>
          </w:p>
        </w:tc>
        <w:tc>
          <w:tcPr>
            <w:tcW w:w="1582" w:type="dxa"/>
            <w:shd w:val="clear" w:color="auto" w:fill="auto"/>
            <w:hideMark/>
          </w:tcPr>
          <w:p w:rsidR="00D66A70" w:rsidRPr="002335EA" w:rsidRDefault="00D66A70" w:rsidP="00D66A70">
            <w:pPr>
              <w:jc w:val="center"/>
              <w:rPr>
                <w:i/>
                <w:sz w:val="20"/>
                <w:lang w:eastAsia="fi-FI"/>
              </w:rPr>
            </w:pPr>
            <w:r w:rsidRPr="002335EA">
              <w:rPr>
                <w:i/>
                <w:sz w:val="20"/>
                <w:lang w:eastAsia="fi-FI"/>
              </w:rPr>
              <w:t>18,68</w:t>
            </w:r>
          </w:p>
        </w:tc>
        <w:tc>
          <w:tcPr>
            <w:tcW w:w="1160" w:type="dxa"/>
            <w:shd w:val="clear" w:color="auto" w:fill="auto"/>
            <w:hideMark/>
          </w:tcPr>
          <w:p w:rsidR="00D66A70" w:rsidRPr="002335EA" w:rsidRDefault="00D66A70" w:rsidP="00D66A70">
            <w:pPr>
              <w:jc w:val="center"/>
              <w:rPr>
                <w:sz w:val="20"/>
                <w:lang w:eastAsia="fi-FI"/>
              </w:rPr>
            </w:pPr>
            <w:r w:rsidRPr="002335EA">
              <w:rPr>
                <w:sz w:val="20"/>
                <w:lang w:eastAsia="fi-FI"/>
              </w:rPr>
              <w:t>0,35</w:t>
            </w:r>
          </w:p>
        </w:tc>
        <w:tc>
          <w:tcPr>
            <w:tcW w:w="960" w:type="dxa"/>
            <w:shd w:val="clear" w:color="auto" w:fill="auto"/>
            <w:hideMark/>
          </w:tcPr>
          <w:p w:rsidR="00D66A70" w:rsidRPr="002335EA" w:rsidRDefault="00D66A70" w:rsidP="00D66A70">
            <w:pPr>
              <w:jc w:val="center"/>
              <w:rPr>
                <w:i/>
                <w:sz w:val="20"/>
                <w:lang w:eastAsia="fi-FI"/>
              </w:rPr>
            </w:pPr>
            <w:r w:rsidRPr="002335EA">
              <w:rPr>
                <w:i/>
                <w:sz w:val="20"/>
                <w:lang w:eastAsia="fi-FI"/>
              </w:rPr>
              <w:t>50,65</w:t>
            </w:r>
          </w:p>
        </w:tc>
      </w:tr>
      <w:tr w:rsidR="00D66A70" w:rsidRPr="002335EA" w:rsidTr="00D66A70">
        <w:trPr>
          <w:trHeight w:val="260"/>
        </w:trPr>
        <w:tc>
          <w:tcPr>
            <w:tcW w:w="2540" w:type="dxa"/>
            <w:shd w:val="clear" w:color="auto" w:fill="auto"/>
            <w:hideMark/>
          </w:tcPr>
          <w:p w:rsidR="00D66A70" w:rsidRPr="002335EA" w:rsidRDefault="00D66A70" w:rsidP="00D66A70">
            <w:pPr>
              <w:rPr>
                <w:sz w:val="20"/>
                <w:lang w:eastAsia="fi-FI"/>
              </w:rPr>
            </w:pPr>
            <w:r w:rsidRPr="002335EA">
              <w:rPr>
                <w:sz w:val="20"/>
                <w:lang w:eastAsia="fi-FI"/>
              </w:rPr>
              <w:t xml:space="preserve">Biodieselöljy </w:t>
            </w:r>
            <w:proofErr w:type="spellStart"/>
            <w:r w:rsidRPr="002335EA">
              <w:rPr>
                <w:sz w:val="20"/>
                <w:lang w:eastAsia="fi-FI"/>
              </w:rPr>
              <w:t>snt</w:t>
            </w:r>
            <w:proofErr w:type="spellEnd"/>
            <w:r w:rsidRPr="002335EA">
              <w:rPr>
                <w:sz w:val="20"/>
                <w:lang w:eastAsia="fi-FI"/>
              </w:rPr>
              <w:t>/l</w:t>
            </w:r>
          </w:p>
        </w:tc>
        <w:tc>
          <w:tcPr>
            <w:tcW w:w="960" w:type="dxa"/>
            <w:shd w:val="clear" w:color="auto" w:fill="auto"/>
            <w:hideMark/>
          </w:tcPr>
          <w:p w:rsidR="00D66A70" w:rsidRPr="002335EA" w:rsidRDefault="00D66A70" w:rsidP="00D66A70">
            <w:pPr>
              <w:jc w:val="center"/>
              <w:rPr>
                <w:sz w:val="20"/>
                <w:lang w:eastAsia="fi-FI"/>
              </w:rPr>
            </w:pPr>
            <w:r w:rsidRPr="002335EA">
              <w:rPr>
                <w:sz w:val="20"/>
                <w:lang w:eastAsia="fi-FI"/>
              </w:rPr>
              <w:t>52</w:t>
            </w:r>
          </w:p>
        </w:tc>
        <w:tc>
          <w:tcPr>
            <w:tcW w:w="1178" w:type="dxa"/>
            <w:shd w:val="clear" w:color="auto" w:fill="auto"/>
            <w:hideMark/>
          </w:tcPr>
          <w:p w:rsidR="00D66A70" w:rsidRPr="002335EA" w:rsidRDefault="00D66A70" w:rsidP="00D66A70">
            <w:pPr>
              <w:jc w:val="center"/>
              <w:rPr>
                <w:i/>
                <w:sz w:val="20"/>
                <w:lang w:eastAsia="fi-FI"/>
              </w:rPr>
            </w:pPr>
            <w:r w:rsidRPr="002335EA">
              <w:rPr>
                <w:i/>
                <w:sz w:val="20"/>
                <w:lang w:eastAsia="fi-FI"/>
              </w:rPr>
              <w:t>35,55</w:t>
            </w:r>
          </w:p>
        </w:tc>
        <w:tc>
          <w:tcPr>
            <w:tcW w:w="1582" w:type="dxa"/>
            <w:shd w:val="clear" w:color="auto" w:fill="auto"/>
            <w:hideMark/>
          </w:tcPr>
          <w:p w:rsidR="00D66A70" w:rsidRPr="002335EA" w:rsidRDefault="00D66A70" w:rsidP="00D66A70">
            <w:pPr>
              <w:jc w:val="center"/>
              <w:rPr>
                <w:i/>
                <w:sz w:val="20"/>
                <w:lang w:eastAsia="fi-FI"/>
              </w:rPr>
            </w:pPr>
            <w:r w:rsidRPr="002335EA">
              <w:rPr>
                <w:i/>
                <w:sz w:val="20"/>
                <w:lang w:eastAsia="fi-FI"/>
              </w:rPr>
              <w:t>18,13</w:t>
            </w:r>
          </w:p>
        </w:tc>
        <w:tc>
          <w:tcPr>
            <w:tcW w:w="1160" w:type="dxa"/>
            <w:shd w:val="clear" w:color="auto" w:fill="auto"/>
            <w:hideMark/>
          </w:tcPr>
          <w:p w:rsidR="00D66A70" w:rsidRPr="002335EA" w:rsidRDefault="00D66A70" w:rsidP="00D66A70">
            <w:pPr>
              <w:jc w:val="center"/>
              <w:rPr>
                <w:sz w:val="20"/>
                <w:lang w:eastAsia="fi-FI"/>
              </w:rPr>
            </w:pPr>
            <w:r w:rsidRPr="002335EA">
              <w:rPr>
                <w:sz w:val="20"/>
                <w:lang w:eastAsia="fi-FI"/>
              </w:rPr>
              <w:t>0,35</w:t>
            </w:r>
          </w:p>
        </w:tc>
        <w:tc>
          <w:tcPr>
            <w:tcW w:w="960" w:type="dxa"/>
            <w:shd w:val="clear" w:color="auto" w:fill="auto"/>
            <w:hideMark/>
          </w:tcPr>
          <w:p w:rsidR="00D66A70" w:rsidRPr="002335EA" w:rsidRDefault="00D66A70" w:rsidP="00D66A70">
            <w:pPr>
              <w:jc w:val="center"/>
              <w:rPr>
                <w:i/>
                <w:sz w:val="20"/>
                <w:lang w:eastAsia="fi-FI"/>
              </w:rPr>
            </w:pPr>
            <w:r w:rsidRPr="002335EA">
              <w:rPr>
                <w:i/>
                <w:sz w:val="20"/>
                <w:lang w:eastAsia="fi-FI"/>
              </w:rPr>
              <w:t>54,03</w:t>
            </w:r>
          </w:p>
        </w:tc>
      </w:tr>
      <w:tr w:rsidR="00D66A70" w:rsidRPr="002335EA" w:rsidTr="00D66A70">
        <w:trPr>
          <w:trHeight w:val="260"/>
        </w:trPr>
        <w:tc>
          <w:tcPr>
            <w:tcW w:w="2540" w:type="dxa"/>
            <w:shd w:val="clear" w:color="auto" w:fill="auto"/>
            <w:hideMark/>
          </w:tcPr>
          <w:p w:rsidR="00D66A70" w:rsidRPr="002335EA" w:rsidRDefault="00D66A70" w:rsidP="00D66A70">
            <w:pPr>
              <w:rPr>
                <w:sz w:val="20"/>
                <w:lang w:eastAsia="fi-FI"/>
              </w:rPr>
            </w:pPr>
            <w:r w:rsidRPr="002335EA">
              <w:rPr>
                <w:sz w:val="20"/>
                <w:lang w:eastAsia="fi-FI"/>
              </w:rPr>
              <w:t xml:space="preserve">Biodieselöljy R </w:t>
            </w:r>
            <w:proofErr w:type="spellStart"/>
            <w:r w:rsidRPr="002335EA">
              <w:rPr>
                <w:sz w:val="20"/>
                <w:lang w:eastAsia="fi-FI"/>
              </w:rPr>
              <w:t>snt</w:t>
            </w:r>
            <w:proofErr w:type="spellEnd"/>
            <w:r w:rsidRPr="002335EA">
              <w:rPr>
                <w:sz w:val="20"/>
                <w:lang w:eastAsia="fi-FI"/>
              </w:rPr>
              <w:t>/l</w:t>
            </w:r>
          </w:p>
        </w:tc>
        <w:tc>
          <w:tcPr>
            <w:tcW w:w="960" w:type="dxa"/>
            <w:shd w:val="clear" w:color="auto" w:fill="auto"/>
            <w:hideMark/>
          </w:tcPr>
          <w:p w:rsidR="00D66A70" w:rsidRPr="002335EA" w:rsidRDefault="00D66A70" w:rsidP="00D66A70">
            <w:pPr>
              <w:jc w:val="center"/>
              <w:rPr>
                <w:sz w:val="20"/>
                <w:lang w:eastAsia="fi-FI"/>
              </w:rPr>
            </w:pPr>
            <w:r w:rsidRPr="002335EA">
              <w:rPr>
                <w:sz w:val="20"/>
                <w:lang w:eastAsia="fi-FI"/>
              </w:rPr>
              <w:t>53</w:t>
            </w:r>
          </w:p>
        </w:tc>
        <w:tc>
          <w:tcPr>
            <w:tcW w:w="1178" w:type="dxa"/>
            <w:shd w:val="clear" w:color="auto" w:fill="auto"/>
            <w:hideMark/>
          </w:tcPr>
          <w:p w:rsidR="00D66A70" w:rsidRPr="002335EA" w:rsidRDefault="00D66A70" w:rsidP="00D66A70">
            <w:pPr>
              <w:jc w:val="center"/>
              <w:rPr>
                <w:i/>
                <w:sz w:val="20"/>
                <w:lang w:eastAsia="fi-FI"/>
              </w:rPr>
            </w:pPr>
            <w:r w:rsidRPr="002335EA">
              <w:rPr>
                <w:i/>
                <w:sz w:val="20"/>
                <w:lang w:eastAsia="fi-FI"/>
              </w:rPr>
              <w:t>35,55</w:t>
            </w:r>
          </w:p>
        </w:tc>
        <w:tc>
          <w:tcPr>
            <w:tcW w:w="1582" w:type="dxa"/>
            <w:shd w:val="clear" w:color="auto" w:fill="auto"/>
            <w:hideMark/>
          </w:tcPr>
          <w:p w:rsidR="00D66A70" w:rsidRPr="002335EA" w:rsidRDefault="00D66A70" w:rsidP="00D66A70">
            <w:pPr>
              <w:jc w:val="center"/>
              <w:rPr>
                <w:i/>
                <w:sz w:val="20"/>
                <w:lang w:eastAsia="fi-FI"/>
              </w:rPr>
            </w:pPr>
            <w:r w:rsidRPr="002335EA">
              <w:rPr>
                <w:i/>
                <w:sz w:val="20"/>
                <w:lang w:eastAsia="fi-FI"/>
              </w:rPr>
              <w:t>9,06</w:t>
            </w:r>
          </w:p>
        </w:tc>
        <w:tc>
          <w:tcPr>
            <w:tcW w:w="1160" w:type="dxa"/>
            <w:shd w:val="clear" w:color="auto" w:fill="auto"/>
            <w:hideMark/>
          </w:tcPr>
          <w:p w:rsidR="00D66A70" w:rsidRPr="002335EA" w:rsidRDefault="00D66A70" w:rsidP="00D66A70">
            <w:pPr>
              <w:jc w:val="center"/>
              <w:rPr>
                <w:sz w:val="20"/>
                <w:lang w:eastAsia="fi-FI"/>
              </w:rPr>
            </w:pPr>
            <w:r w:rsidRPr="002335EA">
              <w:rPr>
                <w:sz w:val="20"/>
                <w:lang w:eastAsia="fi-FI"/>
              </w:rPr>
              <w:t>0,35</w:t>
            </w:r>
          </w:p>
        </w:tc>
        <w:tc>
          <w:tcPr>
            <w:tcW w:w="960" w:type="dxa"/>
            <w:shd w:val="clear" w:color="auto" w:fill="auto"/>
            <w:hideMark/>
          </w:tcPr>
          <w:p w:rsidR="00D66A70" w:rsidRPr="002335EA" w:rsidRDefault="00D66A70" w:rsidP="00D66A70">
            <w:pPr>
              <w:jc w:val="center"/>
              <w:rPr>
                <w:i/>
                <w:sz w:val="20"/>
                <w:lang w:eastAsia="fi-FI"/>
              </w:rPr>
            </w:pPr>
            <w:r w:rsidRPr="002335EA">
              <w:rPr>
                <w:i/>
                <w:sz w:val="20"/>
                <w:lang w:eastAsia="fi-FI"/>
              </w:rPr>
              <w:t>44,96</w:t>
            </w:r>
          </w:p>
        </w:tc>
      </w:tr>
      <w:tr w:rsidR="00D66A70" w:rsidRPr="002335EA" w:rsidTr="00D66A70">
        <w:trPr>
          <w:trHeight w:val="260"/>
        </w:trPr>
        <w:tc>
          <w:tcPr>
            <w:tcW w:w="2540" w:type="dxa"/>
            <w:shd w:val="clear" w:color="auto" w:fill="auto"/>
            <w:hideMark/>
          </w:tcPr>
          <w:p w:rsidR="00D66A70" w:rsidRPr="002335EA" w:rsidRDefault="00D66A70" w:rsidP="00D66A70">
            <w:pPr>
              <w:rPr>
                <w:sz w:val="20"/>
                <w:lang w:eastAsia="fi-FI"/>
              </w:rPr>
            </w:pPr>
            <w:r w:rsidRPr="002335EA">
              <w:rPr>
                <w:sz w:val="20"/>
                <w:lang w:eastAsia="fi-FI"/>
              </w:rPr>
              <w:t xml:space="preserve">Biodieselöljy T </w:t>
            </w:r>
            <w:proofErr w:type="spellStart"/>
            <w:r w:rsidRPr="002335EA">
              <w:rPr>
                <w:sz w:val="20"/>
                <w:lang w:eastAsia="fi-FI"/>
              </w:rPr>
              <w:t>snt</w:t>
            </w:r>
            <w:proofErr w:type="spellEnd"/>
            <w:r w:rsidRPr="002335EA">
              <w:rPr>
                <w:sz w:val="20"/>
                <w:lang w:eastAsia="fi-FI"/>
              </w:rPr>
              <w:t>/l</w:t>
            </w:r>
          </w:p>
        </w:tc>
        <w:tc>
          <w:tcPr>
            <w:tcW w:w="960" w:type="dxa"/>
            <w:shd w:val="clear" w:color="auto" w:fill="auto"/>
            <w:hideMark/>
          </w:tcPr>
          <w:p w:rsidR="00D66A70" w:rsidRPr="002335EA" w:rsidRDefault="00D66A70" w:rsidP="00D66A70">
            <w:pPr>
              <w:jc w:val="center"/>
              <w:rPr>
                <w:sz w:val="20"/>
                <w:lang w:eastAsia="fi-FI"/>
              </w:rPr>
            </w:pPr>
            <w:r w:rsidRPr="002335EA">
              <w:rPr>
                <w:sz w:val="20"/>
                <w:lang w:eastAsia="fi-FI"/>
              </w:rPr>
              <w:t>54</w:t>
            </w:r>
          </w:p>
        </w:tc>
        <w:tc>
          <w:tcPr>
            <w:tcW w:w="1178" w:type="dxa"/>
            <w:shd w:val="clear" w:color="auto" w:fill="auto"/>
            <w:hideMark/>
          </w:tcPr>
          <w:p w:rsidR="00D66A70" w:rsidRPr="002335EA" w:rsidRDefault="00D66A70" w:rsidP="00D66A70">
            <w:pPr>
              <w:jc w:val="center"/>
              <w:rPr>
                <w:i/>
                <w:sz w:val="20"/>
                <w:lang w:eastAsia="fi-FI"/>
              </w:rPr>
            </w:pPr>
            <w:r w:rsidRPr="002335EA">
              <w:rPr>
                <w:i/>
                <w:sz w:val="20"/>
                <w:lang w:eastAsia="fi-FI"/>
              </w:rPr>
              <w:t>35,55</w:t>
            </w:r>
          </w:p>
        </w:tc>
        <w:tc>
          <w:tcPr>
            <w:tcW w:w="1582" w:type="dxa"/>
            <w:shd w:val="clear" w:color="auto" w:fill="auto"/>
            <w:hideMark/>
          </w:tcPr>
          <w:p w:rsidR="00D66A70" w:rsidRPr="002335EA" w:rsidRDefault="00D66A70" w:rsidP="00D66A70">
            <w:pPr>
              <w:jc w:val="center"/>
              <w:rPr>
                <w:sz w:val="20"/>
                <w:lang w:eastAsia="fi-FI"/>
              </w:rPr>
            </w:pPr>
            <w:r w:rsidRPr="002335EA">
              <w:rPr>
                <w:sz w:val="20"/>
                <w:lang w:eastAsia="fi-FI"/>
              </w:rPr>
              <w:t>0,00</w:t>
            </w:r>
          </w:p>
        </w:tc>
        <w:tc>
          <w:tcPr>
            <w:tcW w:w="1160" w:type="dxa"/>
            <w:shd w:val="clear" w:color="auto" w:fill="auto"/>
            <w:hideMark/>
          </w:tcPr>
          <w:p w:rsidR="00D66A70" w:rsidRPr="002335EA" w:rsidRDefault="00D66A70" w:rsidP="00D66A70">
            <w:pPr>
              <w:jc w:val="center"/>
              <w:rPr>
                <w:sz w:val="20"/>
                <w:lang w:eastAsia="fi-FI"/>
              </w:rPr>
            </w:pPr>
            <w:r w:rsidRPr="002335EA">
              <w:rPr>
                <w:sz w:val="20"/>
                <w:lang w:eastAsia="fi-FI"/>
              </w:rPr>
              <w:t>0,35</w:t>
            </w:r>
          </w:p>
        </w:tc>
        <w:tc>
          <w:tcPr>
            <w:tcW w:w="960" w:type="dxa"/>
            <w:shd w:val="clear" w:color="auto" w:fill="auto"/>
            <w:hideMark/>
          </w:tcPr>
          <w:p w:rsidR="00D66A70" w:rsidRPr="002335EA" w:rsidRDefault="00D66A70" w:rsidP="00D66A70">
            <w:pPr>
              <w:jc w:val="center"/>
              <w:rPr>
                <w:i/>
                <w:sz w:val="20"/>
                <w:lang w:eastAsia="fi-FI"/>
              </w:rPr>
            </w:pPr>
            <w:r w:rsidRPr="002335EA">
              <w:rPr>
                <w:i/>
                <w:sz w:val="20"/>
                <w:lang w:eastAsia="fi-FI"/>
              </w:rPr>
              <w:t>35,90</w:t>
            </w:r>
          </w:p>
        </w:tc>
      </w:tr>
      <w:tr w:rsidR="00D66A70" w:rsidRPr="002335EA" w:rsidTr="00D66A70">
        <w:trPr>
          <w:trHeight w:val="260"/>
        </w:trPr>
        <w:tc>
          <w:tcPr>
            <w:tcW w:w="2540" w:type="dxa"/>
            <w:shd w:val="clear" w:color="auto" w:fill="auto"/>
            <w:hideMark/>
          </w:tcPr>
          <w:p w:rsidR="00D66A70" w:rsidRPr="002335EA" w:rsidRDefault="00D66A70" w:rsidP="00D66A70">
            <w:pPr>
              <w:rPr>
                <w:sz w:val="20"/>
                <w:lang w:eastAsia="fi-FI"/>
              </w:rPr>
            </w:pPr>
            <w:r w:rsidRPr="002335EA">
              <w:rPr>
                <w:sz w:val="20"/>
                <w:lang w:eastAsia="fi-FI"/>
              </w:rPr>
              <w:t xml:space="preserve">Biodieselöljy P </w:t>
            </w:r>
            <w:proofErr w:type="spellStart"/>
            <w:r w:rsidRPr="002335EA">
              <w:rPr>
                <w:sz w:val="20"/>
                <w:lang w:eastAsia="fi-FI"/>
              </w:rPr>
              <w:t>snt</w:t>
            </w:r>
            <w:proofErr w:type="spellEnd"/>
            <w:r w:rsidRPr="002335EA">
              <w:rPr>
                <w:sz w:val="20"/>
                <w:lang w:eastAsia="fi-FI"/>
              </w:rPr>
              <w:t>/l</w:t>
            </w:r>
          </w:p>
        </w:tc>
        <w:tc>
          <w:tcPr>
            <w:tcW w:w="960" w:type="dxa"/>
            <w:shd w:val="clear" w:color="auto" w:fill="auto"/>
            <w:hideMark/>
          </w:tcPr>
          <w:p w:rsidR="00D66A70" w:rsidRPr="002335EA" w:rsidRDefault="00D66A70" w:rsidP="00D66A70">
            <w:pPr>
              <w:jc w:val="center"/>
              <w:rPr>
                <w:sz w:val="20"/>
                <w:lang w:eastAsia="fi-FI"/>
              </w:rPr>
            </w:pPr>
            <w:r w:rsidRPr="002335EA">
              <w:rPr>
                <w:sz w:val="20"/>
                <w:lang w:eastAsia="fi-FI"/>
              </w:rPr>
              <w:t>55</w:t>
            </w:r>
          </w:p>
        </w:tc>
        <w:tc>
          <w:tcPr>
            <w:tcW w:w="1178" w:type="dxa"/>
            <w:shd w:val="clear" w:color="auto" w:fill="auto"/>
            <w:hideMark/>
          </w:tcPr>
          <w:p w:rsidR="00D66A70" w:rsidRPr="002335EA" w:rsidRDefault="00D66A70" w:rsidP="00D66A70">
            <w:pPr>
              <w:jc w:val="center"/>
              <w:rPr>
                <w:i/>
                <w:sz w:val="20"/>
                <w:lang w:eastAsia="fi-FI"/>
              </w:rPr>
            </w:pPr>
            <w:r w:rsidRPr="002335EA">
              <w:rPr>
                <w:i/>
                <w:sz w:val="20"/>
                <w:lang w:eastAsia="fi-FI"/>
              </w:rPr>
              <w:t>31,62</w:t>
            </w:r>
          </w:p>
        </w:tc>
        <w:tc>
          <w:tcPr>
            <w:tcW w:w="1582" w:type="dxa"/>
            <w:shd w:val="clear" w:color="auto" w:fill="auto"/>
            <w:hideMark/>
          </w:tcPr>
          <w:p w:rsidR="00D66A70" w:rsidRPr="002335EA" w:rsidRDefault="00D66A70" w:rsidP="00D66A70">
            <w:pPr>
              <w:jc w:val="center"/>
              <w:rPr>
                <w:i/>
                <w:sz w:val="20"/>
                <w:lang w:eastAsia="fi-FI"/>
              </w:rPr>
            </w:pPr>
            <w:r w:rsidRPr="002335EA">
              <w:rPr>
                <w:i/>
                <w:sz w:val="20"/>
                <w:lang w:eastAsia="fi-FI"/>
              </w:rPr>
              <w:t>18,68</w:t>
            </w:r>
          </w:p>
        </w:tc>
        <w:tc>
          <w:tcPr>
            <w:tcW w:w="1160" w:type="dxa"/>
            <w:shd w:val="clear" w:color="auto" w:fill="auto"/>
            <w:hideMark/>
          </w:tcPr>
          <w:p w:rsidR="00D66A70" w:rsidRPr="002335EA" w:rsidRDefault="00D66A70" w:rsidP="00D66A70">
            <w:pPr>
              <w:jc w:val="center"/>
              <w:rPr>
                <w:sz w:val="20"/>
                <w:lang w:eastAsia="fi-FI"/>
              </w:rPr>
            </w:pPr>
            <w:r w:rsidRPr="002335EA">
              <w:rPr>
                <w:sz w:val="20"/>
                <w:lang w:eastAsia="fi-FI"/>
              </w:rPr>
              <w:t>0,35</w:t>
            </w:r>
          </w:p>
        </w:tc>
        <w:tc>
          <w:tcPr>
            <w:tcW w:w="960" w:type="dxa"/>
            <w:shd w:val="clear" w:color="auto" w:fill="auto"/>
            <w:hideMark/>
          </w:tcPr>
          <w:p w:rsidR="00D66A70" w:rsidRPr="002335EA" w:rsidRDefault="00D66A70" w:rsidP="00D66A70">
            <w:pPr>
              <w:jc w:val="center"/>
              <w:rPr>
                <w:i/>
                <w:sz w:val="20"/>
                <w:lang w:eastAsia="fi-FI"/>
              </w:rPr>
            </w:pPr>
            <w:r w:rsidRPr="002335EA">
              <w:rPr>
                <w:i/>
                <w:sz w:val="20"/>
                <w:lang w:eastAsia="fi-FI"/>
              </w:rPr>
              <w:t>50,65</w:t>
            </w:r>
          </w:p>
        </w:tc>
      </w:tr>
      <w:tr w:rsidR="00D66A70" w:rsidRPr="002335EA" w:rsidTr="00D66A70">
        <w:trPr>
          <w:trHeight w:val="260"/>
        </w:trPr>
        <w:tc>
          <w:tcPr>
            <w:tcW w:w="2540" w:type="dxa"/>
            <w:shd w:val="clear" w:color="auto" w:fill="auto"/>
            <w:hideMark/>
          </w:tcPr>
          <w:p w:rsidR="00D66A70" w:rsidRPr="002335EA" w:rsidRDefault="00D66A70" w:rsidP="00D66A70">
            <w:pPr>
              <w:rPr>
                <w:sz w:val="20"/>
                <w:lang w:val="en-US" w:eastAsia="fi-FI"/>
              </w:rPr>
            </w:pPr>
            <w:proofErr w:type="spellStart"/>
            <w:r w:rsidRPr="002335EA">
              <w:rPr>
                <w:sz w:val="20"/>
                <w:lang w:val="en-US" w:eastAsia="fi-FI"/>
              </w:rPr>
              <w:t>Biodieselöljy</w:t>
            </w:r>
            <w:proofErr w:type="spellEnd"/>
            <w:r w:rsidRPr="002335EA">
              <w:rPr>
                <w:sz w:val="20"/>
                <w:lang w:val="en-US" w:eastAsia="fi-FI"/>
              </w:rPr>
              <w:t xml:space="preserve"> P R </w:t>
            </w:r>
            <w:proofErr w:type="spellStart"/>
            <w:r w:rsidRPr="002335EA">
              <w:rPr>
                <w:sz w:val="20"/>
                <w:lang w:val="en-US" w:eastAsia="fi-FI"/>
              </w:rPr>
              <w:t>snt</w:t>
            </w:r>
            <w:proofErr w:type="spellEnd"/>
            <w:r w:rsidRPr="002335EA">
              <w:rPr>
                <w:sz w:val="20"/>
                <w:lang w:val="en-US" w:eastAsia="fi-FI"/>
              </w:rPr>
              <w:t>/l</w:t>
            </w:r>
          </w:p>
        </w:tc>
        <w:tc>
          <w:tcPr>
            <w:tcW w:w="960" w:type="dxa"/>
            <w:shd w:val="clear" w:color="auto" w:fill="auto"/>
            <w:hideMark/>
          </w:tcPr>
          <w:p w:rsidR="00D66A70" w:rsidRPr="002335EA" w:rsidRDefault="00D66A70" w:rsidP="00D66A70">
            <w:pPr>
              <w:jc w:val="center"/>
              <w:rPr>
                <w:sz w:val="20"/>
                <w:lang w:eastAsia="fi-FI"/>
              </w:rPr>
            </w:pPr>
            <w:r w:rsidRPr="002335EA">
              <w:rPr>
                <w:sz w:val="20"/>
                <w:lang w:eastAsia="fi-FI"/>
              </w:rPr>
              <w:t>56</w:t>
            </w:r>
          </w:p>
        </w:tc>
        <w:tc>
          <w:tcPr>
            <w:tcW w:w="1178" w:type="dxa"/>
            <w:shd w:val="clear" w:color="auto" w:fill="auto"/>
            <w:hideMark/>
          </w:tcPr>
          <w:p w:rsidR="00D66A70" w:rsidRPr="002335EA" w:rsidRDefault="00D66A70" w:rsidP="00D66A70">
            <w:pPr>
              <w:jc w:val="center"/>
              <w:rPr>
                <w:i/>
                <w:sz w:val="20"/>
                <w:lang w:eastAsia="fi-FI"/>
              </w:rPr>
            </w:pPr>
            <w:r w:rsidRPr="002335EA">
              <w:rPr>
                <w:i/>
                <w:sz w:val="20"/>
                <w:lang w:eastAsia="fi-FI"/>
              </w:rPr>
              <w:t>31,62</w:t>
            </w:r>
          </w:p>
        </w:tc>
        <w:tc>
          <w:tcPr>
            <w:tcW w:w="1582" w:type="dxa"/>
            <w:shd w:val="clear" w:color="auto" w:fill="auto"/>
            <w:hideMark/>
          </w:tcPr>
          <w:p w:rsidR="00D66A70" w:rsidRPr="002335EA" w:rsidRDefault="00D66A70" w:rsidP="00D66A70">
            <w:pPr>
              <w:jc w:val="center"/>
              <w:rPr>
                <w:i/>
                <w:sz w:val="20"/>
                <w:lang w:eastAsia="fi-FI"/>
              </w:rPr>
            </w:pPr>
            <w:r w:rsidRPr="002335EA">
              <w:rPr>
                <w:i/>
                <w:sz w:val="20"/>
                <w:lang w:eastAsia="fi-FI"/>
              </w:rPr>
              <w:t>9,34</w:t>
            </w:r>
          </w:p>
        </w:tc>
        <w:tc>
          <w:tcPr>
            <w:tcW w:w="1160" w:type="dxa"/>
            <w:shd w:val="clear" w:color="auto" w:fill="auto"/>
            <w:hideMark/>
          </w:tcPr>
          <w:p w:rsidR="00D66A70" w:rsidRPr="002335EA" w:rsidRDefault="00D66A70" w:rsidP="00D66A70">
            <w:pPr>
              <w:jc w:val="center"/>
              <w:rPr>
                <w:sz w:val="20"/>
                <w:lang w:eastAsia="fi-FI"/>
              </w:rPr>
            </w:pPr>
            <w:r w:rsidRPr="002335EA">
              <w:rPr>
                <w:sz w:val="20"/>
                <w:lang w:eastAsia="fi-FI"/>
              </w:rPr>
              <w:t>0,35</w:t>
            </w:r>
          </w:p>
        </w:tc>
        <w:tc>
          <w:tcPr>
            <w:tcW w:w="960" w:type="dxa"/>
            <w:shd w:val="clear" w:color="auto" w:fill="auto"/>
            <w:hideMark/>
          </w:tcPr>
          <w:p w:rsidR="00D66A70" w:rsidRPr="002335EA" w:rsidRDefault="00D66A70" w:rsidP="00D66A70">
            <w:pPr>
              <w:jc w:val="center"/>
              <w:rPr>
                <w:i/>
                <w:sz w:val="20"/>
                <w:lang w:eastAsia="fi-FI"/>
              </w:rPr>
            </w:pPr>
            <w:r w:rsidRPr="002335EA">
              <w:rPr>
                <w:i/>
                <w:sz w:val="20"/>
                <w:lang w:eastAsia="fi-FI"/>
              </w:rPr>
              <w:t>41,31</w:t>
            </w:r>
          </w:p>
        </w:tc>
      </w:tr>
      <w:tr w:rsidR="00D66A70" w:rsidRPr="002335EA" w:rsidTr="00D66A70">
        <w:trPr>
          <w:trHeight w:val="260"/>
        </w:trPr>
        <w:tc>
          <w:tcPr>
            <w:tcW w:w="2540" w:type="dxa"/>
            <w:shd w:val="clear" w:color="auto" w:fill="auto"/>
            <w:hideMark/>
          </w:tcPr>
          <w:p w:rsidR="00D66A70" w:rsidRPr="002335EA" w:rsidRDefault="00D66A70" w:rsidP="00D66A70">
            <w:pPr>
              <w:rPr>
                <w:sz w:val="20"/>
                <w:lang w:val="en-US" w:eastAsia="fi-FI"/>
              </w:rPr>
            </w:pPr>
            <w:proofErr w:type="spellStart"/>
            <w:r w:rsidRPr="002335EA">
              <w:rPr>
                <w:sz w:val="20"/>
                <w:lang w:val="en-US" w:eastAsia="fi-FI"/>
              </w:rPr>
              <w:t>Biodieselöljy</w:t>
            </w:r>
            <w:proofErr w:type="spellEnd"/>
            <w:r w:rsidRPr="002335EA">
              <w:rPr>
                <w:sz w:val="20"/>
                <w:lang w:val="en-US" w:eastAsia="fi-FI"/>
              </w:rPr>
              <w:t xml:space="preserve"> P T </w:t>
            </w:r>
            <w:proofErr w:type="spellStart"/>
            <w:r w:rsidRPr="002335EA">
              <w:rPr>
                <w:sz w:val="20"/>
                <w:lang w:val="en-US" w:eastAsia="fi-FI"/>
              </w:rPr>
              <w:t>snt</w:t>
            </w:r>
            <w:proofErr w:type="spellEnd"/>
            <w:r w:rsidRPr="002335EA">
              <w:rPr>
                <w:sz w:val="20"/>
                <w:lang w:val="en-US" w:eastAsia="fi-FI"/>
              </w:rPr>
              <w:t>/l</w:t>
            </w:r>
          </w:p>
        </w:tc>
        <w:tc>
          <w:tcPr>
            <w:tcW w:w="960" w:type="dxa"/>
            <w:shd w:val="clear" w:color="auto" w:fill="auto"/>
            <w:hideMark/>
          </w:tcPr>
          <w:p w:rsidR="00D66A70" w:rsidRPr="002335EA" w:rsidRDefault="00D66A70" w:rsidP="00D66A70">
            <w:pPr>
              <w:jc w:val="center"/>
              <w:rPr>
                <w:sz w:val="20"/>
                <w:lang w:eastAsia="fi-FI"/>
              </w:rPr>
            </w:pPr>
            <w:r w:rsidRPr="002335EA">
              <w:rPr>
                <w:sz w:val="20"/>
                <w:lang w:eastAsia="fi-FI"/>
              </w:rPr>
              <w:t>57</w:t>
            </w:r>
          </w:p>
        </w:tc>
        <w:tc>
          <w:tcPr>
            <w:tcW w:w="1178" w:type="dxa"/>
            <w:shd w:val="clear" w:color="auto" w:fill="auto"/>
            <w:hideMark/>
          </w:tcPr>
          <w:p w:rsidR="00D66A70" w:rsidRPr="002335EA" w:rsidRDefault="00D66A70" w:rsidP="00D66A70">
            <w:pPr>
              <w:jc w:val="center"/>
              <w:rPr>
                <w:i/>
                <w:sz w:val="20"/>
                <w:lang w:eastAsia="fi-FI"/>
              </w:rPr>
            </w:pPr>
            <w:r w:rsidRPr="002335EA">
              <w:rPr>
                <w:i/>
                <w:sz w:val="20"/>
                <w:lang w:eastAsia="fi-FI"/>
              </w:rPr>
              <w:t>31,62</w:t>
            </w:r>
          </w:p>
        </w:tc>
        <w:tc>
          <w:tcPr>
            <w:tcW w:w="1582" w:type="dxa"/>
            <w:shd w:val="clear" w:color="auto" w:fill="auto"/>
            <w:hideMark/>
          </w:tcPr>
          <w:p w:rsidR="00D66A70" w:rsidRPr="002335EA" w:rsidRDefault="00D66A70" w:rsidP="00D66A70">
            <w:pPr>
              <w:jc w:val="center"/>
              <w:rPr>
                <w:sz w:val="20"/>
                <w:lang w:eastAsia="fi-FI"/>
              </w:rPr>
            </w:pPr>
            <w:r w:rsidRPr="002335EA">
              <w:rPr>
                <w:sz w:val="20"/>
                <w:lang w:eastAsia="fi-FI"/>
              </w:rPr>
              <w:t>0,00</w:t>
            </w:r>
          </w:p>
        </w:tc>
        <w:tc>
          <w:tcPr>
            <w:tcW w:w="1160" w:type="dxa"/>
            <w:shd w:val="clear" w:color="auto" w:fill="auto"/>
            <w:hideMark/>
          </w:tcPr>
          <w:p w:rsidR="00D66A70" w:rsidRPr="002335EA" w:rsidRDefault="00D66A70" w:rsidP="00D66A70">
            <w:pPr>
              <w:jc w:val="center"/>
              <w:rPr>
                <w:sz w:val="20"/>
                <w:lang w:eastAsia="fi-FI"/>
              </w:rPr>
            </w:pPr>
            <w:r w:rsidRPr="002335EA">
              <w:rPr>
                <w:sz w:val="20"/>
                <w:lang w:eastAsia="fi-FI"/>
              </w:rPr>
              <w:t>0,35</w:t>
            </w:r>
          </w:p>
        </w:tc>
        <w:tc>
          <w:tcPr>
            <w:tcW w:w="960" w:type="dxa"/>
            <w:shd w:val="clear" w:color="auto" w:fill="auto"/>
            <w:hideMark/>
          </w:tcPr>
          <w:p w:rsidR="00D66A70" w:rsidRPr="002335EA" w:rsidRDefault="00D66A70" w:rsidP="00D66A70">
            <w:pPr>
              <w:jc w:val="center"/>
              <w:rPr>
                <w:i/>
                <w:sz w:val="20"/>
                <w:lang w:eastAsia="fi-FI"/>
              </w:rPr>
            </w:pPr>
            <w:r w:rsidRPr="002335EA">
              <w:rPr>
                <w:i/>
                <w:sz w:val="20"/>
                <w:lang w:eastAsia="fi-FI"/>
              </w:rPr>
              <w:t>31,97</w:t>
            </w:r>
          </w:p>
        </w:tc>
      </w:tr>
      <w:tr w:rsidR="00D66A70" w:rsidRPr="002335EA" w:rsidTr="00D66A70">
        <w:trPr>
          <w:trHeight w:val="260"/>
        </w:trPr>
        <w:tc>
          <w:tcPr>
            <w:tcW w:w="2540" w:type="dxa"/>
            <w:shd w:val="clear" w:color="auto" w:fill="auto"/>
            <w:hideMark/>
          </w:tcPr>
          <w:p w:rsidR="00D66A70" w:rsidRPr="002335EA" w:rsidRDefault="00D66A70" w:rsidP="00D66A70">
            <w:pPr>
              <w:rPr>
                <w:sz w:val="20"/>
                <w:lang w:eastAsia="fi-FI"/>
              </w:rPr>
            </w:pPr>
            <w:r w:rsidRPr="002335EA">
              <w:rPr>
                <w:sz w:val="20"/>
                <w:lang w:eastAsia="fi-FI"/>
              </w:rPr>
              <w:t xml:space="preserve">Kevyt polttoöljy </w:t>
            </w:r>
            <w:proofErr w:type="spellStart"/>
            <w:r w:rsidRPr="002335EA">
              <w:rPr>
                <w:sz w:val="20"/>
                <w:lang w:eastAsia="fi-FI"/>
              </w:rPr>
              <w:t>snt</w:t>
            </w:r>
            <w:proofErr w:type="spellEnd"/>
            <w:r w:rsidRPr="002335EA">
              <w:rPr>
                <w:sz w:val="20"/>
                <w:lang w:eastAsia="fi-FI"/>
              </w:rPr>
              <w:t>/l</w:t>
            </w:r>
          </w:p>
        </w:tc>
        <w:tc>
          <w:tcPr>
            <w:tcW w:w="960" w:type="dxa"/>
            <w:shd w:val="clear" w:color="auto" w:fill="auto"/>
            <w:hideMark/>
          </w:tcPr>
          <w:p w:rsidR="00D66A70" w:rsidRPr="002335EA" w:rsidRDefault="00D66A70" w:rsidP="00D66A70">
            <w:pPr>
              <w:jc w:val="center"/>
              <w:rPr>
                <w:sz w:val="20"/>
                <w:lang w:eastAsia="fi-FI"/>
              </w:rPr>
            </w:pPr>
            <w:r w:rsidRPr="002335EA">
              <w:rPr>
                <w:sz w:val="20"/>
                <w:lang w:eastAsia="fi-FI"/>
              </w:rPr>
              <w:t>60</w:t>
            </w:r>
          </w:p>
        </w:tc>
        <w:tc>
          <w:tcPr>
            <w:tcW w:w="1178" w:type="dxa"/>
            <w:shd w:val="clear" w:color="auto" w:fill="auto"/>
            <w:hideMark/>
          </w:tcPr>
          <w:p w:rsidR="00D66A70" w:rsidRPr="002335EA" w:rsidRDefault="00D66A70" w:rsidP="00D66A70">
            <w:pPr>
              <w:jc w:val="center"/>
              <w:rPr>
                <w:sz w:val="20"/>
                <w:lang w:eastAsia="fi-FI"/>
              </w:rPr>
            </w:pPr>
            <w:r w:rsidRPr="002335EA">
              <w:rPr>
                <w:sz w:val="20"/>
                <w:lang w:eastAsia="fi-FI"/>
              </w:rPr>
              <w:t>10,28</w:t>
            </w:r>
          </w:p>
        </w:tc>
        <w:tc>
          <w:tcPr>
            <w:tcW w:w="1582" w:type="dxa"/>
            <w:shd w:val="clear" w:color="auto" w:fill="auto"/>
            <w:hideMark/>
          </w:tcPr>
          <w:p w:rsidR="00D66A70" w:rsidRPr="002335EA" w:rsidRDefault="00D66A70" w:rsidP="00D66A70">
            <w:pPr>
              <w:jc w:val="center"/>
              <w:rPr>
                <w:sz w:val="20"/>
                <w:lang w:eastAsia="fi-FI"/>
              </w:rPr>
            </w:pPr>
            <w:r w:rsidRPr="002335EA">
              <w:rPr>
                <w:sz w:val="20"/>
                <w:lang w:eastAsia="fi-FI"/>
              </w:rPr>
              <w:t>16,90</w:t>
            </w:r>
          </w:p>
        </w:tc>
        <w:tc>
          <w:tcPr>
            <w:tcW w:w="1160" w:type="dxa"/>
            <w:shd w:val="clear" w:color="auto" w:fill="auto"/>
            <w:hideMark/>
          </w:tcPr>
          <w:p w:rsidR="00D66A70" w:rsidRPr="002335EA" w:rsidRDefault="00D66A70" w:rsidP="00D66A70">
            <w:pPr>
              <w:jc w:val="center"/>
              <w:rPr>
                <w:sz w:val="20"/>
                <w:lang w:eastAsia="fi-FI"/>
              </w:rPr>
            </w:pPr>
            <w:r w:rsidRPr="002335EA">
              <w:rPr>
                <w:sz w:val="20"/>
                <w:lang w:eastAsia="fi-FI"/>
              </w:rPr>
              <w:t>0,35</w:t>
            </w:r>
          </w:p>
        </w:tc>
        <w:tc>
          <w:tcPr>
            <w:tcW w:w="960" w:type="dxa"/>
            <w:shd w:val="clear" w:color="auto" w:fill="auto"/>
            <w:hideMark/>
          </w:tcPr>
          <w:p w:rsidR="00D66A70" w:rsidRPr="002335EA" w:rsidRDefault="00D66A70" w:rsidP="00D66A70">
            <w:pPr>
              <w:jc w:val="center"/>
              <w:rPr>
                <w:sz w:val="20"/>
                <w:lang w:eastAsia="fi-FI"/>
              </w:rPr>
            </w:pPr>
            <w:r w:rsidRPr="002335EA">
              <w:rPr>
                <w:sz w:val="20"/>
                <w:lang w:eastAsia="fi-FI"/>
              </w:rPr>
              <w:t>27,53</w:t>
            </w:r>
          </w:p>
        </w:tc>
      </w:tr>
      <w:tr w:rsidR="00D66A70" w:rsidRPr="002335EA" w:rsidTr="00D66A70">
        <w:trPr>
          <w:trHeight w:val="260"/>
        </w:trPr>
        <w:tc>
          <w:tcPr>
            <w:tcW w:w="2540" w:type="dxa"/>
            <w:shd w:val="clear" w:color="auto" w:fill="auto"/>
            <w:hideMark/>
          </w:tcPr>
          <w:p w:rsidR="00D66A70" w:rsidRPr="002335EA" w:rsidRDefault="00D66A70" w:rsidP="00D66A70">
            <w:pPr>
              <w:rPr>
                <w:sz w:val="20"/>
                <w:lang w:eastAsia="fi-FI"/>
              </w:rPr>
            </w:pPr>
            <w:r w:rsidRPr="002335EA">
              <w:rPr>
                <w:sz w:val="20"/>
                <w:lang w:eastAsia="fi-FI"/>
              </w:rPr>
              <w:t xml:space="preserve">Kevyt polttoöljy rikitön </w:t>
            </w:r>
            <w:proofErr w:type="spellStart"/>
            <w:r w:rsidRPr="002335EA">
              <w:rPr>
                <w:sz w:val="20"/>
                <w:lang w:eastAsia="fi-FI"/>
              </w:rPr>
              <w:t>snt</w:t>
            </w:r>
            <w:proofErr w:type="spellEnd"/>
            <w:r w:rsidRPr="002335EA">
              <w:rPr>
                <w:sz w:val="20"/>
                <w:lang w:eastAsia="fi-FI"/>
              </w:rPr>
              <w:t>/l</w:t>
            </w:r>
          </w:p>
        </w:tc>
        <w:tc>
          <w:tcPr>
            <w:tcW w:w="960" w:type="dxa"/>
            <w:shd w:val="clear" w:color="auto" w:fill="auto"/>
            <w:hideMark/>
          </w:tcPr>
          <w:p w:rsidR="00D66A70" w:rsidRPr="002335EA" w:rsidRDefault="00D66A70" w:rsidP="00D66A70">
            <w:pPr>
              <w:jc w:val="center"/>
              <w:rPr>
                <w:sz w:val="20"/>
                <w:lang w:eastAsia="fi-FI"/>
              </w:rPr>
            </w:pPr>
            <w:r w:rsidRPr="002335EA">
              <w:rPr>
                <w:sz w:val="20"/>
                <w:lang w:eastAsia="fi-FI"/>
              </w:rPr>
              <w:t>61</w:t>
            </w:r>
          </w:p>
        </w:tc>
        <w:tc>
          <w:tcPr>
            <w:tcW w:w="1178" w:type="dxa"/>
            <w:shd w:val="clear" w:color="auto" w:fill="auto"/>
            <w:hideMark/>
          </w:tcPr>
          <w:p w:rsidR="00D66A70" w:rsidRPr="002335EA" w:rsidRDefault="00D66A70" w:rsidP="00D66A70">
            <w:pPr>
              <w:jc w:val="center"/>
              <w:rPr>
                <w:sz w:val="20"/>
                <w:lang w:eastAsia="fi-FI"/>
              </w:rPr>
            </w:pPr>
            <w:r w:rsidRPr="002335EA">
              <w:rPr>
                <w:sz w:val="20"/>
                <w:lang w:eastAsia="fi-FI"/>
              </w:rPr>
              <w:t>7,63</w:t>
            </w:r>
          </w:p>
        </w:tc>
        <w:tc>
          <w:tcPr>
            <w:tcW w:w="1582" w:type="dxa"/>
            <w:shd w:val="clear" w:color="auto" w:fill="auto"/>
            <w:hideMark/>
          </w:tcPr>
          <w:p w:rsidR="00D66A70" w:rsidRPr="002335EA" w:rsidRDefault="00D66A70" w:rsidP="00D66A70">
            <w:pPr>
              <w:jc w:val="center"/>
              <w:rPr>
                <w:sz w:val="20"/>
                <w:lang w:eastAsia="fi-FI"/>
              </w:rPr>
            </w:pPr>
            <w:r w:rsidRPr="002335EA">
              <w:rPr>
                <w:sz w:val="20"/>
                <w:lang w:eastAsia="fi-FI"/>
              </w:rPr>
              <w:t>16,90</w:t>
            </w:r>
          </w:p>
        </w:tc>
        <w:tc>
          <w:tcPr>
            <w:tcW w:w="1160" w:type="dxa"/>
            <w:shd w:val="clear" w:color="auto" w:fill="auto"/>
            <w:hideMark/>
          </w:tcPr>
          <w:p w:rsidR="00D66A70" w:rsidRPr="002335EA" w:rsidRDefault="00D66A70" w:rsidP="00D66A70">
            <w:pPr>
              <w:jc w:val="center"/>
              <w:rPr>
                <w:sz w:val="20"/>
                <w:lang w:eastAsia="fi-FI"/>
              </w:rPr>
            </w:pPr>
            <w:r w:rsidRPr="002335EA">
              <w:rPr>
                <w:sz w:val="20"/>
                <w:lang w:eastAsia="fi-FI"/>
              </w:rPr>
              <w:t>0,35</w:t>
            </w:r>
          </w:p>
        </w:tc>
        <w:tc>
          <w:tcPr>
            <w:tcW w:w="960" w:type="dxa"/>
            <w:shd w:val="clear" w:color="auto" w:fill="auto"/>
            <w:hideMark/>
          </w:tcPr>
          <w:p w:rsidR="00D66A70" w:rsidRPr="002335EA" w:rsidRDefault="00D66A70" w:rsidP="00D66A70">
            <w:pPr>
              <w:jc w:val="center"/>
              <w:rPr>
                <w:sz w:val="20"/>
                <w:lang w:eastAsia="fi-FI"/>
              </w:rPr>
            </w:pPr>
            <w:r w:rsidRPr="002335EA">
              <w:rPr>
                <w:sz w:val="20"/>
                <w:lang w:eastAsia="fi-FI"/>
              </w:rPr>
              <w:t>24,88</w:t>
            </w:r>
          </w:p>
        </w:tc>
      </w:tr>
      <w:tr w:rsidR="00D66A70" w:rsidRPr="002335EA" w:rsidTr="00D66A70">
        <w:trPr>
          <w:trHeight w:val="260"/>
        </w:trPr>
        <w:tc>
          <w:tcPr>
            <w:tcW w:w="2540" w:type="dxa"/>
            <w:shd w:val="clear" w:color="auto" w:fill="auto"/>
            <w:hideMark/>
          </w:tcPr>
          <w:p w:rsidR="00D66A70" w:rsidRPr="002335EA" w:rsidRDefault="00D66A70" w:rsidP="00D66A70">
            <w:pPr>
              <w:rPr>
                <w:sz w:val="20"/>
                <w:lang w:eastAsia="fi-FI"/>
              </w:rPr>
            </w:pPr>
            <w:r w:rsidRPr="002335EA">
              <w:rPr>
                <w:sz w:val="20"/>
                <w:lang w:eastAsia="fi-FI"/>
              </w:rPr>
              <w:t xml:space="preserve">Biopolttoöljy </w:t>
            </w:r>
            <w:proofErr w:type="spellStart"/>
            <w:r w:rsidRPr="002335EA">
              <w:rPr>
                <w:sz w:val="20"/>
                <w:lang w:eastAsia="fi-FI"/>
              </w:rPr>
              <w:t>snt</w:t>
            </w:r>
            <w:proofErr w:type="spellEnd"/>
            <w:r w:rsidRPr="002335EA">
              <w:rPr>
                <w:sz w:val="20"/>
                <w:lang w:eastAsia="fi-FI"/>
              </w:rPr>
              <w:t>/l</w:t>
            </w:r>
          </w:p>
        </w:tc>
        <w:tc>
          <w:tcPr>
            <w:tcW w:w="960" w:type="dxa"/>
            <w:shd w:val="clear" w:color="auto" w:fill="auto"/>
            <w:hideMark/>
          </w:tcPr>
          <w:p w:rsidR="00D66A70" w:rsidRPr="002335EA" w:rsidRDefault="00D66A70" w:rsidP="00D66A70">
            <w:pPr>
              <w:jc w:val="center"/>
              <w:rPr>
                <w:sz w:val="20"/>
                <w:lang w:eastAsia="fi-FI"/>
              </w:rPr>
            </w:pPr>
            <w:r w:rsidRPr="002335EA">
              <w:rPr>
                <w:sz w:val="20"/>
                <w:lang w:eastAsia="fi-FI"/>
              </w:rPr>
              <w:t>62</w:t>
            </w:r>
          </w:p>
        </w:tc>
        <w:tc>
          <w:tcPr>
            <w:tcW w:w="1178" w:type="dxa"/>
            <w:shd w:val="clear" w:color="auto" w:fill="auto"/>
            <w:hideMark/>
          </w:tcPr>
          <w:p w:rsidR="00D66A70" w:rsidRPr="002335EA" w:rsidRDefault="00D66A70" w:rsidP="00D66A70">
            <w:pPr>
              <w:jc w:val="center"/>
              <w:rPr>
                <w:sz w:val="20"/>
                <w:lang w:eastAsia="fi-FI"/>
              </w:rPr>
            </w:pPr>
            <w:r w:rsidRPr="002335EA">
              <w:rPr>
                <w:sz w:val="20"/>
                <w:lang w:eastAsia="fi-FI"/>
              </w:rPr>
              <w:t>7,63</w:t>
            </w:r>
          </w:p>
        </w:tc>
        <w:tc>
          <w:tcPr>
            <w:tcW w:w="1582" w:type="dxa"/>
            <w:shd w:val="clear" w:color="auto" w:fill="auto"/>
            <w:hideMark/>
          </w:tcPr>
          <w:p w:rsidR="00D66A70" w:rsidRPr="002335EA" w:rsidRDefault="00D66A70" w:rsidP="00D66A70">
            <w:pPr>
              <w:jc w:val="center"/>
              <w:rPr>
                <w:sz w:val="20"/>
                <w:lang w:eastAsia="fi-FI"/>
              </w:rPr>
            </w:pPr>
            <w:r w:rsidRPr="002335EA">
              <w:rPr>
                <w:sz w:val="20"/>
                <w:lang w:eastAsia="fi-FI"/>
              </w:rPr>
              <w:t>16,90</w:t>
            </w:r>
          </w:p>
        </w:tc>
        <w:tc>
          <w:tcPr>
            <w:tcW w:w="1160" w:type="dxa"/>
            <w:shd w:val="clear" w:color="auto" w:fill="auto"/>
            <w:hideMark/>
          </w:tcPr>
          <w:p w:rsidR="00D66A70" w:rsidRPr="002335EA" w:rsidRDefault="00D66A70" w:rsidP="00D66A70">
            <w:pPr>
              <w:jc w:val="center"/>
              <w:rPr>
                <w:sz w:val="20"/>
                <w:lang w:eastAsia="fi-FI"/>
              </w:rPr>
            </w:pPr>
            <w:r w:rsidRPr="002335EA">
              <w:rPr>
                <w:sz w:val="20"/>
                <w:lang w:eastAsia="fi-FI"/>
              </w:rPr>
              <w:t>0,35</w:t>
            </w:r>
          </w:p>
        </w:tc>
        <w:tc>
          <w:tcPr>
            <w:tcW w:w="960" w:type="dxa"/>
            <w:shd w:val="clear" w:color="auto" w:fill="auto"/>
            <w:hideMark/>
          </w:tcPr>
          <w:p w:rsidR="00D66A70" w:rsidRPr="002335EA" w:rsidRDefault="00D66A70" w:rsidP="00D66A70">
            <w:pPr>
              <w:jc w:val="center"/>
              <w:rPr>
                <w:sz w:val="20"/>
                <w:lang w:eastAsia="fi-FI"/>
              </w:rPr>
            </w:pPr>
            <w:r w:rsidRPr="002335EA">
              <w:rPr>
                <w:sz w:val="20"/>
                <w:lang w:eastAsia="fi-FI"/>
              </w:rPr>
              <w:t>24,88</w:t>
            </w:r>
          </w:p>
        </w:tc>
      </w:tr>
      <w:tr w:rsidR="00D66A70" w:rsidRPr="002335EA" w:rsidTr="00D66A70">
        <w:trPr>
          <w:trHeight w:val="260"/>
        </w:trPr>
        <w:tc>
          <w:tcPr>
            <w:tcW w:w="2540" w:type="dxa"/>
            <w:shd w:val="clear" w:color="auto" w:fill="auto"/>
            <w:hideMark/>
          </w:tcPr>
          <w:p w:rsidR="00D66A70" w:rsidRPr="002335EA" w:rsidRDefault="00D66A70" w:rsidP="00D66A70">
            <w:pPr>
              <w:rPr>
                <w:sz w:val="20"/>
                <w:lang w:eastAsia="fi-FI"/>
              </w:rPr>
            </w:pPr>
            <w:r w:rsidRPr="002335EA">
              <w:rPr>
                <w:sz w:val="20"/>
                <w:lang w:eastAsia="fi-FI"/>
              </w:rPr>
              <w:t xml:space="preserve">Biopolttoöljy R </w:t>
            </w:r>
            <w:proofErr w:type="spellStart"/>
            <w:r w:rsidRPr="002335EA">
              <w:rPr>
                <w:sz w:val="20"/>
                <w:lang w:eastAsia="fi-FI"/>
              </w:rPr>
              <w:t>snt</w:t>
            </w:r>
            <w:proofErr w:type="spellEnd"/>
            <w:r w:rsidRPr="002335EA">
              <w:rPr>
                <w:sz w:val="20"/>
                <w:lang w:eastAsia="fi-FI"/>
              </w:rPr>
              <w:t>/l</w:t>
            </w:r>
          </w:p>
        </w:tc>
        <w:tc>
          <w:tcPr>
            <w:tcW w:w="960" w:type="dxa"/>
            <w:shd w:val="clear" w:color="auto" w:fill="auto"/>
            <w:hideMark/>
          </w:tcPr>
          <w:p w:rsidR="00D66A70" w:rsidRPr="002335EA" w:rsidRDefault="00D66A70" w:rsidP="00D66A70">
            <w:pPr>
              <w:jc w:val="center"/>
              <w:rPr>
                <w:sz w:val="20"/>
                <w:lang w:eastAsia="fi-FI"/>
              </w:rPr>
            </w:pPr>
            <w:r w:rsidRPr="002335EA">
              <w:rPr>
                <w:sz w:val="20"/>
                <w:lang w:eastAsia="fi-FI"/>
              </w:rPr>
              <w:t>63</w:t>
            </w:r>
          </w:p>
        </w:tc>
        <w:tc>
          <w:tcPr>
            <w:tcW w:w="1178" w:type="dxa"/>
            <w:shd w:val="clear" w:color="auto" w:fill="auto"/>
            <w:hideMark/>
          </w:tcPr>
          <w:p w:rsidR="00D66A70" w:rsidRPr="002335EA" w:rsidRDefault="00D66A70" w:rsidP="00D66A70">
            <w:pPr>
              <w:jc w:val="center"/>
              <w:rPr>
                <w:sz w:val="20"/>
                <w:lang w:eastAsia="fi-FI"/>
              </w:rPr>
            </w:pPr>
            <w:r w:rsidRPr="002335EA">
              <w:rPr>
                <w:sz w:val="20"/>
                <w:lang w:eastAsia="fi-FI"/>
              </w:rPr>
              <w:t>7,63</w:t>
            </w:r>
          </w:p>
        </w:tc>
        <w:tc>
          <w:tcPr>
            <w:tcW w:w="1582" w:type="dxa"/>
            <w:shd w:val="clear" w:color="auto" w:fill="auto"/>
            <w:hideMark/>
          </w:tcPr>
          <w:p w:rsidR="00D66A70" w:rsidRPr="002335EA" w:rsidRDefault="00D66A70" w:rsidP="00D66A70">
            <w:pPr>
              <w:jc w:val="center"/>
              <w:rPr>
                <w:sz w:val="20"/>
                <w:lang w:eastAsia="fi-FI"/>
              </w:rPr>
            </w:pPr>
            <w:r w:rsidRPr="002335EA">
              <w:rPr>
                <w:sz w:val="20"/>
                <w:lang w:eastAsia="fi-FI"/>
              </w:rPr>
              <w:t>8,45</w:t>
            </w:r>
          </w:p>
        </w:tc>
        <w:tc>
          <w:tcPr>
            <w:tcW w:w="1160" w:type="dxa"/>
            <w:shd w:val="clear" w:color="auto" w:fill="auto"/>
            <w:hideMark/>
          </w:tcPr>
          <w:p w:rsidR="00D66A70" w:rsidRPr="002335EA" w:rsidRDefault="00D66A70" w:rsidP="00D66A70">
            <w:pPr>
              <w:jc w:val="center"/>
              <w:rPr>
                <w:sz w:val="20"/>
                <w:lang w:eastAsia="fi-FI"/>
              </w:rPr>
            </w:pPr>
            <w:r w:rsidRPr="002335EA">
              <w:rPr>
                <w:sz w:val="20"/>
                <w:lang w:eastAsia="fi-FI"/>
              </w:rPr>
              <w:t>0,35</w:t>
            </w:r>
          </w:p>
        </w:tc>
        <w:tc>
          <w:tcPr>
            <w:tcW w:w="960" w:type="dxa"/>
            <w:shd w:val="clear" w:color="auto" w:fill="auto"/>
            <w:hideMark/>
          </w:tcPr>
          <w:p w:rsidR="00D66A70" w:rsidRPr="002335EA" w:rsidRDefault="00D66A70" w:rsidP="00D66A70">
            <w:pPr>
              <w:jc w:val="center"/>
              <w:rPr>
                <w:sz w:val="20"/>
                <w:lang w:eastAsia="fi-FI"/>
              </w:rPr>
            </w:pPr>
            <w:r w:rsidRPr="002335EA">
              <w:rPr>
                <w:sz w:val="20"/>
                <w:lang w:eastAsia="fi-FI"/>
              </w:rPr>
              <w:t>16,43</w:t>
            </w:r>
          </w:p>
        </w:tc>
      </w:tr>
      <w:tr w:rsidR="00D66A70" w:rsidRPr="002335EA" w:rsidTr="00D66A70">
        <w:trPr>
          <w:trHeight w:val="260"/>
        </w:trPr>
        <w:tc>
          <w:tcPr>
            <w:tcW w:w="2540" w:type="dxa"/>
            <w:shd w:val="clear" w:color="auto" w:fill="auto"/>
            <w:hideMark/>
          </w:tcPr>
          <w:p w:rsidR="00D66A70" w:rsidRPr="002335EA" w:rsidRDefault="00D66A70" w:rsidP="00D66A70">
            <w:pPr>
              <w:rPr>
                <w:sz w:val="20"/>
                <w:lang w:eastAsia="fi-FI"/>
              </w:rPr>
            </w:pPr>
            <w:r w:rsidRPr="002335EA">
              <w:rPr>
                <w:sz w:val="20"/>
                <w:lang w:eastAsia="fi-FI"/>
              </w:rPr>
              <w:t xml:space="preserve">Biopolttoöljy T </w:t>
            </w:r>
            <w:proofErr w:type="spellStart"/>
            <w:r w:rsidRPr="002335EA">
              <w:rPr>
                <w:sz w:val="20"/>
                <w:lang w:eastAsia="fi-FI"/>
              </w:rPr>
              <w:t>snt</w:t>
            </w:r>
            <w:proofErr w:type="spellEnd"/>
            <w:r w:rsidRPr="002335EA">
              <w:rPr>
                <w:sz w:val="20"/>
                <w:lang w:eastAsia="fi-FI"/>
              </w:rPr>
              <w:t>/l</w:t>
            </w:r>
          </w:p>
        </w:tc>
        <w:tc>
          <w:tcPr>
            <w:tcW w:w="960" w:type="dxa"/>
            <w:shd w:val="clear" w:color="auto" w:fill="auto"/>
            <w:hideMark/>
          </w:tcPr>
          <w:p w:rsidR="00D66A70" w:rsidRPr="002335EA" w:rsidRDefault="00D66A70" w:rsidP="00D66A70">
            <w:pPr>
              <w:jc w:val="center"/>
              <w:rPr>
                <w:sz w:val="20"/>
                <w:lang w:eastAsia="fi-FI"/>
              </w:rPr>
            </w:pPr>
            <w:r w:rsidRPr="002335EA">
              <w:rPr>
                <w:sz w:val="20"/>
                <w:lang w:eastAsia="fi-FI"/>
              </w:rPr>
              <w:t>64</w:t>
            </w:r>
          </w:p>
        </w:tc>
        <w:tc>
          <w:tcPr>
            <w:tcW w:w="1178" w:type="dxa"/>
            <w:shd w:val="clear" w:color="auto" w:fill="auto"/>
            <w:hideMark/>
          </w:tcPr>
          <w:p w:rsidR="00D66A70" w:rsidRPr="002335EA" w:rsidRDefault="00D66A70" w:rsidP="00D66A70">
            <w:pPr>
              <w:jc w:val="center"/>
              <w:rPr>
                <w:sz w:val="20"/>
                <w:lang w:eastAsia="fi-FI"/>
              </w:rPr>
            </w:pPr>
            <w:r w:rsidRPr="002335EA">
              <w:rPr>
                <w:sz w:val="20"/>
                <w:lang w:eastAsia="fi-FI"/>
              </w:rPr>
              <w:t>7,63</w:t>
            </w:r>
          </w:p>
        </w:tc>
        <w:tc>
          <w:tcPr>
            <w:tcW w:w="1582" w:type="dxa"/>
            <w:shd w:val="clear" w:color="auto" w:fill="auto"/>
            <w:hideMark/>
          </w:tcPr>
          <w:p w:rsidR="00D66A70" w:rsidRPr="002335EA" w:rsidRDefault="00D66A70" w:rsidP="00D66A70">
            <w:pPr>
              <w:jc w:val="center"/>
              <w:rPr>
                <w:sz w:val="20"/>
                <w:lang w:eastAsia="fi-FI"/>
              </w:rPr>
            </w:pPr>
            <w:r w:rsidRPr="002335EA">
              <w:rPr>
                <w:sz w:val="20"/>
                <w:lang w:eastAsia="fi-FI"/>
              </w:rPr>
              <w:t>0,00</w:t>
            </w:r>
          </w:p>
        </w:tc>
        <w:tc>
          <w:tcPr>
            <w:tcW w:w="1160" w:type="dxa"/>
            <w:shd w:val="clear" w:color="auto" w:fill="auto"/>
            <w:hideMark/>
          </w:tcPr>
          <w:p w:rsidR="00D66A70" w:rsidRPr="002335EA" w:rsidRDefault="00D66A70" w:rsidP="00D66A70">
            <w:pPr>
              <w:jc w:val="center"/>
              <w:rPr>
                <w:sz w:val="20"/>
                <w:lang w:eastAsia="fi-FI"/>
              </w:rPr>
            </w:pPr>
            <w:r w:rsidRPr="002335EA">
              <w:rPr>
                <w:sz w:val="20"/>
                <w:lang w:eastAsia="fi-FI"/>
              </w:rPr>
              <w:t>0,35</w:t>
            </w:r>
          </w:p>
        </w:tc>
        <w:tc>
          <w:tcPr>
            <w:tcW w:w="960" w:type="dxa"/>
            <w:shd w:val="clear" w:color="auto" w:fill="auto"/>
            <w:hideMark/>
          </w:tcPr>
          <w:p w:rsidR="00D66A70" w:rsidRPr="002335EA" w:rsidRDefault="00D66A70" w:rsidP="00D66A70">
            <w:pPr>
              <w:jc w:val="center"/>
              <w:rPr>
                <w:sz w:val="20"/>
                <w:lang w:eastAsia="fi-FI"/>
              </w:rPr>
            </w:pPr>
            <w:r w:rsidRPr="002335EA">
              <w:rPr>
                <w:sz w:val="20"/>
                <w:lang w:eastAsia="fi-FI"/>
              </w:rPr>
              <w:t>7,98</w:t>
            </w:r>
          </w:p>
        </w:tc>
      </w:tr>
      <w:tr w:rsidR="00D66A70" w:rsidRPr="002335EA" w:rsidTr="00D66A70">
        <w:trPr>
          <w:trHeight w:val="260"/>
        </w:trPr>
        <w:tc>
          <w:tcPr>
            <w:tcW w:w="2540" w:type="dxa"/>
            <w:shd w:val="clear" w:color="auto" w:fill="auto"/>
            <w:hideMark/>
          </w:tcPr>
          <w:p w:rsidR="00D66A70" w:rsidRPr="002335EA" w:rsidRDefault="00D66A70" w:rsidP="00D66A70">
            <w:pPr>
              <w:rPr>
                <w:sz w:val="20"/>
                <w:lang w:eastAsia="fi-FI"/>
              </w:rPr>
            </w:pPr>
            <w:r w:rsidRPr="002335EA">
              <w:rPr>
                <w:sz w:val="20"/>
                <w:lang w:eastAsia="fi-FI"/>
              </w:rPr>
              <w:t xml:space="preserve">Raskas polttoöljy </w:t>
            </w:r>
            <w:proofErr w:type="spellStart"/>
            <w:r w:rsidRPr="002335EA">
              <w:rPr>
                <w:sz w:val="20"/>
                <w:lang w:eastAsia="fi-FI"/>
              </w:rPr>
              <w:t>snt</w:t>
            </w:r>
            <w:proofErr w:type="spellEnd"/>
            <w:r w:rsidRPr="002335EA">
              <w:rPr>
                <w:sz w:val="20"/>
                <w:lang w:eastAsia="fi-FI"/>
              </w:rPr>
              <w:t>/kg</w:t>
            </w:r>
          </w:p>
        </w:tc>
        <w:tc>
          <w:tcPr>
            <w:tcW w:w="960" w:type="dxa"/>
            <w:shd w:val="clear" w:color="auto" w:fill="auto"/>
            <w:hideMark/>
          </w:tcPr>
          <w:p w:rsidR="00D66A70" w:rsidRPr="002335EA" w:rsidRDefault="00D66A70" w:rsidP="00D66A70">
            <w:pPr>
              <w:jc w:val="center"/>
              <w:rPr>
                <w:sz w:val="20"/>
                <w:lang w:eastAsia="fi-FI"/>
              </w:rPr>
            </w:pPr>
            <w:r w:rsidRPr="002335EA">
              <w:rPr>
                <w:sz w:val="20"/>
                <w:lang w:eastAsia="fi-FI"/>
              </w:rPr>
              <w:t>71</w:t>
            </w:r>
          </w:p>
        </w:tc>
        <w:tc>
          <w:tcPr>
            <w:tcW w:w="1178" w:type="dxa"/>
            <w:shd w:val="clear" w:color="auto" w:fill="auto"/>
            <w:hideMark/>
          </w:tcPr>
          <w:p w:rsidR="00D66A70" w:rsidRPr="002335EA" w:rsidRDefault="00D66A70" w:rsidP="00D66A70">
            <w:pPr>
              <w:jc w:val="center"/>
              <w:rPr>
                <w:sz w:val="20"/>
                <w:lang w:eastAsia="fi-FI"/>
              </w:rPr>
            </w:pPr>
            <w:r w:rsidRPr="002335EA">
              <w:rPr>
                <w:sz w:val="20"/>
                <w:lang w:eastAsia="fi-FI"/>
              </w:rPr>
              <w:t>8,56</w:t>
            </w:r>
          </w:p>
        </w:tc>
        <w:tc>
          <w:tcPr>
            <w:tcW w:w="1582" w:type="dxa"/>
            <w:shd w:val="clear" w:color="auto" w:fill="auto"/>
            <w:hideMark/>
          </w:tcPr>
          <w:p w:rsidR="00D66A70" w:rsidRPr="002335EA" w:rsidRDefault="00D66A70" w:rsidP="00D66A70">
            <w:pPr>
              <w:jc w:val="center"/>
              <w:rPr>
                <w:sz w:val="20"/>
                <w:lang w:eastAsia="fi-FI"/>
              </w:rPr>
            </w:pPr>
            <w:r w:rsidRPr="002335EA">
              <w:rPr>
                <w:sz w:val="20"/>
                <w:lang w:eastAsia="fi-FI"/>
              </w:rPr>
              <w:t>18,67</w:t>
            </w:r>
          </w:p>
        </w:tc>
        <w:tc>
          <w:tcPr>
            <w:tcW w:w="1160" w:type="dxa"/>
            <w:shd w:val="clear" w:color="auto" w:fill="auto"/>
            <w:hideMark/>
          </w:tcPr>
          <w:p w:rsidR="00D66A70" w:rsidRPr="002335EA" w:rsidRDefault="00D66A70" w:rsidP="00D66A70">
            <w:pPr>
              <w:jc w:val="center"/>
              <w:rPr>
                <w:sz w:val="20"/>
                <w:lang w:eastAsia="fi-FI"/>
              </w:rPr>
            </w:pPr>
            <w:r w:rsidRPr="002335EA">
              <w:rPr>
                <w:sz w:val="20"/>
                <w:lang w:eastAsia="fi-FI"/>
              </w:rPr>
              <w:t>0,28</w:t>
            </w:r>
          </w:p>
        </w:tc>
        <w:tc>
          <w:tcPr>
            <w:tcW w:w="960" w:type="dxa"/>
            <w:shd w:val="clear" w:color="auto" w:fill="auto"/>
            <w:hideMark/>
          </w:tcPr>
          <w:p w:rsidR="00D66A70" w:rsidRPr="002335EA" w:rsidRDefault="00D66A70" w:rsidP="00D66A70">
            <w:pPr>
              <w:jc w:val="center"/>
              <w:rPr>
                <w:sz w:val="20"/>
                <w:lang w:eastAsia="fi-FI"/>
              </w:rPr>
            </w:pPr>
            <w:r w:rsidRPr="002335EA">
              <w:rPr>
                <w:sz w:val="20"/>
                <w:lang w:eastAsia="fi-FI"/>
              </w:rPr>
              <w:t>27,51</w:t>
            </w:r>
          </w:p>
        </w:tc>
      </w:tr>
      <w:tr w:rsidR="00D66A70" w:rsidRPr="002335EA" w:rsidTr="00D66A70">
        <w:trPr>
          <w:trHeight w:val="260"/>
        </w:trPr>
        <w:tc>
          <w:tcPr>
            <w:tcW w:w="2540" w:type="dxa"/>
            <w:shd w:val="clear" w:color="auto" w:fill="auto"/>
            <w:hideMark/>
          </w:tcPr>
          <w:p w:rsidR="00D66A70" w:rsidRPr="002335EA" w:rsidRDefault="00D66A70" w:rsidP="00D66A70">
            <w:pPr>
              <w:rPr>
                <w:sz w:val="20"/>
                <w:lang w:eastAsia="fi-FI"/>
              </w:rPr>
            </w:pPr>
            <w:r w:rsidRPr="002335EA">
              <w:rPr>
                <w:sz w:val="20"/>
                <w:lang w:eastAsia="fi-FI"/>
              </w:rPr>
              <w:t xml:space="preserve">Lentopetroli </w:t>
            </w:r>
            <w:proofErr w:type="spellStart"/>
            <w:r w:rsidRPr="002335EA">
              <w:rPr>
                <w:sz w:val="20"/>
                <w:lang w:eastAsia="fi-FI"/>
              </w:rPr>
              <w:t>snt</w:t>
            </w:r>
            <w:proofErr w:type="spellEnd"/>
            <w:r w:rsidRPr="002335EA">
              <w:rPr>
                <w:sz w:val="20"/>
                <w:lang w:eastAsia="fi-FI"/>
              </w:rPr>
              <w:t>/l</w:t>
            </w:r>
          </w:p>
        </w:tc>
        <w:tc>
          <w:tcPr>
            <w:tcW w:w="960" w:type="dxa"/>
            <w:shd w:val="clear" w:color="auto" w:fill="auto"/>
            <w:hideMark/>
          </w:tcPr>
          <w:p w:rsidR="00D66A70" w:rsidRPr="002335EA" w:rsidRDefault="00D66A70" w:rsidP="00D66A70">
            <w:pPr>
              <w:jc w:val="center"/>
              <w:rPr>
                <w:sz w:val="20"/>
                <w:lang w:eastAsia="fi-FI"/>
              </w:rPr>
            </w:pPr>
            <w:r w:rsidRPr="002335EA">
              <w:rPr>
                <w:sz w:val="20"/>
                <w:lang w:eastAsia="fi-FI"/>
              </w:rPr>
              <w:t>81</w:t>
            </w:r>
          </w:p>
        </w:tc>
        <w:tc>
          <w:tcPr>
            <w:tcW w:w="1178" w:type="dxa"/>
            <w:shd w:val="clear" w:color="auto" w:fill="auto"/>
            <w:hideMark/>
          </w:tcPr>
          <w:p w:rsidR="00D66A70" w:rsidRPr="002335EA" w:rsidRDefault="00D66A70" w:rsidP="00D66A70">
            <w:pPr>
              <w:jc w:val="center"/>
              <w:rPr>
                <w:i/>
                <w:sz w:val="20"/>
                <w:lang w:eastAsia="fi-FI"/>
              </w:rPr>
            </w:pPr>
            <w:r w:rsidRPr="002335EA">
              <w:rPr>
                <w:i/>
                <w:sz w:val="20"/>
                <w:lang w:eastAsia="fi-FI"/>
              </w:rPr>
              <w:t>61,49</w:t>
            </w:r>
          </w:p>
        </w:tc>
        <w:tc>
          <w:tcPr>
            <w:tcW w:w="1582" w:type="dxa"/>
            <w:shd w:val="clear" w:color="auto" w:fill="auto"/>
            <w:hideMark/>
          </w:tcPr>
          <w:p w:rsidR="00D66A70" w:rsidRPr="002335EA" w:rsidRDefault="00D66A70" w:rsidP="00D66A70">
            <w:pPr>
              <w:jc w:val="center"/>
              <w:rPr>
                <w:i/>
                <w:sz w:val="20"/>
                <w:lang w:eastAsia="fi-FI"/>
              </w:rPr>
            </w:pPr>
            <w:r w:rsidRPr="002335EA">
              <w:rPr>
                <w:i/>
                <w:sz w:val="20"/>
                <w:lang w:eastAsia="fi-FI"/>
              </w:rPr>
              <w:t>18,79</w:t>
            </w:r>
          </w:p>
        </w:tc>
        <w:tc>
          <w:tcPr>
            <w:tcW w:w="1160" w:type="dxa"/>
            <w:shd w:val="clear" w:color="auto" w:fill="auto"/>
            <w:hideMark/>
          </w:tcPr>
          <w:p w:rsidR="00D66A70" w:rsidRPr="002335EA" w:rsidRDefault="00D66A70" w:rsidP="00D66A70">
            <w:pPr>
              <w:jc w:val="center"/>
              <w:rPr>
                <w:sz w:val="20"/>
                <w:lang w:eastAsia="fi-FI"/>
              </w:rPr>
            </w:pPr>
            <w:r w:rsidRPr="002335EA">
              <w:rPr>
                <w:sz w:val="20"/>
                <w:lang w:eastAsia="fi-FI"/>
              </w:rPr>
              <w:t>0,35</w:t>
            </w:r>
          </w:p>
        </w:tc>
        <w:tc>
          <w:tcPr>
            <w:tcW w:w="960" w:type="dxa"/>
            <w:shd w:val="clear" w:color="auto" w:fill="auto"/>
            <w:hideMark/>
          </w:tcPr>
          <w:p w:rsidR="00D66A70" w:rsidRPr="002335EA" w:rsidRDefault="00D66A70" w:rsidP="00D66A70">
            <w:pPr>
              <w:jc w:val="center"/>
              <w:rPr>
                <w:i/>
                <w:sz w:val="20"/>
                <w:lang w:eastAsia="fi-FI"/>
              </w:rPr>
            </w:pPr>
            <w:r w:rsidRPr="002335EA">
              <w:rPr>
                <w:i/>
                <w:sz w:val="20"/>
                <w:lang w:eastAsia="fi-FI"/>
              </w:rPr>
              <w:t>80,63</w:t>
            </w:r>
          </w:p>
        </w:tc>
      </w:tr>
      <w:tr w:rsidR="00D66A70" w:rsidRPr="002335EA" w:rsidTr="00D66A70">
        <w:trPr>
          <w:trHeight w:val="260"/>
        </w:trPr>
        <w:tc>
          <w:tcPr>
            <w:tcW w:w="2540" w:type="dxa"/>
            <w:shd w:val="clear" w:color="auto" w:fill="auto"/>
            <w:hideMark/>
          </w:tcPr>
          <w:p w:rsidR="00D66A70" w:rsidRPr="002335EA" w:rsidRDefault="00D66A70" w:rsidP="00D66A70">
            <w:pPr>
              <w:rPr>
                <w:sz w:val="20"/>
                <w:lang w:eastAsia="fi-FI"/>
              </w:rPr>
            </w:pPr>
            <w:r w:rsidRPr="002335EA">
              <w:rPr>
                <w:sz w:val="20"/>
                <w:lang w:eastAsia="fi-FI"/>
              </w:rPr>
              <w:t xml:space="preserve">Lentobensiini </w:t>
            </w:r>
            <w:proofErr w:type="spellStart"/>
            <w:r w:rsidRPr="002335EA">
              <w:rPr>
                <w:sz w:val="20"/>
                <w:lang w:eastAsia="fi-FI"/>
              </w:rPr>
              <w:t>snt</w:t>
            </w:r>
            <w:proofErr w:type="spellEnd"/>
            <w:r w:rsidRPr="002335EA">
              <w:rPr>
                <w:sz w:val="20"/>
                <w:lang w:eastAsia="fi-FI"/>
              </w:rPr>
              <w:t>/l</w:t>
            </w:r>
          </w:p>
        </w:tc>
        <w:tc>
          <w:tcPr>
            <w:tcW w:w="960" w:type="dxa"/>
            <w:shd w:val="clear" w:color="auto" w:fill="auto"/>
            <w:hideMark/>
          </w:tcPr>
          <w:p w:rsidR="00D66A70" w:rsidRPr="002335EA" w:rsidRDefault="00D66A70" w:rsidP="00D66A70">
            <w:pPr>
              <w:jc w:val="center"/>
              <w:rPr>
                <w:sz w:val="20"/>
                <w:lang w:eastAsia="fi-FI"/>
              </w:rPr>
            </w:pPr>
            <w:r w:rsidRPr="002335EA">
              <w:rPr>
                <w:sz w:val="20"/>
                <w:lang w:eastAsia="fi-FI"/>
              </w:rPr>
              <w:t>91</w:t>
            </w:r>
          </w:p>
        </w:tc>
        <w:tc>
          <w:tcPr>
            <w:tcW w:w="1178" w:type="dxa"/>
            <w:shd w:val="clear" w:color="auto" w:fill="auto"/>
            <w:hideMark/>
          </w:tcPr>
          <w:p w:rsidR="00D66A70" w:rsidRPr="002335EA" w:rsidRDefault="00D66A70" w:rsidP="00D66A70">
            <w:pPr>
              <w:jc w:val="center"/>
              <w:rPr>
                <w:i/>
                <w:sz w:val="20"/>
                <w:lang w:eastAsia="fi-FI"/>
              </w:rPr>
            </w:pPr>
            <w:r w:rsidRPr="002335EA">
              <w:rPr>
                <w:i/>
                <w:sz w:val="20"/>
                <w:lang w:eastAsia="fi-FI"/>
              </w:rPr>
              <w:t>55,74</w:t>
            </w:r>
          </w:p>
        </w:tc>
        <w:tc>
          <w:tcPr>
            <w:tcW w:w="1582" w:type="dxa"/>
            <w:shd w:val="clear" w:color="auto" w:fill="auto"/>
            <w:hideMark/>
          </w:tcPr>
          <w:p w:rsidR="00D66A70" w:rsidRPr="002335EA" w:rsidRDefault="00D66A70" w:rsidP="00D66A70">
            <w:pPr>
              <w:jc w:val="center"/>
              <w:rPr>
                <w:i/>
                <w:sz w:val="20"/>
                <w:lang w:eastAsia="fi-FI"/>
              </w:rPr>
            </w:pPr>
            <w:r w:rsidRPr="002335EA">
              <w:rPr>
                <w:i/>
                <w:sz w:val="20"/>
                <w:lang w:eastAsia="fi-FI"/>
              </w:rPr>
              <w:t>16,76</w:t>
            </w:r>
          </w:p>
        </w:tc>
        <w:tc>
          <w:tcPr>
            <w:tcW w:w="1160" w:type="dxa"/>
            <w:shd w:val="clear" w:color="auto" w:fill="auto"/>
            <w:hideMark/>
          </w:tcPr>
          <w:p w:rsidR="00D66A70" w:rsidRPr="002335EA" w:rsidRDefault="00D66A70" w:rsidP="00D66A70">
            <w:pPr>
              <w:jc w:val="center"/>
              <w:rPr>
                <w:sz w:val="20"/>
                <w:lang w:eastAsia="fi-FI"/>
              </w:rPr>
            </w:pPr>
            <w:r w:rsidRPr="002335EA">
              <w:rPr>
                <w:sz w:val="20"/>
                <w:lang w:eastAsia="fi-FI"/>
              </w:rPr>
              <w:t>0,68</w:t>
            </w:r>
          </w:p>
        </w:tc>
        <w:tc>
          <w:tcPr>
            <w:tcW w:w="960" w:type="dxa"/>
            <w:shd w:val="clear" w:color="auto" w:fill="auto"/>
            <w:hideMark/>
          </w:tcPr>
          <w:p w:rsidR="00D66A70" w:rsidRPr="002335EA" w:rsidRDefault="00D66A70" w:rsidP="00D66A70">
            <w:pPr>
              <w:jc w:val="center"/>
              <w:rPr>
                <w:i/>
                <w:sz w:val="20"/>
                <w:lang w:eastAsia="fi-FI"/>
              </w:rPr>
            </w:pPr>
            <w:r w:rsidRPr="002335EA">
              <w:rPr>
                <w:i/>
                <w:sz w:val="20"/>
                <w:lang w:eastAsia="fi-FI"/>
              </w:rPr>
              <w:t>73,18</w:t>
            </w:r>
          </w:p>
        </w:tc>
      </w:tr>
      <w:tr w:rsidR="00D66A70" w:rsidRPr="002335EA" w:rsidTr="00D66A70">
        <w:trPr>
          <w:trHeight w:val="260"/>
        </w:trPr>
        <w:tc>
          <w:tcPr>
            <w:tcW w:w="2540" w:type="dxa"/>
            <w:shd w:val="clear" w:color="auto" w:fill="auto"/>
            <w:hideMark/>
          </w:tcPr>
          <w:p w:rsidR="00D66A70" w:rsidRPr="002335EA" w:rsidRDefault="00D66A70" w:rsidP="00D66A70">
            <w:pPr>
              <w:rPr>
                <w:sz w:val="20"/>
                <w:lang w:eastAsia="fi-FI"/>
              </w:rPr>
            </w:pPr>
            <w:r w:rsidRPr="002335EA">
              <w:rPr>
                <w:sz w:val="20"/>
                <w:lang w:eastAsia="fi-FI"/>
              </w:rPr>
              <w:t xml:space="preserve">Metanoli </w:t>
            </w:r>
            <w:proofErr w:type="spellStart"/>
            <w:r w:rsidRPr="002335EA">
              <w:rPr>
                <w:sz w:val="20"/>
                <w:lang w:eastAsia="fi-FI"/>
              </w:rPr>
              <w:t>snt</w:t>
            </w:r>
            <w:proofErr w:type="spellEnd"/>
            <w:r w:rsidRPr="002335EA">
              <w:rPr>
                <w:sz w:val="20"/>
                <w:lang w:eastAsia="fi-FI"/>
              </w:rPr>
              <w:t>/l</w:t>
            </w:r>
          </w:p>
        </w:tc>
        <w:tc>
          <w:tcPr>
            <w:tcW w:w="960" w:type="dxa"/>
            <w:shd w:val="clear" w:color="auto" w:fill="auto"/>
            <w:hideMark/>
          </w:tcPr>
          <w:p w:rsidR="00D66A70" w:rsidRPr="002335EA" w:rsidRDefault="00D66A70" w:rsidP="00D66A70">
            <w:pPr>
              <w:jc w:val="center"/>
              <w:rPr>
                <w:sz w:val="20"/>
                <w:lang w:eastAsia="fi-FI"/>
              </w:rPr>
            </w:pPr>
            <w:r w:rsidRPr="002335EA">
              <w:rPr>
                <w:sz w:val="20"/>
                <w:lang w:eastAsia="fi-FI"/>
              </w:rPr>
              <w:t>100</w:t>
            </w:r>
          </w:p>
        </w:tc>
        <w:tc>
          <w:tcPr>
            <w:tcW w:w="1178" w:type="dxa"/>
            <w:shd w:val="clear" w:color="auto" w:fill="auto"/>
            <w:hideMark/>
          </w:tcPr>
          <w:p w:rsidR="00D66A70" w:rsidRPr="002335EA" w:rsidRDefault="00D66A70" w:rsidP="00D66A70">
            <w:pPr>
              <w:jc w:val="center"/>
              <w:rPr>
                <w:i/>
                <w:sz w:val="20"/>
                <w:lang w:eastAsia="fi-FI"/>
              </w:rPr>
            </w:pPr>
            <w:r w:rsidRPr="002335EA">
              <w:rPr>
                <w:i/>
                <w:sz w:val="20"/>
                <w:lang w:eastAsia="fi-FI"/>
              </w:rPr>
              <w:t>28,77</w:t>
            </w:r>
          </w:p>
        </w:tc>
        <w:tc>
          <w:tcPr>
            <w:tcW w:w="1582" w:type="dxa"/>
            <w:shd w:val="clear" w:color="auto" w:fill="auto"/>
            <w:hideMark/>
          </w:tcPr>
          <w:p w:rsidR="00D66A70" w:rsidRPr="002335EA" w:rsidRDefault="00D66A70" w:rsidP="00D66A70">
            <w:pPr>
              <w:jc w:val="center"/>
              <w:rPr>
                <w:i/>
                <w:sz w:val="20"/>
                <w:lang w:eastAsia="fi-FI"/>
              </w:rPr>
            </w:pPr>
            <w:r w:rsidRPr="002335EA">
              <w:rPr>
                <w:i/>
                <w:sz w:val="20"/>
                <w:lang w:eastAsia="fi-FI"/>
              </w:rPr>
              <w:t>8,65</w:t>
            </w:r>
          </w:p>
        </w:tc>
        <w:tc>
          <w:tcPr>
            <w:tcW w:w="1160" w:type="dxa"/>
            <w:shd w:val="clear" w:color="auto" w:fill="auto"/>
            <w:hideMark/>
          </w:tcPr>
          <w:p w:rsidR="00D66A70" w:rsidRPr="002335EA" w:rsidRDefault="00D66A70" w:rsidP="00D66A70">
            <w:pPr>
              <w:jc w:val="center"/>
              <w:rPr>
                <w:sz w:val="20"/>
                <w:lang w:eastAsia="fi-FI"/>
              </w:rPr>
            </w:pPr>
            <w:r w:rsidRPr="002335EA">
              <w:rPr>
                <w:sz w:val="20"/>
                <w:lang w:eastAsia="fi-FI"/>
              </w:rPr>
              <w:t>0,68</w:t>
            </w:r>
          </w:p>
        </w:tc>
        <w:tc>
          <w:tcPr>
            <w:tcW w:w="960" w:type="dxa"/>
            <w:shd w:val="clear" w:color="auto" w:fill="auto"/>
            <w:hideMark/>
          </w:tcPr>
          <w:p w:rsidR="00D66A70" w:rsidRPr="002335EA" w:rsidRDefault="00D66A70" w:rsidP="00D66A70">
            <w:pPr>
              <w:jc w:val="center"/>
              <w:rPr>
                <w:i/>
                <w:sz w:val="20"/>
                <w:lang w:eastAsia="fi-FI"/>
              </w:rPr>
            </w:pPr>
            <w:r w:rsidRPr="002335EA">
              <w:rPr>
                <w:i/>
                <w:sz w:val="20"/>
                <w:lang w:eastAsia="fi-FI"/>
              </w:rPr>
              <w:t>38,10</w:t>
            </w:r>
          </w:p>
        </w:tc>
      </w:tr>
      <w:tr w:rsidR="00D66A70" w:rsidRPr="002335EA" w:rsidTr="00D66A70">
        <w:trPr>
          <w:trHeight w:val="260"/>
        </w:trPr>
        <w:tc>
          <w:tcPr>
            <w:tcW w:w="2540" w:type="dxa"/>
            <w:shd w:val="clear" w:color="auto" w:fill="auto"/>
            <w:hideMark/>
          </w:tcPr>
          <w:p w:rsidR="00D66A70" w:rsidRPr="002335EA" w:rsidRDefault="00D66A70" w:rsidP="00D66A70">
            <w:pPr>
              <w:rPr>
                <w:sz w:val="20"/>
                <w:lang w:eastAsia="fi-FI"/>
              </w:rPr>
            </w:pPr>
            <w:r w:rsidRPr="002335EA">
              <w:rPr>
                <w:sz w:val="20"/>
                <w:lang w:eastAsia="fi-FI"/>
              </w:rPr>
              <w:t xml:space="preserve">Metanoli R </w:t>
            </w:r>
            <w:proofErr w:type="spellStart"/>
            <w:r w:rsidRPr="002335EA">
              <w:rPr>
                <w:sz w:val="20"/>
                <w:lang w:eastAsia="fi-FI"/>
              </w:rPr>
              <w:t>snt</w:t>
            </w:r>
            <w:proofErr w:type="spellEnd"/>
            <w:r w:rsidRPr="002335EA">
              <w:rPr>
                <w:sz w:val="20"/>
                <w:lang w:eastAsia="fi-FI"/>
              </w:rPr>
              <w:t>/l</w:t>
            </w:r>
          </w:p>
        </w:tc>
        <w:tc>
          <w:tcPr>
            <w:tcW w:w="960" w:type="dxa"/>
            <w:shd w:val="clear" w:color="auto" w:fill="auto"/>
            <w:hideMark/>
          </w:tcPr>
          <w:p w:rsidR="00D66A70" w:rsidRPr="002335EA" w:rsidRDefault="00D66A70" w:rsidP="00D66A70">
            <w:pPr>
              <w:jc w:val="center"/>
              <w:rPr>
                <w:sz w:val="20"/>
                <w:lang w:eastAsia="fi-FI"/>
              </w:rPr>
            </w:pPr>
            <w:r w:rsidRPr="002335EA">
              <w:rPr>
                <w:sz w:val="20"/>
                <w:lang w:eastAsia="fi-FI"/>
              </w:rPr>
              <w:t>101</w:t>
            </w:r>
          </w:p>
        </w:tc>
        <w:tc>
          <w:tcPr>
            <w:tcW w:w="1178" w:type="dxa"/>
            <w:shd w:val="clear" w:color="auto" w:fill="auto"/>
            <w:hideMark/>
          </w:tcPr>
          <w:p w:rsidR="00D66A70" w:rsidRPr="002335EA" w:rsidRDefault="00D66A70" w:rsidP="00D66A70">
            <w:pPr>
              <w:jc w:val="center"/>
              <w:rPr>
                <w:i/>
                <w:sz w:val="20"/>
                <w:lang w:eastAsia="fi-FI"/>
              </w:rPr>
            </w:pPr>
            <w:r w:rsidRPr="002335EA">
              <w:rPr>
                <w:i/>
                <w:sz w:val="20"/>
                <w:lang w:eastAsia="fi-FI"/>
              </w:rPr>
              <w:t>28,77</w:t>
            </w:r>
          </w:p>
        </w:tc>
        <w:tc>
          <w:tcPr>
            <w:tcW w:w="1582" w:type="dxa"/>
            <w:shd w:val="clear" w:color="auto" w:fill="auto"/>
            <w:hideMark/>
          </w:tcPr>
          <w:p w:rsidR="00D66A70" w:rsidRPr="002335EA" w:rsidRDefault="00D66A70" w:rsidP="00D66A70">
            <w:pPr>
              <w:jc w:val="center"/>
              <w:rPr>
                <w:i/>
                <w:sz w:val="20"/>
                <w:lang w:eastAsia="fi-FI"/>
              </w:rPr>
            </w:pPr>
            <w:r w:rsidRPr="002335EA">
              <w:rPr>
                <w:i/>
                <w:sz w:val="20"/>
                <w:lang w:eastAsia="fi-FI"/>
              </w:rPr>
              <w:t>4,33</w:t>
            </w:r>
          </w:p>
        </w:tc>
        <w:tc>
          <w:tcPr>
            <w:tcW w:w="1160" w:type="dxa"/>
            <w:shd w:val="clear" w:color="auto" w:fill="auto"/>
            <w:hideMark/>
          </w:tcPr>
          <w:p w:rsidR="00D66A70" w:rsidRPr="002335EA" w:rsidRDefault="00D66A70" w:rsidP="00D66A70">
            <w:pPr>
              <w:jc w:val="center"/>
              <w:rPr>
                <w:sz w:val="20"/>
                <w:lang w:eastAsia="fi-FI"/>
              </w:rPr>
            </w:pPr>
            <w:r w:rsidRPr="002335EA">
              <w:rPr>
                <w:sz w:val="20"/>
                <w:lang w:eastAsia="fi-FI"/>
              </w:rPr>
              <w:t>0,68</w:t>
            </w:r>
          </w:p>
        </w:tc>
        <w:tc>
          <w:tcPr>
            <w:tcW w:w="960" w:type="dxa"/>
            <w:shd w:val="clear" w:color="auto" w:fill="auto"/>
            <w:hideMark/>
          </w:tcPr>
          <w:p w:rsidR="00D66A70" w:rsidRPr="002335EA" w:rsidRDefault="00D66A70" w:rsidP="00D66A70">
            <w:pPr>
              <w:jc w:val="center"/>
              <w:rPr>
                <w:i/>
                <w:sz w:val="20"/>
                <w:lang w:eastAsia="fi-FI"/>
              </w:rPr>
            </w:pPr>
            <w:r w:rsidRPr="002335EA">
              <w:rPr>
                <w:i/>
                <w:sz w:val="20"/>
                <w:lang w:eastAsia="fi-FI"/>
              </w:rPr>
              <w:t>33,78</w:t>
            </w:r>
          </w:p>
        </w:tc>
      </w:tr>
      <w:tr w:rsidR="00D66A70" w:rsidRPr="002335EA" w:rsidTr="00D66A70">
        <w:trPr>
          <w:trHeight w:val="260"/>
        </w:trPr>
        <w:tc>
          <w:tcPr>
            <w:tcW w:w="2540" w:type="dxa"/>
            <w:shd w:val="clear" w:color="auto" w:fill="auto"/>
            <w:hideMark/>
          </w:tcPr>
          <w:p w:rsidR="00D66A70" w:rsidRPr="002335EA" w:rsidRDefault="00D66A70" w:rsidP="00D66A70">
            <w:pPr>
              <w:rPr>
                <w:sz w:val="20"/>
                <w:lang w:eastAsia="fi-FI"/>
              </w:rPr>
            </w:pPr>
            <w:r w:rsidRPr="002335EA">
              <w:rPr>
                <w:sz w:val="20"/>
                <w:lang w:eastAsia="fi-FI"/>
              </w:rPr>
              <w:t xml:space="preserve">Metanoli T </w:t>
            </w:r>
            <w:proofErr w:type="spellStart"/>
            <w:r w:rsidRPr="002335EA">
              <w:rPr>
                <w:sz w:val="20"/>
                <w:lang w:eastAsia="fi-FI"/>
              </w:rPr>
              <w:t>snt</w:t>
            </w:r>
            <w:proofErr w:type="spellEnd"/>
            <w:r w:rsidRPr="002335EA">
              <w:rPr>
                <w:sz w:val="20"/>
                <w:lang w:eastAsia="fi-FI"/>
              </w:rPr>
              <w:t>/l</w:t>
            </w:r>
          </w:p>
        </w:tc>
        <w:tc>
          <w:tcPr>
            <w:tcW w:w="960" w:type="dxa"/>
            <w:shd w:val="clear" w:color="auto" w:fill="auto"/>
            <w:hideMark/>
          </w:tcPr>
          <w:p w:rsidR="00D66A70" w:rsidRPr="002335EA" w:rsidRDefault="00D66A70" w:rsidP="00D66A70">
            <w:pPr>
              <w:jc w:val="center"/>
              <w:rPr>
                <w:sz w:val="20"/>
                <w:lang w:eastAsia="fi-FI"/>
              </w:rPr>
            </w:pPr>
            <w:r w:rsidRPr="002335EA">
              <w:rPr>
                <w:sz w:val="20"/>
                <w:lang w:eastAsia="fi-FI"/>
              </w:rPr>
              <w:t>102</w:t>
            </w:r>
          </w:p>
        </w:tc>
        <w:tc>
          <w:tcPr>
            <w:tcW w:w="1178" w:type="dxa"/>
            <w:shd w:val="clear" w:color="auto" w:fill="auto"/>
            <w:hideMark/>
          </w:tcPr>
          <w:p w:rsidR="00D66A70" w:rsidRPr="002335EA" w:rsidRDefault="00D66A70" w:rsidP="00D66A70">
            <w:pPr>
              <w:jc w:val="center"/>
              <w:rPr>
                <w:i/>
                <w:sz w:val="20"/>
                <w:lang w:eastAsia="fi-FI"/>
              </w:rPr>
            </w:pPr>
            <w:r w:rsidRPr="002335EA">
              <w:rPr>
                <w:i/>
                <w:sz w:val="20"/>
                <w:lang w:eastAsia="fi-FI"/>
              </w:rPr>
              <w:t>28,77</w:t>
            </w:r>
          </w:p>
        </w:tc>
        <w:tc>
          <w:tcPr>
            <w:tcW w:w="1582" w:type="dxa"/>
            <w:shd w:val="clear" w:color="auto" w:fill="auto"/>
            <w:hideMark/>
          </w:tcPr>
          <w:p w:rsidR="00D66A70" w:rsidRPr="002335EA" w:rsidRDefault="00D66A70" w:rsidP="00D66A70">
            <w:pPr>
              <w:jc w:val="center"/>
              <w:rPr>
                <w:sz w:val="20"/>
                <w:lang w:eastAsia="fi-FI"/>
              </w:rPr>
            </w:pPr>
            <w:r w:rsidRPr="002335EA">
              <w:rPr>
                <w:sz w:val="20"/>
                <w:lang w:eastAsia="fi-FI"/>
              </w:rPr>
              <w:t>0,00</w:t>
            </w:r>
          </w:p>
        </w:tc>
        <w:tc>
          <w:tcPr>
            <w:tcW w:w="1160" w:type="dxa"/>
            <w:shd w:val="clear" w:color="auto" w:fill="auto"/>
            <w:hideMark/>
          </w:tcPr>
          <w:p w:rsidR="00D66A70" w:rsidRPr="002335EA" w:rsidRDefault="00D66A70" w:rsidP="00D66A70">
            <w:pPr>
              <w:jc w:val="center"/>
              <w:rPr>
                <w:sz w:val="20"/>
                <w:lang w:eastAsia="fi-FI"/>
              </w:rPr>
            </w:pPr>
            <w:r w:rsidRPr="002335EA">
              <w:rPr>
                <w:sz w:val="20"/>
                <w:lang w:eastAsia="fi-FI"/>
              </w:rPr>
              <w:t>0,68</w:t>
            </w:r>
          </w:p>
        </w:tc>
        <w:tc>
          <w:tcPr>
            <w:tcW w:w="960" w:type="dxa"/>
            <w:shd w:val="clear" w:color="auto" w:fill="auto"/>
            <w:hideMark/>
          </w:tcPr>
          <w:p w:rsidR="00D66A70" w:rsidRPr="002335EA" w:rsidRDefault="00D66A70" w:rsidP="00D66A70">
            <w:pPr>
              <w:jc w:val="center"/>
              <w:rPr>
                <w:i/>
                <w:sz w:val="20"/>
                <w:lang w:eastAsia="fi-FI"/>
              </w:rPr>
            </w:pPr>
            <w:r w:rsidRPr="002335EA">
              <w:rPr>
                <w:i/>
                <w:sz w:val="20"/>
                <w:lang w:eastAsia="fi-FI"/>
              </w:rPr>
              <w:t>29,45</w:t>
            </w:r>
          </w:p>
        </w:tc>
      </w:tr>
      <w:tr w:rsidR="00D66A70" w:rsidRPr="002335EA" w:rsidTr="00D66A70">
        <w:trPr>
          <w:trHeight w:val="260"/>
        </w:trPr>
        <w:tc>
          <w:tcPr>
            <w:tcW w:w="2540" w:type="dxa"/>
            <w:shd w:val="clear" w:color="auto" w:fill="auto"/>
            <w:noWrap/>
            <w:vAlign w:val="bottom"/>
            <w:hideMark/>
          </w:tcPr>
          <w:p w:rsidR="00D66A70" w:rsidRPr="002335EA" w:rsidRDefault="00D66A70" w:rsidP="00D66A70">
            <w:pPr>
              <w:rPr>
                <w:sz w:val="20"/>
                <w:lang w:eastAsia="fi-FI"/>
              </w:rPr>
            </w:pPr>
            <w:r w:rsidRPr="002335EA">
              <w:rPr>
                <w:sz w:val="20"/>
                <w:lang w:eastAsia="fi-FI"/>
              </w:rPr>
              <w:t xml:space="preserve">Nestekaasu </w:t>
            </w:r>
            <w:proofErr w:type="spellStart"/>
            <w:r w:rsidRPr="002335EA">
              <w:rPr>
                <w:sz w:val="20"/>
                <w:lang w:eastAsia="fi-FI"/>
              </w:rPr>
              <w:t>snt</w:t>
            </w:r>
            <w:proofErr w:type="spellEnd"/>
            <w:r w:rsidRPr="002335EA">
              <w:rPr>
                <w:sz w:val="20"/>
                <w:lang w:eastAsia="fi-FI"/>
              </w:rPr>
              <w:t>/kg</w:t>
            </w:r>
          </w:p>
        </w:tc>
        <w:tc>
          <w:tcPr>
            <w:tcW w:w="960" w:type="dxa"/>
            <w:shd w:val="clear" w:color="auto" w:fill="auto"/>
            <w:hideMark/>
          </w:tcPr>
          <w:p w:rsidR="00D66A70" w:rsidRPr="002335EA" w:rsidRDefault="00D66A70" w:rsidP="00D66A70">
            <w:pPr>
              <w:jc w:val="center"/>
              <w:rPr>
                <w:sz w:val="20"/>
                <w:lang w:eastAsia="fi-FI"/>
              </w:rPr>
            </w:pPr>
            <w:r w:rsidRPr="002335EA">
              <w:rPr>
                <w:sz w:val="20"/>
                <w:lang w:eastAsia="fi-FI"/>
              </w:rPr>
              <w:t>110</w:t>
            </w:r>
          </w:p>
        </w:tc>
        <w:tc>
          <w:tcPr>
            <w:tcW w:w="1178" w:type="dxa"/>
            <w:shd w:val="clear" w:color="auto" w:fill="auto"/>
            <w:hideMark/>
          </w:tcPr>
          <w:p w:rsidR="00D66A70" w:rsidRPr="002335EA" w:rsidRDefault="00D66A70" w:rsidP="00D66A70">
            <w:pPr>
              <w:jc w:val="center"/>
              <w:rPr>
                <w:sz w:val="20"/>
                <w:lang w:eastAsia="fi-FI"/>
              </w:rPr>
            </w:pPr>
            <w:r w:rsidRPr="002335EA">
              <w:rPr>
                <w:sz w:val="20"/>
                <w:lang w:eastAsia="fi-FI"/>
              </w:rPr>
              <w:t>9,81</w:t>
            </w:r>
          </w:p>
        </w:tc>
        <w:tc>
          <w:tcPr>
            <w:tcW w:w="1582" w:type="dxa"/>
            <w:shd w:val="clear" w:color="auto" w:fill="auto"/>
            <w:hideMark/>
          </w:tcPr>
          <w:p w:rsidR="00D66A70" w:rsidRPr="002335EA" w:rsidRDefault="00D66A70" w:rsidP="00D66A70">
            <w:pPr>
              <w:jc w:val="center"/>
              <w:rPr>
                <w:sz w:val="20"/>
                <w:lang w:eastAsia="fi-FI"/>
              </w:rPr>
            </w:pPr>
            <w:r w:rsidRPr="002335EA">
              <w:rPr>
                <w:sz w:val="20"/>
                <w:lang w:eastAsia="fi-FI"/>
              </w:rPr>
              <w:t>18,09</w:t>
            </w:r>
          </w:p>
        </w:tc>
        <w:tc>
          <w:tcPr>
            <w:tcW w:w="1160" w:type="dxa"/>
            <w:shd w:val="clear" w:color="auto" w:fill="auto"/>
            <w:hideMark/>
          </w:tcPr>
          <w:p w:rsidR="00D66A70" w:rsidRPr="002335EA" w:rsidRDefault="00D66A70" w:rsidP="00D66A70">
            <w:pPr>
              <w:jc w:val="center"/>
              <w:rPr>
                <w:sz w:val="20"/>
                <w:lang w:eastAsia="fi-FI"/>
              </w:rPr>
            </w:pPr>
            <w:r w:rsidRPr="002335EA">
              <w:rPr>
                <w:sz w:val="20"/>
                <w:lang w:eastAsia="fi-FI"/>
              </w:rPr>
              <w:t>0,11</w:t>
            </w:r>
          </w:p>
        </w:tc>
        <w:tc>
          <w:tcPr>
            <w:tcW w:w="960" w:type="dxa"/>
            <w:shd w:val="clear" w:color="auto" w:fill="auto"/>
            <w:hideMark/>
          </w:tcPr>
          <w:p w:rsidR="00D66A70" w:rsidRPr="002335EA" w:rsidRDefault="00D66A70" w:rsidP="00D66A70">
            <w:pPr>
              <w:jc w:val="center"/>
              <w:rPr>
                <w:sz w:val="20"/>
                <w:lang w:eastAsia="fi-FI"/>
              </w:rPr>
            </w:pPr>
            <w:r w:rsidRPr="002335EA">
              <w:rPr>
                <w:sz w:val="20"/>
                <w:lang w:eastAsia="fi-FI"/>
              </w:rPr>
              <w:t>28,01</w:t>
            </w:r>
          </w:p>
        </w:tc>
      </w:tr>
      <w:tr w:rsidR="00D66A70" w:rsidRPr="002335EA" w:rsidTr="00D66A70">
        <w:trPr>
          <w:trHeight w:val="260"/>
        </w:trPr>
        <w:tc>
          <w:tcPr>
            <w:tcW w:w="2540" w:type="dxa"/>
            <w:shd w:val="clear" w:color="auto" w:fill="auto"/>
            <w:noWrap/>
            <w:vAlign w:val="bottom"/>
            <w:hideMark/>
          </w:tcPr>
          <w:p w:rsidR="00D66A70" w:rsidRPr="002335EA" w:rsidRDefault="00D66A70" w:rsidP="00D66A70">
            <w:pPr>
              <w:rPr>
                <w:sz w:val="20"/>
                <w:lang w:eastAsia="fi-FI"/>
              </w:rPr>
            </w:pPr>
            <w:r w:rsidRPr="002335EA">
              <w:rPr>
                <w:sz w:val="20"/>
                <w:lang w:eastAsia="fi-FI"/>
              </w:rPr>
              <w:t xml:space="preserve">Bionestekaasu </w:t>
            </w:r>
            <w:proofErr w:type="spellStart"/>
            <w:r w:rsidRPr="002335EA">
              <w:rPr>
                <w:sz w:val="20"/>
                <w:lang w:eastAsia="fi-FI"/>
              </w:rPr>
              <w:t>snt</w:t>
            </w:r>
            <w:proofErr w:type="spellEnd"/>
            <w:r w:rsidRPr="002335EA">
              <w:rPr>
                <w:sz w:val="20"/>
                <w:lang w:eastAsia="fi-FI"/>
              </w:rPr>
              <w:t>/kg</w:t>
            </w:r>
          </w:p>
        </w:tc>
        <w:tc>
          <w:tcPr>
            <w:tcW w:w="960" w:type="dxa"/>
            <w:shd w:val="clear" w:color="auto" w:fill="auto"/>
            <w:hideMark/>
          </w:tcPr>
          <w:p w:rsidR="00D66A70" w:rsidRPr="002335EA" w:rsidRDefault="00D66A70" w:rsidP="00D66A70">
            <w:pPr>
              <w:jc w:val="center"/>
              <w:rPr>
                <w:sz w:val="20"/>
                <w:lang w:eastAsia="fi-FI"/>
              </w:rPr>
            </w:pPr>
            <w:r w:rsidRPr="002335EA">
              <w:rPr>
                <w:sz w:val="20"/>
                <w:lang w:eastAsia="fi-FI"/>
              </w:rPr>
              <w:t>111</w:t>
            </w:r>
          </w:p>
        </w:tc>
        <w:tc>
          <w:tcPr>
            <w:tcW w:w="1178" w:type="dxa"/>
            <w:shd w:val="clear" w:color="auto" w:fill="auto"/>
            <w:hideMark/>
          </w:tcPr>
          <w:p w:rsidR="00D66A70" w:rsidRPr="002335EA" w:rsidRDefault="00D66A70" w:rsidP="00D66A70">
            <w:pPr>
              <w:jc w:val="center"/>
              <w:rPr>
                <w:sz w:val="20"/>
                <w:lang w:eastAsia="fi-FI"/>
              </w:rPr>
            </w:pPr>
            <w:r w:rsidRPr="002335EA">
              <w:rPr>
                <w:sz w:val="20"/>
                <w:lang w:eastAsia="fi-FI"/>
              </w:rPr>
              <w:t>9,81</w:t>
            </w:r>
          </w:p>
        </w:tc>
        <w:tc>
          <w:tcPr>
            <w:tcW w:w="1582" w:type="dxa"/>
            <w:shd w:val="clear" w:color="auto" w:fill="auto"/>
            <w:hideMark/>
          </w:tcPr>
          <w:p w:rsidR="00D66A70" w:rsidRPr="002335EA" w:rsidRDefault="00D66A70" w:rsidP="00D66A70">
            <w:pPr>
              <w:jc w:val="center"/>
              <w:rPr>
                <w:sz w:val="20"/>
                <w:lang w:eastAsia="fi-FI"/>
              </w:rPr>
            </w:pPr>
            <w:r w:rsidRPr="002335EA">
              <w:rPr>
                <w:sz w:val="20"/>
                <w:lang w:eastAsia="fi-FI"/>
              </w:rPr>
              <w:t>18,09</w:t>
            </w:r>
          </w:p>
        </w:tc>
        <w:tc>
          <w:tcPr>
            <w:tcW w:w="1160" w:type="dxa"/>
            <w:shd w:val="clear" w:color="auto" w:fill="auto"/>
            <w:hideMark/>
          </w:tcPr>
          <w:p w:rsidR="00D66A70" w:rsidRPr="002335EA" w:rsidRDefault="00D66A70" w:rsidP="00D66A70">
            <w:pPr>
              <w:jc w:val="center"/>
              <w:rPr>
                <w:sz w:val="20"/>
                <w:lang w:eastAsia="fi-FI"/>
              </w:rPr>
            </w:pPr>
            <w:r w:rsidRPr="002335EA">
              <w:rPr>
                <w:sz w:val="20"/>
                <w:lang w:eastAsia="fi-FI"/>
              </w:rPr>
              <w:t>0,11</w:t>
            </w:r>
          </w:p>
        </w:tc>
        <w:tc>
          <w:tcPr>
            <w:tcW w:w="960" w:type="dxa"/>
            <w:shd w:val="clear" w:color="auto" w:fill="auto"/>
            <w:hideMark/>
          </w:tcPr>
          <w:p w:rsidR="00D66A70" w:rsidRPr="002335EA" w:rsidRDefault="00D66A70" w:rsidP="00D66A70">
            <w:pPr>
              <w:jc w:val="center"/>
              <w:rPr>
                <w:sz w:val="20"/>
                <w:lang w:eastAsia="fi-FI"/>
              </w:rPr>
            </w:pPr>
            <w:r w:rsidRPr="002335EA">
              <w:rPr>
                <w:sz w:val="20"/>
                <w:lang w:eastAsia="fi-FI"/>
              </w:rPr>
              <w:t>28,01</w:t>
            </w:r>
          </w:p>
        </w:tc>
      </w:tr>
      <w:tr w:rsidR="00D66A70" w:rsidRPr="002335EA" w:rsidTr="00D66A70">
        <w:trPr>
          <w:trHeight w:val="260"/>
        </w:trPr>
        <w:tc>
          <w:tcPr>
            <w:tcW w:w="2540" w:type="dxa"/>
            <w:shd w:val="clear" w:color="auto" w:fill="auto"/>
            <w:noWrap/>
            <w:vAlign w:val="bottom"/>
            <w:hideMark/>
          </w:tcPr>
          <w:p w:rsidR="00D66A70" w:rsidRPr="002335EA" w:rsidRDefault="00D66A70" w:rsidP="00D66A70">
            <w:pPr>
              <w:rPr>
                <w:sz w:val="20"/>
                <w:lang w:eastAsia="fi-FI"/>
              </w:rPr>
            </w:pPr>
            <w:r w:rsidRPr="002335EA">
              <w:rPr>
                <w:sz w:val="20"/>
                <w:lang w:eastAsia="fi-FI"/>
              </w:rPr>
              <w:t xml:space="preserve">Bionestekaasu R </w:t>
            </w:r>
            <w:proofErr w:type="spellStart"/>
            <w:r w:rsidRPr="002335EA">
              <w:rPr>
                <w:sz w:val="20"/>
                <w:lang w:eastAsia="fi-FI"/>
              </w:rPr>
              <w:t>snt</w:t>
            </w:r>
            <w:proofErr w:type="spellEnd"/>
            <w:r w:rsidRPr="002335EA">
              <w:rPr>
                <w:sz w:val="20"/>
                <w:lang w:eastAsia="fi-FI"/>
              </w:rPr>
              <w:t>/kg</w:t>
            </w:r>
          </w:p>
        </w:tc>
        <w:tc>
          <w:tcPr>
            <w:tcW w:w="960" w:type="dxa"/>
            <w:shd w:val="clear" w:color="auto" w:fill="auto"/>
            <w:hideMark/>
          </w:tcPr>
          <w:p w:rsidR="00D66A70" w:rsidRPr="002335EA" w:rsidRDefault="00D66A70" w:rsidP="00D66A70">
            <w:pPr>
              <w:jc w:val="center"/>
              <w:rPr>
                <w:sz w:val="20"/>
                <w:lang w:eastAsia="fi-FI"/>
              </w:rPr>
            </w:pPr>
            <w:r w:rsidRPr="002335EA">
              <w:rPr>
                <w:sz w:val="20"/>
                <w:lang w:eastAsia="fi-FI"/>
              </w:rPr>
              <w:t>112</w:t>
            </w:r>
          </w:p>
        </w:tc>
        <w:tc>
          <w:tcPr>
            <w:tcW w:w="1178" w:type="dxa"/>
            <w:shd w:val="clear" w:color="auto" w:fill="auto"/>
            <w:hideMark/>
          </w:tcPr>
          <w:p w:rsidR="00D66A70" w:rsidRPr="002335EA" w:rsidRDefault="00D66A70" w:rsidP="00D66A70">
            <w:pPr>
              <w:jc w:val="center"/>
              <w:rPr>
                <w:sz w:val="20"/>
                <w:lang w:eastAsia="fi-FI"/>
              </w:rPr>
            </w:pPr>
            <w:r w:rsidRPr="002335EA">
              <w:rPr>
                <w:sz w:val="20"/>
                <w:lang w:eastAsia="fi-FI"/>
              </w:rPr>
              <w:t>9,81</w:t>
            </w:r>
          </w:p>
        </w:tc>
        <w:tc>
          <w:tcPr>
            <w:tcW w:w="1582" w:type="dxa"/>
            <w:shd w:val="clear" w:color="auto" w:fill="auto"/>
            <w:hideMark/>
          </w:tcPr>
          <w:p w:rsidR="00D66A70" w:rsidRPr="002335EA" w:rsidRDefault="00D66A70" w:rsidP="00D66A70">
            <w:pPr>
              <w:jc w:val="center"/>
              <w:rPr>
                <w:sz w:val="20"/>
                <w:lang w:eastAsia="fi-FI"/>
              </w:rPr>
            </w:pPr>
            <w:r w:rsidRPr="002335EA">
              <w:rPr>
                <w:sz w:val="20"/>
                <w:lang w:eastAsia="fi-FI"/>
              </w:rPr>
              <w:t>9,04</w:t>
            </w:r>
          </w:p>
        </w:tc>
        <w:tc>
          <w:tcPr>
            <w:tcW w:w="1160" w:type="dxa"/>
            <w:shd w:val="clear" w:color="auto" w:fill="auto"/>
            <w:hideMark/>
          </w:tcPr>
          <w:p w:rsidR="00D66A70" w:rsidRPr="002335EA" w:rsidRDefault="00D66A70" w:rsidP="00D66A70">
            <w:pPr>
              <w:jc w:val="center"/>
              <w:rPr>
                <w:sz w:val="20"/>
                <w:lang w:eastAsia="fi-FI"/>
              </w:rPr>
            </w:pPr>
            <w:r w:rsidRPr="002335EA">
              <w:rPr>
                <w:sz w:val="20"/>
                <w:lang w:eastAsia="fi-FI"/>
              </w:rPr>
              <w:t>0,11</w:t>
            </w:r>
          </w:p>
        </w:tc>
        <w:tc>
          <w:tcPr>
            <w:tcW w:w="960" w:type="dxa"/>
            <w:shd w:val="clear" w:color="auto" w:fill="auto"/>
            <w:hideMark/>
          </w:tcPr>
          <w:p w:rsidR="00D66A70" w:rsidRPr="002335EA" w:rsidRDefault="00D66A70" w:rsidP="00D66A70">
            <w:pPr>
              <w:jc w:val="center"/>
              <w:rPr>
                <w:sz w:val="20"/>
                <w:lang w:eastAsia="fi-FI"/>
              </w:rPr>
            </w:pPr>
            <w:r w:rsidRPr="002335EA">
              <w:rPr>
                <w:sz w:val="20"/>
                <w:lang w:eastAsia="fi-FI"/>
              </w:rPr>
              <w:t>18,96</w:t>
            </w:r>
          </w:p>
        </w:tc>
      </w:tr>
      <w:tr w:rsidR="00D66A70" w:rsidRPr="002335EA" w:rsidTr="00D66A70">
        <w:trPr>
          <w:trHeight w:val="270"/>
        </w:trPr>
        <w:tc>
          <w:tcPr>
            <w:tcW w:w="2540" w:type="dxa"/>
            <w:shd w:val="clear" w:color="auto" w:fill="auto"/>
            <w:noWrap/>
            <w:vAlign w:val="bottom"/>
            <w:hideMark/>
          </w:tcPr>
          <w:p w:rsidR="00D66A70" w:rsidRPr="002335EA" w:rsidRDefault="00D66A70" w:rsidP="00D66A70">
            <w:pPr>
              <w:rPr>
                <w:sz w:val="20"/>
                <w:lang w:eastAsia="fi-FI"/>
              </w:rPr>
            </w:pPr>
            <w:r w:rsidRPr="002335EA">
              <w:rPr>
                <w:sz w:val="20"/>
                <w:lang w:eastAsia="fi-FI"/>
              </w:rPr>
              <w:t xml:space="preserve">Bionestekaasu T </w:t>
            </w:r>
            <w:proofErr w:type="spellStart"/>
            <w:r w:rsidRPr="002335EA">
              <w:rPr>
                <w:sz w:val="20"/>
                <w:lang w:eastAsia="fi-FI"/>
              </w:rPr>
              <w:t>snt</w:t>
            </w:r>
            <w:proofErr w:type="spellEnd"/>
            <w:r w:rsidRPr="002335EA">
              <w:rPr>
                <w:sz w:val="20"/>
                <w:lang w:eastAsia="fi-FI"/>
              </w:rPr>
              <w:t>/kg</w:t>
            </w:r>
          </w:p>
        </w:tc>
        <w:tc>
          <w:tcPr>
            <w:tcW w:w="960" w:type="dxa"/>
            <w:shd w:val="clear" w:color="auto" w:fill="auto"/>
            <w:hideMark/>
          </w:tcPr>
          <w:p w:rsidR="00D66A70" w:rsidRPr="002335EA" w:rsidRDefault="00D66A70" w:rsidP="00D66A70">
            <w:pPr>
              <w:jc w:val="center"/>
              <w:rPr>
                <w:sz w:val="20"/>
                <w:lang w:eastAsia="fi-FI"/>
              </w:rPr>
            </w:pPr>
            <w:r w:rsidRPr="002335EA">
              <w:rPr>
                <w:sz w:val="20"/>
                <w:lang w:eastAsia="fi-FI"/>
              </w:rPr>
              <w:t>113</w:t>
            </w:r>
          </w:p>
        </w:tc>
        <w:tc>
          <w:tcPr>
            <w:tcW w:w="1178" w:type="dxa"/>
            <w:shd w:val="clear" w:color="auto" w:fill="auto"/>
            <w:hideMark/>
          </w:tcPr>
          <w:p w:rsidR="00D66A70" w:rsidRPr="002335EA" w:rsidRDefault="00D66A70" w:rsidP="00D66A70">
            <w:pPr>
              <w:jc w:val="center"/>
              <w:rPr>
                <w:sz w:val="20"/>
                <w:lang w:eastAsia="fi-FI"/>
              </w:rPr>
            </w:pPr>
            <w:r w:rsidRPr="002335EA">
              <w:rPr>
                <w:sz w:val="20"/>
                <w:lang w:eastAsia="fi-FI"/>
              </w:rPr>
              <w:t>9,81</w:t>
            </w:r>
          </w:p>
        </w:tc>
        <w:tc>
          <w:tcPr>
            <w:tcW w:w="1582" w:type="dxa"/>
            <w:shd w:val="clear" w:color="auto" w:fill="auto"/>
            <w:hideMark/>
          </w:tcPr>
          <w:p w:rsidR="00D66A70" w:rsidRPr="002335EA" w:rsidRDefault="00D66A70" w:rsidP="00D66A70">
            <w:pPr>
              <w:jc w:val="center"/>
              <w:rPr>
                <w:sz w:val="20"/>
                <w:lang w:eastAsia="fi-FI"/>
              </w:rPr>
            </w:pPr>
            <w:r w:rsidRPr="002335EA">
              <w:rPr>
                <w:sz w:val="20"/>
                <w:lang w:eastAsia="fi-FI"/>
              </w:rPr>
              <w:t>0,00</w:t>
            </w:r>
          </w:p>
        </w:tc>
        <w:tc>
          <w:tcPr>
            <w:tcW w:w="1160" w:type="dxa"/>
            <w:shd w:val="clear" w:color="auto" w:fill="auto"/>
            <w:hideMark/>
          </w:tcPr>
          <w:p w:rsidR="00D66A70" w:rsidRPr="002335EA" w:rsidRDefault="00D66A70" w:rsidP="00D66A70">
            <w:pPr>
              <w:jc w:val="center"/>
              <w:rPr>
                <w:sz w:val="20"/>
                <w:lang w:eastAsia="fi-FI"/>
              </w:rPr>
            </w:pPr>
            <w:r w:rsidRPr="002335EA">
              <w:rPr>
                <w:sz w:val="20"/>
                <w:lang w:eastAsia="fi-FI"/>
              </w:rPr>
              <w:t>0,11</w:t>
            </w:r>
          </w:p>
        </w:tc>
        <w:tc>
          <w:tcPr>
            <w:tcW w:w="960" w:type="dxa"/>
            <w:shd w:val="clear" w:color="auto" w:fill="auto"/>
            <w:hideMark/>
          </w:tcPr>
          <w:p w:rsidR="00D66A70" w:rsidRPr="002335EA" w:rsidRDefault="00D66A70" w:rsidP="00D66A70">
            <w:pPr>
              <w:jc w:val="center"/>
              <w:rPr>
                <w:sz w:val="20"/>
                <w:lang w:eastAsia="fi-FI"/>
              </w:rPr>
            </w:pPr>
            <w:r w:rsidRPr="002335EA">
              <w:rPr>
                <w:sz w:val="20"/>
                <w:lang w:eastAsia="fi-FI"/>
              </w:rPr>
              <w:t>9,92</w:t>
            </w:r>
          </w:p>
        </w:tc>
      </w:tr>
    </w:tbl>
    <w:p w:rsidR="003C2DB0" w:rsidRDefault="003C2DB0" w:rsidP="00EB7EE2">
      <w:pPr>
        <w:pStyle w:val="LLNormaali"/>
      </w:pPr>
    </w:p>
    <w:p w:rsidR="003C2DB0" w:rsidRDefault="003C2DB0" w:rsidP="003C2DB0">
      <w:pPr>
        <w:pStyle w:val="LLNormaali"/>
      </w:pPr>
      <w:r>
        <w:br w:type="page"/>
      </w:r>
    </w:p>
    <w:p w:rsidR="003C2DB0" w:rsidRPr="006E4C26" w:rsidRDefault="003C2DB0" w:rsidP="003C2DB0">
      <w:pPr>
        <w:pStyle w:val="LLLainNumero"/>
      </w:pPr>
      <w:r w:rsidRPr="006E4C26">
        <w:lastRenderedPageBreak/>
        <w:t>2.</w:t>
      </w:r>
    </w:p>
    <w:p w:rsidR="003C2DB0" w:rsidRPr="006E4C26" w:rsidRDefault="003C2DB0" w:rsidP="003C2DB0">
      <w:pPr>
        <w:pStyle w:val="LLLaki"/>
      </w:pPr>
      <w:r w:rsidRPr="006E4C26">
        <w:t>Laki</w:t>
      </w:r>
    </w:p>
    <w:p w:rsidR="003C2DB0" w:rsidRPr="006E4C26" w:rsidRDefault="003C2DB0" w:rsidP="003C2DB0">
      <w:pPr>
        <w:pStyle w:val="LLSaadoksenNimi"/>
      </w:pPr>
      <w:bookmarkStart w:id="24" w:name="_Toc19201163"/>
      <w:r w:rsidRPr="006E4C26">
        <w:t>valmisteverotuslain 5 §:n muuttamisesta</w:t>
      </w:r>
      <w:bookmarkEnd w:id="24"/>
    </w:p>
    <w:p w:rsidR="003C2DB0" w:rsidRPr="006E4C26" w:rsidRDefault="003C2DB0" w:rsidP="003C2DB0">
      <w:pPr>
        <w:pStyle w:val="LLJohtolauseKappaleet"/>
      </w:pPr>
      <w:r w:rsidRPr="006E4C26">
        <w:t>Eduskunnan päätöksen mukaisesti</w:t>
      </w:r>
    </w:p>
    <w:p w:rsidR="003C2DB0" w:rsidRDefault="003C2DB0" w:rsidP="003C2DB0">
      <w:pPr>
        <w:pStyle w:val="LLJohtolauseKappaleet"/>
      </w:pPr>
      <w:r w:rsidRPr="006E4C26">
        <w:rPr>
          <w:i/>
        </w:rPr>
        <w:t>muutetaan</w:t>
      </w:r>
      <w:r w:rsidRPr="006E4C26">
        <w:t xml:space="preserve"> valmisteverotuslain (182/2010) 5 §, sellaisena kuin se on osaksi laissa 495/2014, seuraavasti:</w:t>
      </w:r>
    </w:p>
    <w:p w:rsidR="003C2DB0" w:rsidRDefault="003C2DB0" w:rsidP="003C2DB0">
      <w:pPr>
        <w:pStyle w:val="LLJohtolauseKappaleet"/>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3C2DB0" w:rsidTr="003C2DB0">
        <w:tc>
          <w:tcPr>
            <w:tcW w:w="4168" w:type="dxa"/>
            <w:shd w:val="clear" w:color="auto" w:fill="auto"/>
          </w:tcPr>
          <w:p w:rsidR="003C2DB0" w:rsidRPr="003C2DB0" w:rsidRDefault="003C2DB0" w:rsidP="003C2DB0">
            <w:pPr>
              <w:pStyle w:val="LLJohtolauseKappaleet"/>
              <w:ind w:firstLine="0"/>
              <w:rPr>
                <w:i/>
              </w:rPr>
            </w:pPr>
            <w:r w:rsidRPr="003C2DB0">
              <w:rPr>
                <w:i/>
              </w:rPr>
              <w:t>Voimassa oleva laki</w:t>
            </w:r>
          </w:p>
        </w:tc>
        <w:tc>
          <w:tcPr>
            <w:tcW w:w="4168" w:type="dxa"/>
            <w:shd w:val="clear" w:color="auto" w:fill="auto"/>
          </w:tcPr>
          <w:p w:rsidR="003C2DB0" w:rsidRPr="003C2DB0" w:rsidRDefault="003C2DB0" w:rsidP="003C2DB0">
            <w:pPr>
              <w:pStyle w:val="LLJohtolauseKappaleet"/>
              <w:ind w:firstLine="0"/>
              <w:rPr>
                <w:i/>
              </w:rPr>
            </w:pPr>
            <w:r w:rsidRPr="003C2DB0">
              <w:rPr>
                <w:i/>
              </w:rPr>
              <w:t>Ehdotus</w:t>
            </w:r>
          </w:p>
        </w:tc>
      </w:tr>
      <w:tr w:rsidR="003C2DB0" w:rsidTr="003C2DB0">
        <w:tc>
          <w:tcPr>
            <w:tcW w:w="4168" w:type="dxa"/>
            <w:shd w:val="clear" w:color="auto" w:fill="auto"/>
          </w:tcPr>
          <w:p w:rsidR="00862DF3" w:rsidRPr="00862DF3" w:rsidRDefault="00862DF3" w:rsidP="00862DF3">
            <w:pPr>
              <w:pStyle w:val="LLPykala"/>
            </w:pPr>
            <w:r w:rsidRPr="00862DF3">
              <w:t>5 §</w:t>
            </w:r>
          </w:p>
          <w:p w:rsidR="00862DF3" w:rsidRPr="00862DF3" w:rsidRDefault="00862DF3" w:rsidP="00862DF3">
            <w:pPr>
              <w:pStyle w:val="LLPykalanOtsikko"/>
            </w:pPr>
            <w:r w:rsidRPr="00862DF3">
              <w:t>Maantieteelliset määritelmät</w:t>
            </w:r>
          </w:p>
          <w:p w:rsidR="00862DF3" w:rsidRPr="00862DF3" w:rsidRDefault="00862DF3" w:rsidP="00862DF3">
            <w:pPr>
              <w:pStyle w:val="LLMomentinJohdantoKappale"/>
            </w:pPr>
            <w:r w:rsidRPr="00862DF3">
              <w:t>Tässä laissa tarkoitetaan:</w:t>
            </w:r>
          </w:p>
          <w:p w:rsidR="00862DF3" w:rsidRPr="00862DF3" w:rsidRDefault="00862DF3" w:rsidP="00862DF3">
            <w:pPr>
              <w:pStyle w:val="LLMomentinKohta"/>
            </w:pPr>
            <w:r w:rsidRPr="00862DF3">
              <w:t xml:space="preserve">1) </w:t>
            </w:r>
            <w:r w:rsidRPr="00862DF3">
              <w:rPr>
                <w:i/>
              </w:rPr>
              <w:t>unionilla ja unionin alueella</w:t>
            </w:r>
            <w:r w:rsidRPr="00862DF3">
              <w:t xml:space="preserve"> Euroopan unionin jäsenvaltioiden alueita;</w:t>
            </w:r>
          </w:p>
          <w:p w:rsidR="00862DF3" w:rsidRPr="00862DF3" w:rsidRDefault="00862DF3" w:rsidP="00862DF3">
            <w:pPr>
              <w:pStyle w:val="LLMomentinKohta"/>
            </w:pPr>
            <w:r w:rsidRPr="00862DF3">
              <w:t xml:space="preserve">2) </w:t>
            </w:r>
            <w:r w:rsidRPr="00862DF3">
              <w:rPr>
                <w:i/>
              </w:rPr>
              <w:t>kolmannella alueella</w:t>
            </w:r>
            <w:r w:rsidRPr="00862DF3">
              <w:t xml:space="preserve"> </w:t>
            </w:r>
            <w:proofErr w:type="spellStart"/>
            <w:r w:rsidRPr="00862DF3">
              <w:t>Kanariansaaria</w:t>
            </w:r>
            <w:proofErr w:type="spellEnd"/>
            <w:r w:rsidRPr="00862DF3">
              <w:t xml:space="preserve">, Ahvenanmaan maakuntaa, Kanaalisaaria, </w:t>
            </w:r>
            <w:proofErr w:type="spellStart"/>
            <w:r w:rsidRPr="00862DF3">
              <w:t>Helgolandin</w:t>
            </w:r>
            <w:proofErr w:type="spellEnd"/>
            <w:r w:rsidRPr="00862DF3">
              <w:t xml:space="preserve"> saarta, </w:t>
            </w:r>
            <w:proofErr w:type="spellStart"/>
            <w:r w:rsidR="001032E9" w:rsidRPr="006E4C26">
              <w:t>Büsingenin</w:t>
            </w:r>
            <w:proofErr w:type="spellEnd"/>
            <w:r w:rsidRPr="00862DF3">
              <w:t xml:space="preserve"> aluetta, Ceutaa, Melillaa, </w:t>
            </w:r>
            <w:proofErr w:type="spellStart"/>
            <w:r w:rsidRPr="00862DF3">
              <w:t>Livignoa</w:t>
            </w:r>
            <w:proofErr w:type="spellEnd"/>
            <w:r w:rsidRPr="00862DF3">
              <w:t xml:space="preserve">, </w:t>
            </w:r>
            <w:proofErr w:type="spellStart"/>
            <w:r w:rsidRPr="001032E9">
              <w:rPr>
                <w:i/>
              </w:rPr>
              <w:t>Campione</w:t>
            </w:r>
            <w:proofErr w:type="spellEnd"/>
            <w:r w:rsidRPr="001032E9">
              <w:rPr>
                <w:i/>
              </w:rPr>
              <w:t xml:space="preserve"> </w:t>
            </w:r>
            <w:proofErr w:type="spellStart"/>
            <w:r w:rsidRPr="001032E9">
              <w:rPr>
                <w:i/>
              </w:rPr>
              <w:t>d’Italiaa</w:t>
            </w:r>
            <w:proofErr w:type="spellEnd"/>
            <w:r w:rsidRPr="001032E9">
              <w:rPr>
                <w:i/>
              </w:rPr>
              <w:t xml:space="preserve">, </w:t>
            </w:r>
            <w:proofErr w:type="spellStart"/>
            <w:r w:rsidRPr="001032E9">
              <w:rPr>
                <w:i/>
              </w:rPr>
              <w:t>Luganojärven</w:t>
            </w:r>
            <w:proofErr w:type="spellEnd"/>
            <w:r w:rsidRPr="001032E9">
              <w:rPr>
                <w:i/>
              </w:rPr>
              <w:t xml:space="preserve"> Italialle kuuluvia vesialueita</w:t>
            </w:r>
            <w:r w:rsidRPr="00862DF3">
              <w:t xml:space="preserve"> ja Euroopan unionin toiminnasta tehdyn sopimuksen 349 artiklassa ja 355 artiklan 1 kohdassa </w:t>
            </w:r>
            <w:r>
              <w:t>tarkoitettuja Ranskan alueita;</w:t>
            </w:r>
          </w:p>
          <w:p w:rsidR="00862DF3" w:rsidRPr="00862DF3" w:rsidRDefault="00862DF3" w:rsidP="00862DF3">
            <w:pPr>
              <w:pStyle w:val="LLMomentinKohta"/>
            </w:pPr>
            <w:r w:rsidRPr="00862DF3">
              <w:t xml:space="preserve">3) </w:t>
            </w:r>
            <w:r w:rsidRPr="00862DF3">
              <w:rPr>
                <w:i/>
              </w:rPr>
              <w:t>jäsenvaltiolla ja jäsenvaltion alueella</w:t>
            </w:r>
            <w:r w:rsidRPr="00862DF3">
              <w:t xml:space="preserve"> unionin jäsenvaltion aluetta, johon sovelletaan unionin lainsäädäntöä, lukuun ottamatta kolmansia alueita;</w:t>
            </w:r>
          </w:p>
          <w:p w:rsidR="00862DF3" w:rsidRPr="00862DF3" w:rsidRDefault="00862DF3" w:rsidP="00862DF3">
            <w:pPr>
              <w:pStyle w:val="LLMomentinKohta"/>
            </w:pPr>
            <w:r w:rsidRPr="00862DF3">
              <w:t xml:space="preserve">4) </w:t>
            </w:r>
            <w:r w:rsidRPr="00862DF3">
              <w:rPr>
                <w:i/>
              </w:rPr>
              <w:t>Suomella</w:t>
            </w:r>
            <w:r w:rsidRPr="00862DF3">
              <w:t xml:space="preserve"> unionin lainsäädännön mukaista Suomen aluetta mukaan lukien Ahvenanmaan maakunta;</w:t>
            </w:r>
          </w:p>
          <w:p w:rsidR="00862DF3" w:rsidRPr="00862DF3" w:rsidRDefault="00862DF3" w:rsidP="00862DF3">
            <w:pPr>
              <w:pStyle w:val="LLMomentinKohta"/>
            </w:pPr>
            <w:r w:rsidRPr="00862DF3">
              <w:t xml:space="preserve">5) </w:t>
            </w:r>
            <w:r w:rsidRPr="00862DF3">
              <w:rPr>
                <w:i/>
              </w:rPr>
              <w:t>kolmannella maalla</w:t>
            </w:r>
            <w:r w:rsidRPr="00862DF3">
              <w:t xml:space="preserve"> valtiota tai aluetta, johon ei sovelleta Euroopan unionin perustamissopimuksia, ei kuitenkaan Monacon ruhtinaskuntaa, San Marinoa, Yhdistyneen kuningaskunnan suvereniteettiin kuuluvia </w:t>
            </w:r>
            <w:proofErr w:type="spellStart"/>
            <w:r w:rsidRPr="00862DF3">
              <w:t>Akrotirin</w:t>
            </w:r>
            <w:proofErr w:type="spellEnd"/>
            <w:r w:rsidRPr="00862DF3">
              <w:t xml:space="preserve"> ja </w:t>
            </w:r>
            <w:proofErr w:type="spellStart"/>
            <w:r w:rsidRPr="00862DF3">
              <w:t>Dhekelian</w:t>
            </w:r>
            <w:proofErr w:type="spellEnd"/>
            <w:r w:rsidRPr="00862DF3">
              <w:t xml:space="preserve"> tukikohta-alueita eikä </w:t>
            </w:r>
            <w:proofErr w:type="spellStart"/>
            <w:r w:rsidRPr="00862DF3">
              <w:t>Mansaarta</w:t>
            </w:r>
            <w:proofErr w:type="spellEnd"/>
            <w:r w:rsidRPr="00862DF3">
              <w:t>; valmisteveron alaisten tuotteiden siirtoja, joiden lähtö- tai määräpaikka on:</w:t>
            </w:r>
          </w:p>
          <w:p w:rsidR="00845EDC" w:rsidRDefault="00845EDC" w:rsidP="00862DF3">
            <w:pPr>
              <w:pStyle w:val="LLMomentinAlakohta"/>
            </w:pPr>
          </w:p>
          <w:p w:rsidR="00862DF3" w:rsidRPr="00862DF3" w:rsidRDefault="00862DF3" w:rsidP="00862DF3">
            <w:pPr>
              <w:pStyle w:val="LLMomentinAlakohta"/>
            </w:pPr>
            <w:r w:rsidRPr="00862DF3">
              <w:t>a) Monacon ruhtinaskunta, on kohdeltava siirtoina, joiden lähtö- tai määräpaikka on Ranska;</w:t>
            </w:r>
          </w:p>
          <w:p w:rsidR="00862DF3" w:rsidRPr="00862DF3" w:rsidRDefault="00862DF3" w:rsidP="00862DF3">
            <w:pPr>
              <w:pStyle w:val="LLMomentinAlakohta"/>
            </w:pPr>
            <w:r w:rsidRPr="00862DF3">
              <w:t>b) San Marino, on kohdeltava siirtoina, joiden lähtö- tai määräpaikka on Italia;</w:t>
            </w:r>
          </w:p>
          <w:p w:rsidR="00862DF3" w:rsidRPr="00862DF3" w:rsidRDefault="00862DF3" w:rsidP="00862DF3">
            <w:pPr>
              <w:pStyle w:val="LLMomentinAlakohta"/>
            </w:pPr>
            <w:r w:rsidRPr="00862DF3">
              <w:t xml:space="preserve">c) Yhdistyneen kuningaskunnan suvereniteettiin kuuluvat </w:t>
            </w:r>
            <w:proofErr w:type="spellStart"/>
            <w:r w:rsidRPr="00862DF3">
              <w:t>Akrotirin</w:t>
            </w:r>
            <w:proofErr w:type="spellEnd"/>
            <w:r w:rsidRPr="00862DF3">
              <w:t xml:space="preserve"> ja </w:t>
            </w:r>
            <w:proofErr w:type="spellStart"/>
            <w:r w:rsidRPr="00862DF3">
              <w:t>Dhekelian</w:t>
            </w:r>
            <w:proofErr w:type="spellEnd"/>
            <w:r w:rsidRPr="00862DF3">
              <w:t xml:space="preserve"> tukikohta-alueet, on kohdeltava siirtoina, joiden lähtö- tai määräpaikka on Kypros;</w:t>
            </w:r>
          </w:p>
          <w:p w:rsidR="00862DF3" w:rsidRPr="00862DF3" w:rsidRDefault="00862DF3" w:rsidP="00862DF3">
            <w:pPr>
              <w:pStyle w:val="LLMomentinAlakohta"/>
            </w:pPr>
          </w:p>
          <w:p w:rsidR="00862DF3" w:rsidRPr="00862DF3" w:rsidRDefault="00862DF3" w:rsidP="00862DF3">
            <w:pPr>
              <w:pStyle w:val="LLMomentinAlakohta"/>
            </w:pPr>
            <w:r w:rsidRPr="00862DF3">
              <w:t>d) Mansaari, on kohdeltava siirtoina, joiden lähtö- tai määräpaikka on Yhdistynyt kuningaskunta;</w:t>
            </w:r>
          </w:p>
          <w:p w:rsidR="003C2DB0" w:rsidRDefault="00862DF3" w:rsidP="00862DF3">
            <w:pPr>
              <w:pStyle w:val="LLMomentinAlakohta"/>
            </w:pPr>
            <w:r w:rsidRPr="00862DF3">
              <w:t xml:space="preserve">e) </w:t>
            </w:r>
            <w:proofErr w:type="spellStart"/>
            <w:r w:rsidRPr="00862DF3">
              <w:t>Jungholz</w:t>
            </w:r>
            <w:proofErr w:type="spellEnd"/>
            <w:r w:rsidRPr="00862DF3">
              <w:t xml:space="preserve"> ja </w:t>
            </w:r>
            <w:proofErr w:type="spellStart"/>
            <w:r w:rsidRPr="00862DF3">
              <w:t>Mittelberg</w:t>
            </w:r>
            <w:proofErr w:type="spellEnd"/>
            <w:r w:rsidRPr="00862DF3">
              <w:t xml:space="preserve"> (</w:t>
            </w:r>
            <w:proofErr w:type="spellStart"/>
            <w:r w:rsidRPr="00862DF3">
              <w:t>Kleines</w:t>
            </w:r>
            <w:proofErr w:type="spellEnd"/>
            <w:r w:rsidRPr="00862DF3">
              <w:t xml:space="preserve"> </w:t>
            </w:r>
            <w:proofErr w:type="spellStart"/>
            <w:r w:rsidRPr="00862DF3">
              <w:t>Walsertal</w:t>
            </w:r>
            <w:proofErr w:type="spellEnd"/>
            <w:r w:rsidRPr="00862DF3">
              <w:t>), on kohdeltava siirtoina, joiden lähtö- tai määräpaikka on Saksa.</w:t>
            </w:r>
          </w:p>
          <w:p w:rsidR="00862DF3" w:rsidRPr="003C2DB0" w:rsidRDefault="00862DF3" w:rsidP="00862DF3">
            <w:pPr>
              <w:pStyle w:val="LLNormaali"/>
            </w:pPr>
            <w:r>
              <w:t xml:space="preserve">— — — — — — — — — — — — — — </w:t>
            </w:r>
          </w:p>
        </w:tc>
        <w:tc>
          <w:tcPr>
            <w:tcW w:w="4168" w:type="dxa"/>
            <w:shd w:val="clear" w:color="auto" w:fill="auto"/>
          </w:tcPr>
          <w:p w:rsidR="003C2DB0" w:rsidRPr="006E4C26" w:rsidRDefault="003C2DB0" w:rsidP="003C2DB0">
            <w:pPr>
              <w:pStyle w:val="LLPykala"/>
            </w:pPr>
            <w:r w:rsidRPr="006E4C26">
              <w:lastRenderedPageBreak/>
              <w:t>5§</w:t>
            </w:r>
          </w:p>
          <w:p w:rsidR="003C2DB0" w:rsidRPr="006E4C26" w:rsidRDefault="00862DF3" w:rsidP="003C2DB0">
            <w:pPr>
              <w:pStyle w:val="LLPykalanOtsikko"/>
            </w:pPr>
            <w:r>
              <w:t>Maantieteelliset määritelmät.</w:t>
            </w:r>
          </w:p>
          <w:p w:rsidR="003C2DB0" w:rsidRPr="006E4C26" w:rsidRDefault="003C2DB0" w:rsidP="003C2DB0">
            <w:pPr>
              <w:pStyle w:val="LLMomentinJohdantoKappale"/>
            </w:pPr>
            <w:r w:rsidRPr="006E4C26">
              <w:t>Tässä laissa tarkoitetaan:</w:t>
            </w:r>
          </w:p>
          <w:p w:rsidR="003C2DB0" w:rsidRPr="006E4C26" w:rsidRDefault="003C2DB0" w:rsidP="003C2DB0">
            <w:pPr>
              <w:pStyle w:val="LLMomentinKohta"/>
            </w:pPr>
            <w:r w:rsidRPr="006E4C26">
              <w:t xml:space="preserve">1) </w:t>
            </w:r>
            <w:r w:rsidRPr="006E4C26">
              <w:rPr>
                <w:i/>
              </w:rPr>
              <w:t>unionilla ja unionin alueella</w:t>
            </w:r>
            <w:r w:rsidRPr="006E4C26">
              <w:t xml:space="preserve"> Euroopan unionin jäsenvaltioiden alueita;</w:t>
            </w:r>
          </w:p>
          <w:p w:rsidR="003C2DB0" w:rsidRDefault="003C2DB0" w:rsidP="003C2DB0">
            <w:pPr>
              <w:pStyle w:val="LLMomentinKohta"/>
            </w:pPr>
            <w:r w:rsidRPr="006E4C26">
              <w:t xml:space="preserve">2) </w:t>
            </w:r>
            <w:r w:rsidRPr="006E4C26">
              <w:rPr>
                <w:i/>
              </w:rPr>
              <w:t>kolmannella alueella</w:t>
            </w:r>
            <w:r w:rsidRPr="006E4C26">
              <w:t xml:space="preserve"> </w:t>
            </w:r>
            <w:proofErr w:type="spellStart"/>
            <w:r w:rsidRPr="006E4C26">
              <w:t>Kanariansaaria</w:t>
            </w:r>
            <w:proofErr w:type="spellEnd"/>
            <w:r w:rsidRPr="006E4C26">
              <w:t xml:space="preserve">, Ahvenanmaan maakuntaa, Kanaalisaaria, </w:t>
            </w:r>
            <w:proofErr w:type="spellStart"/>
            <w:r w:rsidRPr="006E4C26">
              <w:t>Helgolandin</w:t>
            </w:r>
            <w:proofErr w:type="spellEnd"/>
            <w:r w:rsidRPr="006E4C26">
              <w:t xml:space="preserve"> saarta, </w:t>
            </w:r>
            <w:proofErr w:type="spellStart"/>
            <w:r w:rsidRPr="006E4C26">
              <w:t>Büsingenin</w:t>
            </w:r>
            <w:proofErr w:type="spellEnd"/>
            <w:r w:rsidRPr="006E4C26">
              <w:t xml:space="preserve"> aluetta</w:t>
            </w:r>
            <w:r w:rsidR="001032E9">
              <w:t xml:space="preserve">, Ceutaa, Melillaa, </w:t>
            </w:r>
            <w:proofErr w:type="spellStart"/>
            <w:r w:rsidR="001032E9">
              <w:t>Livignoa</w:t>
            </w:r>
            <w:proofErr w:type="spellEnd"/>
            <w:r w:rsidR="001032E9">
              <w:t xml:space="preserve"> ja </w:t>
            </w:r>
            <w:r w:rsidRPr="006E4C26">
              <w:t>Euroopan unionin toiminnasta tehdyn sopimuksen 349 artiklassa ja 355 artiklan 1 kohdassa tarkoitettuja Ranskan alueita;</w:t>
            </w:r>
          </w:p>
          <w:p w:rsidR="000062EC" w:rsidRPr="006E4C26" w:rsidRDefault="000062EC" w:rsidP="003C2DB0">
            <w:pPr>
              <w:pStyle w:val="LLMomentinKohta"/>
            </w:pPr>
          </w:p>
          <w:p w:rsidR="003C2DB0" w:rsidRPr="006E4C26" w:rsidRDefault="003C2DB0" w:rsidP="003C2DB0">
            <w:pPr>
              <w:pStyle w:val="LLMomentinKohta"/>
            </w:pPr>
            <w:r w:rsidRPr="006E4C26">
              <w:t xml:space="preserve">3) </w:t>
            </w:r>
            <w:r w:rsidRPr="006E4C26">
              <w:rPr>
                <w:i/>
              </w:rPr>
              <w:t>jäsenvaltiolla ja jäsenvaltion alueella</w:t>
            </w:r>
            <w:r w:rsidRPr="006E4C26">
              <w:t xml:space="preserve"> unionin jäsenvaltion aluetta, johon sovelletaan unionin lainsäädäntöä, lukuun ottamatta kolmansia alueita;</w:t>
            </w:r>
          </w:p>
          <w:p w:rsidR="003C2DB0" w:rsidRPr="006E4C26" w:rsidRDefault="003C2DB0" w:rsidP="003C2DB0">
            <w:pPr>
              <w:pStyle w:val="LLMomentinKohta"/>
            </w:pPr>
            <w:r w:rsidRPr="006E4C26">
              <w:t xml:space="preserve">4) </w:t>
            </w:r>
            <w:r w:rsidRPr="006E4C26">
              <w:rPr>
                <w:i/>
              </w:rPr>
              <w:t>Suomella</w:t>
            </w:r>
            <w:r w:rsidRPr="006E4C26">
              <w:t xml:space="preserve"> unionin lainsäädännön mukaista Suomen aluetta mukaan lukien Ahvenanmaan maakunta;</w:t>
            </w:r>
          </w:p>
          <w:p w:rsidR="003C2DB0" w:rsidRPr="006E4C26" w:rsidRDefault="003C2DB0" w:rsidP="003C2DB0">
            <w:pPr>
              <w:pStyle w:val="LLMomentinKohta"/>
            </w:pPr>
            <w:r w:rsidRPr="006E4C26">
              <w:t xml:space="preserve">5) </w:t>
            </w:r>
            <w:r w:rsidRPr="006E4C26">
              <w:rPr>
                <w:i/>
              </w:rPr>
              <w:t>kolmannella maalla</w:t>
            </w:r>
            <w:r w:rsidRPr="006E4C26">
              <w:t xml:space="preserve"> valtiota tai aluetta, johon ei sovelleta Euroopan unioni</w:t>
            </w:r>
            <w:r w:rsidRPr="001032E9">
              <w:rPr>
                <w:i/>
              </w:rPr>
              <w:t>sta</w:t>
            </w:r>
            <w:r w:rsidRPr="006E4C26">
              <w:t xml:space="preserve"> </w:t>
            </w:r>
            <w:r w:rsidRPr="001032E9">
              <w:rPr>
                <w:i/>
              </w:rPr>
              <w:t>tehtyä sopimusta eikä</w:t>
            </w:r>
            <w:r w:rsidRPr="006E4C26">
              <w:t xml:space="preserve"> Europan unionin </w:t>
            </w:r>
            <w:r w:rsidRPr="001032E9">
              <w:rPr>
                <w:i/>
              </w:rPr>
              <w:t>toiminnasta tehtyä sopimusta</w:t>
            </w:r>
            <w:r w:rsidRPr="006E4C26">
              <w:t xml:space="preserve">, ei kuitenkaan Monacon ruhtinaskuntaa, San Marinoa, Yhdistyneen kuningaskunnan suvereniteettiin kuuluvia </w:t>
            </w:r>
            <w:proofErr w:type="spellStart"/>
            <w:r w:rsidRPr="006E4C26">
              <w:t>Akrotirin</w:t>
            </w:r>
            <w:proofErr w:type="spellEnd"/>
            <w:r w:rsidRPr="006E4C26">
              <w:t xml:space="preserve"> ja </w:t>
            </w:r>
            <w:proofErr w:type="spellStart"/>
            <w:r w:rsidRPr="006E4C26">
              <w:t>Dhekelian</w:t>
            </w:r>
            <w:proofErr w:type="spellEnd"/>
            <w:r w:rsidRPr="006E4C26">
              <w:t xml:space="preserve"> tukikohta-alueita eikä </w:t>
            </w:r>
            <w:proofErr w:type="spellStart"/>
            <w:r w:rsidRPr="006E4C26">
              <w:t>Mansaarta</w:t>
            </w:r>
            <w:proofErr w:type="spellEnd"/>
            <w:r w:rsidRPr="006E4C26">
              <w:t>; valmisteveron alaisten tuotteiden siirtoja, joiden lähtö- tai määräpaikka on:</w:t>
            </w:r>
          </w:p>
          <w:p w:rsidR="003C2DB0" w:rsidRPr="006E4C26" w:rsidRDefault="003C2DB0" w:rsidP="003C2DB0">
            <w:pPr>
              <w:pStyle w:val="LLMomentinAlakohta"/>
            </w:pPr>
            <w:r w:rsidRPr="006E4C26">
              <w:t>a) Monacon ruhtinaskunta, on kohdeltava siirtoina, joiden lähtö- tai määräpaikka on Ranska;</w:t>
            </w:r>
          </w:p>
          <w:p w:rsidR="003C2DB0" w:rsidRPr="006E4C26" w:rsidRDefault="003C2DB0" w:rsidP="003C2DB0">
            <w:pPr>
              <w:pStyle w:val="LLMomentinAlakohta"/>
            </w:pPr>
            <w:r w:rsidRPr="006E4C26">
              <w:t>b) San Marino, on kohdeltava siirtoina, joiden lähtö- tai määräpaikka on Italia;</w:t>
            </w:r>
          </w:p>
          <w:p w:rsidR="003C2DB0" w:rsidRPr="006E4C26" w:rsidRDefault="003C2DB0" w:rsidP="003C2DB0">
            <w:pPr>
              <w:pStyle w:val="LLMomentinAlakohta"/>
            </w:pPr>
            <w:r w:rsidRPr="006E4C26">
              <w:t xml:space="preserve">c) Yhdistyneen kuningaskunnan suvereniteettiin kuuluvat </w:t>
            </w:r>
            <w:proofErr w:type="spellStart"/>
            <w:r w:rsidRPr="006E4C26">
              <w:t>Akrotirin</w:t>
            </w:r>
            <w:proofErr w:type="spellEnd"/>
            <w:r w:rsidRPr="006E4C26">
              <w:t xml:space="preserve"> ja </w:t>
            </w:r>
            <w:proofErr w:type="spellStart"/>
            <w:r w:rsidRPr="006E4C26">
              <w:t>Dhekelian</w:t>
            </w:r>
            <w:proofErr w:type="spellEnd"/>
            <w:r w:rsidRPr="006E4C26">
              <w:t xml:space="preserve"> tukikohta-alueet, on kohdeltava siirtoina, joiden lähtö- tai määräpaikka on Kypros;</w:t>
            </w:r>
          </w:p>
          <w:p w:rsidR="003C2DB0" w:rsidRPr="006E4C26" w:rsidRDefault="003C2DB0" w:rsidP="003C2DB0">
            <w:pPr>
              <w:pStyle w:val="LLMomentinAlakohta"/>
            </w:pPr>
            <w:r w:rsidRPr="006E4C26">
              <w:lastRenderedPageBreak/>
              <w:t>d) Mansaari, on kohdeltava siirtoina, joiden lähtö- tai määräpaikka on Yhdistynyt kuningaskunta;</w:t>
            </w:r>
          </w:p>
          <w:p w:rsidR="003C2DB0" w:rsidRDefault="003C2DB0" w:rsidP="003C2DB0">
            <w:pPr>
              <w:pStyle w:val="LLMomentinAlakohta"/>
            </w:pPr>
            <w:r w:rsidRPr="006E4C26">
              <w:t xml:space="preserve">e) </w:t>
            </w:r>
            <w:proofErr w:type="spellStart"/>
            <w:r w:rsidRPr="006E4C26">
              <w:t>Jungholz</w:t>
            </w:r>
            <w:proofErr w:type="spellEnd"/>
            <w:r w:rsidRPr="006E4C26">
              <w:t xml:space="preserve"> ja </w:t>
            </w:r>
            <w:proofErr w:type="spellStart"/>
            <w:r w:rsidRPr="006E4C26">
              <w:t>Mittelberg</w:t>
            </w:r>
            <w:proofErr w:type="spellEnd"/>
            <w:r w:rsidRPr="006E4C26">
              <w:t xml:space="preserve"> (</w:t>
            </w:r>
            <w:proofErr w:type="spellStart"/>
            <w:r w:rsidRPr="006E4C26">
              <w:t>Kleines</w:t>
            </w:r>
            <w:proofErr w:type="spellEnd"/>
            <w:r w:rsidRPr="006E4C26">
              <w:t xml:space="preserve"> </w:t>
            </w:r>
            <w:proofErr w:type="spellStart"/>
            <w:r w:rsidRPr="006E4C26">
              <w:t>Walsertal</w:t>
            </w:r>
            <w:proofErr w:type="spellEnd"/>
            <w:r w:rsidRPr="006E4C26">
              <w:t>), on kohdeltava siirtoina, joiden lähtö- tai määräpaikka on Saksa.</w:t>
            </w:r>
          </w:p>
          <w:p w:rsidR="003C2DB0" w:rsidRPr="003C2DB0" w:rsidRDefault="003C2DB0" w:rsidP="003C2DB0">
            <w:pPr>
              <w:pStyle w:val="LLNormaali"/>
            </w:pPr>
            <w:r>
              <w:t xml:space="preserve">— — — — — — — — — — — — — — </w:t>
            </w:r>
          </w:p>
        </w:tc>
      </w:tr>
      <w:tr w:rsidR="003C2DB0" w:rsidTr="003C2DB0">
        <w:tc>
          <w:tcPr>
            <w:tcW w:w="4168" w:type="dxa"/>
            <w:shd w:val="clear" w:color="auto" w:fill="auto"/>
          </w:tcPr>
          <w:p w:rsidR="003C2DB0" w:rsidRPr="003C2DB0" w:rsidRDefault="003C2DB0" w:rsidP="00862DF3">
            <w:pPr>
              <w:pStyle w:val="LLKappalejako"/>
            </w:pPr>
          </w:p>
        </w:tc>
        <w:tc>
          <w:tcPr>
            <w:tcW w:w="4168" w:type="dxa"/>
            <w:shd w:val="clear" w:color="auto" w:fill="auto"/>
          </w:tcPr>
          <w:p w:rsidR="003C2DB0" w:rsidRPr="006E4C26" w:rsidRDefault="003C2DB0" w:rsidP="003C2DB0">
            <w:pPr>
              <w:pStyle w:val="LLNormaali"/>
              <w:jc w:val="center"/>
            </w:pPr>
            <w:r w:rsidRPr="006E4C26">
              <w:t>———</w:t>
            </w:r>
          </w:p>
          <w:p w:rsidR="003C2DB0" w:rsidRPr="003C2DB0" w:rsidRDefault="003C2DB0" w:rsidP="003C2DB0">
            <w:pPr>
              <w:pStyle w:val="LLKappalejako"/>
              <w:rPr>
                <w:i/>
              </w:rPr>
            </w:pPr>
            <w:r w:rsidRPr="003C2DB0">
              <w:rPr>
                <w:i/>
              </w:rPr>
              <w:t>Tämä laki tulee   päivänä    kuuta 20</w:t>
            </w:r>
          </w:p>
          <w:p w:rsidR="003C2DB0" w:rsidRPr="006E4C26" w:rsidRDefault="003C2DB0" w:rsidP="003C2DB0">
            <w:pPr>
              <w:pStyle w:val="LLNormaali"/>
              <w:jc w:val="center"/>
            </w:pPr>
            <w:r>
              <w:t>———</w:t>
            </w:r>
          </w:p>
        </w:tc>
      </w:tr>
    </w:tbl>
    <w:p w:rsidR="003C2DB0" w:rsidRPr="006E4C26" w:rsidRDefault="003C2DB0" w:rsidP="003C2DB0">
      <w:pPr>
        <w:pStyle w:val="LLJohtolauseKappaleet"/>
      </w:pPr>
    </w:p>
    <w:p w:rsidR="00D66A70" w:rsidRPr="006E4C26" w:rsidRDefault="00D66A70" w:rsidP="00EB7EE2">
      <w:pPr>
        <w:pStyle w:val="LLNormaali"/>
      </w:pPr>
    </w:p>
    <w:sectPr w:rsidR="00D66A70" w:rsidRPr="006E4C26" w:rsidSect="00C85EB5">
      <w:headerReference w:type="default" r:id="rId11"/>
      <w:footerReference w:type="even" r:id="rId12"/>
      <w:footerReference w:type="default" r:id="rId13"/>
      <w:headerReference w:type="first" r:id="rId14"/>
      <w:footerReference w:type="first" r:id="rId15"/>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A70" w:rsidRDefault="00D66A70">
      <w:r>
        <w:separator/>
      </w:r>
    </w:p>
  </w:endnote>
  <w:endnote w:type="continuationSeparator" w:id="0">
    <w:p w:rsidR="00D66A70" w:rsidRDefault="00D66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A70" w:rsidRDefault="00D66A70"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D66A70" w:rsidRDefault="00D66A7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D66A70" w:rsidTr="000C5020">
      <w:trPr>
        <w:trHeight w:hRule="exact" w:val="356"/>
      </w:trPr>
      <w:tc>
        <w:tcPr>
          <w:tcW w:w="2828" w:type="dxa"/>
          <w:shd w:val="clear" w:color="auto" w:fill="auto"/>
          <w:vAlign w:val="bottom"/>
        </w:tcPr>
        <w:p w:rsidR="00D66A70" w:rsidRPr="000C5020" w:rsidRDefault="00D66A70" w:rsidP="001310B9">
          <w:pPr>
            <w:pStyle w:val="Alatunniste"/>
            <w:rPr>
              <w:sz w:val="18"/>
              <w:szCs w:val="18"/>
              <w:lang w:eastAsia="fi-FI"/>
            </w:rPr>
          </w:pPr>
        </w:p>
      </w:tc>
      <w:tc>
        <w:tcPr>
          <w:tcW w:w="2829" w:type="dxa"/>
          <w:shd w:val="clear" w:color="auto" w:fill="auto"/>
          <w:vAlign w:val="bottom"/>
        </w:tcPr>
        <w:p w:rsidR="00D66A70" w:rsidRPr="000C5020" w:rsidRDefault="00D66A70" w:rsidP="000C5020">
          <w:pPr>
            <w:pStyle w:val="Alatunniste"/>
            <w:jc w:val="center"/>
            <w:rPr>
              <w:sz w:val="22"/>
              <w:szCs w:val="22"/>
              <w:lang w:eastAsia="fi-FI"/>
            </w:rPr>
          </w:pPr>
          <w:r w:rsidRPr="003913F6">
            <w:rPr>
              <w:rStyle w:val="Sivunumero"/>
              <w:sz w:val="22"/>
              <w:szCs w:val="24"/>
              <w:lang w:eastAsia="fi-FI"/>
            </w:rPr>
            <w:fldChar w:fldCharType="begin"/>
          </w:r>
          <w:r w:rsidRPr="003913F6">
            <w:rPr>
              <w:rStyle w:val="Sivunumero"/>
              <w:sz w:val="22"/>
              <w:szCs w:val="24"/>
              <w:lang w:eastAsia="fi-FI"/>
            </w:rPr>
            <w:instrText xml:space="preserve"> PAGE </w:instrText>
          </w:r>
          <w:r w:rsidRPr="003913F6">
            <w:rPr>
              <w:rStyle w:val="Sivunumero"/>
              <w:sz w:val="22"/>
              <w:szCs w:val="24"/>
              <w:lang w:eastAsia="fi-FI"/>
            </w:rPr>
            <w:fldChar w:fldCharType="separate"/>
          </w:r>
          <w:r w:rsidR="00791715">
            <w:rPr>
              <w:rStyle w:val="Sivunumero"/>
              <w:noProof/>
              <w:sz w:val="22"/>
              <w:szCs w:val="24"/>
              <w:lang w:eastAsia="fi-FI"/>
            </w:rPr>
            <w:t>2</w:t>
          </w:r>
          <w:r w:rsidRPr="003913F6">
            <w:rPr>
              <w:rStyle w:val="Sivunumero"/>
              <w:sz w:val="22"/>
              <w:szCs w:val="24"/>
              <w:lang w:eastAsia="fi-FI"/>
            </w:rPr>
            <w:fldChar w:fldCharType="end"/>
          </w:r>
        </w:p>
      </w:tc>
      <w:tc>
        <w:tcPr>
          <w:tcW w:w="2829" w:type="dxa"/>
          <w:shd w:val="clear" w:color="auto" w:fill="auto"/>
          <w:vAlign w:val="bottom"/>
        </w:tcPr>
        <w:p w:rsidR="00D66A70" w:rsidRPr="000C5020" w:rsidRDefault="00D66A70" w:rsidP="001310B9">
          <w:pPr>
            <w:pStyle w:val="Alatunniste"/>
            <w:rPr>
              <w:sz w:val="18"/>
              <w:szCs w:val="18"/>
              <w:lang w:eastAsia="fi-FI"/>
            </w:rPr>
          </w:pPr>
        </w:p>
      </w:tc>
    </w:tr>
  </w:tbl>
  <w:p w:rsidR="00D66A70" w:rsidRDefault="00D66A70" w:rsidP="001310B9">
    <w:pPr>
      <w:pStyle w:val="Alatunniste"/>
    </w:pPr>
  </w:p>
  <w:p w:rsidR="00D66A70" w:rsidRDefault="00D66A70" w:rsidP="001310B9">
    <w:pPr>
      <w:pStyle w:val="Alatunniste"/>
      <w:framePr w:wrap="around" w:vAnchor="text" w:hAnchor="page" w:x="5921" w:y="729"/>
      <w:rPr>
        <w:rStyle w:val="Sivunumero"/>
      </w:rPr>
    </w:pPr>
  </w:p>
  <w:p w:rsidR="00D66A70" w:rsidRDefault="00D66A70"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D66A70" w:rsidTr="000C5020">
      <w:trPr>
        <w:trHeight w:val="841"/>
      </w:trPr>
      <w:tc>
        <w:tcPr>
          <w:tcW w:w="2829" w:type="dxa"/>
          <w:shd w:val="clear" w:color="auto" w:fill="auto"/>
        </w:tcPr>
        <w:p w:rsidR="00D66A70" w:rsidRPr="000C5020" w:rsidRDefault="00D66A70" w:rsidP="005224A0">
          <w:pPr>
            <w:pStyle w:val="Alatunniste"/>
            <w:rPr>
              <w:sz w:val="17"/>
              <w:szCs w:val="18"/>
              <w:lang w:eastAsia="fi-FI"/>
            </w:rPr>
          </w:pPr>
        </w:p>
      </w:tc>
      <w:tc>
        <w:tcPr>
          <w:tcW w:w="2829" w:type="dxa"/>
          <w:shd w:val="clear" w:color="auto" w:fill="auto"/>
          <w:vAlign w:val="bottom"/>
        </w:tcPr>
        <w:p w:rsidR="00D66A70" w:rsidRPr="000C5020" w:rsidRDefault="00D66A70" w:rsidP="000C5020">
          <w:pPr>
            <w:pStyle w:val="Alatunniste"/>
            <w:jc w:val="center"/>
            <w:rPr>
              <w:sz w:val="22"/>
              <w:szCs w:val="22"/>
              <w:lang w:eastAsia="fi-FI"/>
            </w:rPr>
          </w:pPr>
        </w:p>
      </w:tc>
      <w:tc>
        <w:tcPr>
          <w:tcW w:w="2829" w:type="dxa"/>
          <w:shd w:val="clear" w:color="auto" w:fill="auto"/>
        </w:tcPr>
        <w:p w:rsidR="00D66A70" w:rsidRPr="000C5020" w:rsidRDefault="00D66A70" w:rsidP="005224A0">
          <w:pPr>
            <w:pStyle w:val="Alatunniste"/>
            <w:rPr>
              <w:sz w:val="17"/>
              <w:szCs w:val="18"/>
              <w:lang w:eastAsia="fi-FI"/>
            </w:rPr>
          </w:pPr>
        </w:p>
      </w:tc>
    </w:tr>
  </w:tbl>
  <w:p w:rsidR="00D66A70" w:rsidRPr="001310B9" w:rsidRDefault="00D66A70">
    <w:pPr>
      <w:pStyle w:val="Alatunniste"/>
      <w:rPr>
        <w:sz w:val="22"/>
        <w:szCs w:val="22"/>
      </w:rPr>
    </w:pPr>
  </w:p>
  <w:p w:rsidR="00D66A70" w:rsidRDefault="00D66A7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A70" w:rsidRDefault="00D66A70">
      <w:r>
        <w:separator/>
      </w:r>
    </w:p>
  </w:footnote>
  <w:footnote w:type="continuationSeparator" w:id="0">
    <w:p w:rsidR="00D66A70" w:rsidRDefault="00D66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D66A70" w:rsidTr="00C95716">
      <w:tc>
        <w:tcPr>
          <w:tcW w:w="2140" w:type="dxa"/>
        </w:tcPr>
        <w:p w:rsidR="00D66A70" w:rsidRDefault="00D66A70" w:rsidP="00C95716">
          <w:pPr>
            <w:pStyle w:val="LLNormaali"/>
            <w:rPr>
              <w:lang w:val="en-US"/>
            </w:rPr>
          </w:pPr>
        </w:p>
      </w:tc>
      <w:tc>
        <w:tcPr>
          <w:tcW w:w="4281" w:type="dxa"/>
          <w:gridSpan w:val="2"/>
        </w:tcPr>
        <w:p w:rsidR="00D66A70" w:rsidRDefault="00D66A70" w:rsidP="00C95716">
          <w:pPr>
            <w:pStyle w:val="LLNormaali"/>
            <w:jc w:val="center"/>
          </w:pPr>
        </w:p>
      </w:tc>
      <w:tc>
        <w:tcPr>
          <w:tcW w:w="2141" w:type="dxa"/>
        </w:tcPr>
        <w:p w:rsidR="00D66A70" w:rsidRDefault="00D66A70" w:rsidP="00C95716">
          <w:pPr>
            <w:pStyle w:val="LLNormaali"/>
            <w:rPr>
              <w:lang w:val="en-US"/>
            </w:rPr>
          </w:pPr>
        </w:p>
      </w:tc>
    </w:tr>
    <w:tr w:rsidR="00D66A70" w:rsidTr="00C95716">
      <w:tc>
        <w:tcPr>
          <w:tcW w:w="4281" w:type="dxa"/>
          <w:gridSpan w:val="2"/>
        </w:tcPr>
        <w:p w:rsidR="00D66A70" w:rsidRPr="00AC3BA6" w:rsidRDefault="00D66A70" w:rsidP="00C95716">
          <w:pPr>
            <w:pStyle w:val="LLNormaali"/>
            <w:rPr>
              <w:i/>
            </w:rPr>
          </w:pPr>
        </w:p>
      </w:tc>
      <w:tc>
        <w:tcPr>
          <w:tcW w:w="4281" w:type="dxa"/>
          <w:gridSpan w:val="2"/>
        </w:tcPr>
        <w:p w:rsidR="00D66A70" w:rsidRPr="00AC3BA6" w:rsidRDefault="00D66A70" w:rsidP="00C95716">
          <w:pPr>
            <w:pStyle w:val="LLNormaali"/>
            <w:rPr>
              <w:i/>
            </w:rPr>
          </w:pPr>
        </w:p>
      </w:tc>
    </w:tr>
  </w:tbl>
  <w:p w:rsidR="00D66A70" w:rsidRDefault="00D66A70"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D66A70" w:rsidTr="00F674CC">
      <w:tc>
        <w:tcPr>
          <w:tcW w:w="2140" w:type="dxa"/>
        </w:tcPr>
        <w:p w:rsidR="00D66A70" w:rsidRDefault="00D66A70" w:rsidP="00F674CC">
          <w:pPr>
            <w:pStyle w:val="LLNormaali"/>
            <w:rPr>
              <w:lang w:val="en-US"/>
            </w:rPr>
          </w:pPr>
        </w:p>
      </w:tc>
      <w:tc>
        <w:tcPr>
          <w:tcW w:w="4281" w:type="dxa"/>
          <w:gridSpan w:val="2"/>
        </w:tcPr>
        <w:p w:rsidR="00D66A70" w:rsidRDefault="00D66A70" w:rsidP="00F674CC">
          <w:pPr>
            <w:pStyle w:val="LLNormaali"/>
            <w:jc w:val="center"/>
          </w:pPr>
        </w:p>
      </w:tc>
      <w:tc>
        <w:tcPr>
          <w:tcW w:w="2141" w:type="dxa"/>
        </w:tcPr>
        <w:p w:rsidR="00D66A70" w:rsidRDefault="00D66A70" w:rsidP="00F674CC">
          <w:pPr>
            <w:pStyle w:val="LLNormaali"/>
            <w:rPr>
              <w:lang w:val="en-US"/>
            </w:rPr>
          </w:pPr>
        </w:p>
      </w:tc>
    </w:tr>
    <w:tr w:rsidR="00D66A70" w:rsidTr="00F674CC">
      <w:tc>
        <w:tcPr>
          <w:tcW w:w="4281" w:type="dxa"/>
          <w:gridSpan w:val="2"/>
        </w:tcPr>
        <w:p w:rsidR="00D66A70" w:rsidRPr="00AC3BA6" w:rsidRDefault="00D66A70" w:rsidP="00F674CC">
          <w:pPr>
            <w:pStyle w:val="LLNormaali"/>
            <w:rPr>
              <w:i/>
            </w:rPr>
          </w:pPr>
        </w:p>
      </w:tc>
      <w:tc>
        <w:tcPr>
          <w:tcW w:w="4281" w:type="dxa"/>
          <w:gridSpan w:val="2"/>
        </w:tcPr>
        <w:p w:rsidR="00D66A70" w:rsidRPr="00AC3BA6" w:rsidRDefault="00D66A70" w:rsidP="00F674CC">
          <w:pPr>
            <w:pStyle w:val="LLNormaali"/>
            <w:rPr>
              <w:i/>
            </w:rPr>
          </w:pPr>
        </w:p>
      </w:tc>
    </w:tr>
  </w:tbl>
  <w:p w:rsidR="00D66A70" w:rsidRDefault="00D66A7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7C3A"/>
    <w:multiLevelType w:val="hybridMultilevel"/>
    <w:tmpl w:val="9234596E"/>
    <w:lvl w:ilvl="0" w:tplc="699274A0">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1E01BF4"/>
    <w:multiLevelType w:val="multilevel"/>
    <w:tmpl w:val="509A96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3014B9"/>
    <w:multiLevelType w:val="hybridMultilevel"/>
    <w:tmpl w:val="6ADAA8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248008F"/>
    <w:multiLevelType w:val="hybridMultilevel"/>
    <w:tmpl w:val="FE744200"/>
    <w:lvl w:ilvl="0" w:tplc="322AD87E">
      <w:start w:val="2"/>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7A06EFD"/>
    <w:multiLevelType w:val="hybridMultilevel"/>
    <w:tmpl w:val="858267F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31BD59D2"/>
    <w:multiLevelType w:val="hybridMultilevel"/>
    <w:tmpl w:val="0E704376"/>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6" w15:restartNumberingAfterBreak="0">
    <w:nsid w:val="32EF4362"/>
    <w:multiLevelType w:val="hybridMultilevel"/>
    <w:tmpl w:val="AA2A8C82"/>
    <w:lvl w:ilvl="0" w:tplc="040B0001">
      <w:start w:val="1"/>
      <w:numFmt w:val="bullet"/>
      <w:lvlText w:val=""/>
      <w:lvlJc w:val="left"/>
      <w:pPr>
        <w:ind w:left="778" w:hanging="360"/>
      </w:pPr>
      <w:rPr>
        <w:rFonts w:ascii="Symbol" w:hAnsi="Symbol" w:hint="default"/>
      </w:rPr>
    </w:lvl>
    <w:lvl w:ilvl="1" w:tplc="040B0003" w:tentative="1">
      <w:start w:val="1"/>
      <w:numFmt w:val="bullet"/>
      <w:lvlText w:val="o"/>
      <w:lvlJc w:val="left"/>
      <w:pPr>
        <w:ind w:left="1498" w:hanging="360"/>
      </w:pPr>
      <w:rPr>
        <w:rFonts w:ascii="Courier New" w:hAnsi="Courier New" w:cs="Courier New" w:hint="default"/>
      </w:rPr>
    </w:lvl>
    <w:lvl w:ilvl="2" w:tplc="040B0005" w:tentative="1">
      <w:start w:val="1"/>
      <w:numFmt w:val="bullet"/>
      <w:lvlText w:val=""/>
      <w:lvlJc w:val="left"/>
      <w:pPr>
        <w:ind w:left="2218" w:hanging="360"/>
      </w:pPr>
      <w:rPr>
        <w:rFonts w:ascii="Wingdings" w:hAnsi="Wingdings" w:hint="default"/>
      </w:rPr>
    </w:lvl>
    <w:lvl w:ilvl="3" w:tplc="040B0001" w:tentative="1">
      <w:start w:val="1"/>
      <w:numFmt w:val="bullet"/>
      <w:lvlText w:val=""/>
      <w:lvlJc w:val="left"/>
      <w:pPr>
        <w:ind w:left="2938" w:hanging="360"/>
      </w:pPr>
      <w:rPr>
        <w:rFonts w:ascii="Symbol" w:hAnsi="Symbol" w:hint="default"/>
      </w:rPr>
    </w:lvl>
    <w:lvl w:ilvl="4" w:tplc="040B0003" w:tentative="1">
      <w:start w:val="1"/>
      <w:numFmt w:val="bullet"/>
      <w:lvlText w:val="o"/>
      <w:lvlJc w:val="left"/>
      <w:pPr>
        <w:ind w:left="3658" w:hanging="360"/>
      </w:pPr>
      <w:rPr>
        <w:rFonts w:ascii="Courier New" w:hAnsi="Courier New" w:cs="Courier New" w:hint="default"/>
      </w:rPr>
    </w:lvl>
    <w:lvl w:ilvl="5" w:tplc="040B0005" w:tentative="1">
      <w:start w:val="1"/>
      <w:numFmt w:val="bullet"/>
      <w:lvlText w:val=""/>
      <w:lvlJc w:val="left"/>
      <w:pPr>
        <w:ind w:left="4378" w:hanging="360"/>
      </w:pPr>
      <w:rPr>
        <w:rFonts w:ascii="Wingdings" w:hAnsi="Wingdings" w:hint="default"/>
      </w:rPr>
    </w:lvl>
    <w:lvl w:ilvl="6" w:tplc="040B0001" w:tentative="1">
      <w:start w:val="1"/>
      <w:numFmt w:val="bullet"/>
      <w:lvlText w:val=""/>
      <w:lvlJc w:val="left"/>
      <w:pPr>
        <w:ind w:left="5098" w:hanging="360"/>
      </w:pPr>
      <w:rPr>
        <w:rFonts w:ascii="Symbol" w:hAnsi="Symbol" w:hint="default"/>
      </w:rPr>
    </w:lvl>
    <w:lvl w:ilvl="7" w:tplc="040B0003" w:tentative="1">
      <w:start w:val="1"/>
      <w:numFmt w:val="bullet"/>
      <w:lvlText w:val="o"/>
      <w:lvlJc w:val="left"/>
      <w:pPr>
        <w:ind w:left="5818" w:hanging="360"/>
      </w:pPr>
      <w:rPr>
        <w:rFonts w:ascii="Courier New" w:hAnsi="Courier New" w:cs="Courier New" w:hint="default"/>
      </w:rPr>
    </w:lvl>
    <w:lvl w:ilvl="8" w:tplc="040B0005" w:tentative="1">
      <w:start w:val="1"/>
      <w:numFmt w:val="bullet"/>
      <w:lvlText w:val=""/>
      <w:lvlJc w:val="left"/>
      <w:pPr>
        <w:ind w:left="6538" w:hanging="360"/>
      </w:pPr>
      <w:rPr>
        <w:rFonts w:ascii="Wingdings" w:hAnsi="Wingdings" w:hint="default"/>
      </w:rPr>
    </w:lvl>
  </w:abstractNum>
  <w:abstractNum w:abstractNumId="7" w15:restartNumberingAfterBreak="0">
    <w:nsid w:val="3AF2068A"/>
    <w:multiLevelType w:val="multilevel"/>
    <w:tmpl w:val="87C86906"/>
    <w:lvl w:ilvl="0">
      <w:start w:val="1"/>
      <w:numFmt w:val="decimal"/>
      <w:pStyle w:val="LLYLP1Otsikkotaso"/>
      <w:lvlText w:val="%1"/>
      <w:lvlJc w:val="left"/>
      <w:pPr>
        <w:tabs>
          <w:tab w:val="num" w:pos="357"/>
        </w:tabs>
        <w:ind w:left="0" w:firstLine="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8" w15:restartNumberingAfterBreak="0">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9" w15:restartNumberingAfterBreak="0">
    <w:nsid w:val="62983007"/>
    <w:multiLevelType w:val="multilevel"/>
    <w:tmpl w:val="E9B0BF10"/>
    <w:lvl w:ilvl="0">
      <w:start w:val="1"/>
      <w:numFmt w:val="upperRoman"/>
      <w:lvlText w:val="%1"/>
      <w:lvlJc w:val="left"/>
      <w:pPr>
        <w:tabs>
          <w:tab w:val="num" w:pos="848"/>
        </w:tabs>
        <w:ind w:left="488" w:firstLine="0"/>
      </w:pPr>
      <w:rPr>
        <w:rFonts w:hint="default"/>
      </w:rPr>
    </w:lvl>
    <w:lvl w:ilvl="1">
      <w:start w:val="1"/>
      <w:numFmt w:val="decimal"/>
      <w:pStyle w:val="LLP1Otsikkotaso"/>
      <w:lvlText w:val="%2"/>
      <w:lvlJc w:val="left"/>
      <w:pPr>
        <w:tabs>
          <w:tab w:val="num" w:pos="357"/>
        </w:tabs>
        <w:ind w:left="0" w:firstLine="0"/>
      </w:pPr>
      <w:rPr>
        <w:rFonts w:hint="default"/>
      </w:rPr>
    </w:lvl>
    <w:lvl w:ilvl="2">
      <w:start w:val="1"/>
      <w:numFmt w:val="decimal"/>
      <w:pStyle w:val="LLP2Otsikkotas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0" w15:restartNumberingAfterBreak="0">
    <w:nsid w:val="7DF7517E"/>
    <w:multiLevelType w:val="multilevel"/>
    <w:tmpl w:val="83C6E25A"/>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8"/>
  </w:num>
  <w:num w:numId="3">
    <w:abstractNumId w:val="7"/>
  </w:num>
  <w:num w:numId="4">
    <w:abstractNumId w:val="10"/>
  </w:num>
  <w:num w:numId="5">
    <w:abstractNumId w:val="0"/>
  </w:num>
  <w:num w:numId="6">
    <w:abstractNumId w:val="3"/>
  </w:num>
  <w:num w:numId="7">
    <w:abstractNumId w:val="9"/>
  </w:num>
  <w:num w:numId="8">
    <w:abstractNumId w:val="9"/>
  </w:num>
  <w:num w:numId="9">
    <w:abstractNumId w:val="9"/>
  </w:num>
  <w:num w:numId="10">
    <w:abstractNumId w:val="1"/>
  </w:num>
  <w:num w:numId="11">
    <w:abstractNumId w:val="9"/>
    <w:lvlOverride w:ilvl="0">
      <w:startOverride w:val="1"/>
    </w:lvlOverride>
    <w:lvlOverride w:ilvl="1">
      <w:startOverride w:val="4"/>
    </w:lvlOverride>
  </w:num>
  <w:num w:numId="12">
    <w:abstractNumId w:val="9"/>
    <w:lvlOverride w:ilvl="0">
      <w:startOverride w:val="1"/>
    </w:lvlOverride>
    <w:lvlOverride w:ilvl="1">
      <w:startOverride w:val="4"/>
    </w:lvlOverride>
    <w:lvlOverride w:ilvl="2">
      <w:startOverride w:val="2"/>
    </w:lvlOverride>
  </w:num>
  <w:num w:numId="13">
    <w:abstractNumId w:val="2"/>
  </w:num>
  <w:num w:numId="14">
    <w:abstractNumId w:val="5"/>
  </w:num>
  <w:num w:numId="15">
    <w:abstractNumId w:val="4"/>
  </w:num>
  <w:num w:numId="1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i-FI"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C7A"/>
    <w:rsid w:val="00000B13"/>
    <w:rsid w:val="00000D79"/>
    <w:rsid w:val="00001C65"/>
    <w:rsid w:val="000020D6"/>
    <w:rsid w:val="000026A6"/>
    <w:rsid w:val="000026CD"/>
    <w:rsid w:val="00005736"/>
    <w:rsid w:val="000062EC"/>
    <w:rsid w:val="00006FA1"/>
    <w:rsid w:val="00007C03"/>
    <w:rsid w:val="00007EA2"/>
    <w:rsid w:val="00011736"/>
    <w:rsid w:val="000131D0"/>
    <w:rsid w:val="0001433B"/>
    <w:rsid w:val="0001582F"/>
    <w:rsid w:val="00015D45"/>
    <w:rsid w:val="000166D0"/>
    <w:rsid w:val="00017270"/>
    <w:rsid w:val="000202B9"/>
    <w:rsid w:val="000202BC"/>
    <w:rsid w:val="000208A6"/>
    <w:rsid w:val="0002194F"/>
    <w:rsid w:val="00023201"/>
    <w:rsid w:val="00024B6D"/>
    <w:rsid w:val="00030044"/>
    <w:rsid w:val="00030AC1"/>
    <w:rsid w:val="00031806"/>
    <w:rsid w:val="000320F0"/>
    <w:rsid w:val="0003265F"/>
    <w:rsid w:val="0003393F"/>
    <w:rsid w:val="00034B95"/>
    <w:rsid w:val="00035FD7"/>
    <w:rsid w:val="0003652F"/>
    <w:rsid w:val="000370C8"/>
    <w:rsid w:val="00040AE3"/>
    <w:rsid w:val="00040D23"/>
    <w:rsid w:val="000411A3"/>
    <w:rsid w:val="00041A0B"/>
    <w:rsid w:val="00043723"/>
    <w:rsid w:val="00044201"/>
    <w:rsid w:val="00044451"/>
    <w:rsid w:val="000450D2"/>
    <w:rsid w:val="00047B66"/>
    <w:rsid w:val="000502E9"/>
    <w:rsid w:val="00050C95"/>
    <w:rsid w:val="00052549"/>
    <w:rsid w:val="00052E56"/>
    <w:rsid w:val="000543D1"/>
    <w:rsid w:val="000547E2"/>
    <w:rsid w:val="0005676C"/>
    <w:rsid w:val="00060843"/>
    <w:rsid w:val="000608D6"/>
    <w:rsid w:val="00061325"/>
    <w:rsid w:val="000614BC"/>
    <w:rsid w:val="00061565"/>
    <w:rsid w:val="00061FE7"/>
    <w:rsid w:val="00062A38"/>
    <w:rsid w:val="00063BCB"/>
    <w:rsid w:val="00063DCC"/>
    <w:rsid w:val="00064872"/>
    <w:rsid w:val="00066DC3"/>
    <w:rsid w:val="000677E9"/>
    <w:rsid w:val="00067EF6"/>
    <w:rsid w:val="00070B45"/>
    <w:rsid w:val="00070C92"/>
    <w:rsid w:val="000722C4"/>
    <w:rsid w:val="00072627"/>
    <w:rsid w:val="00073A99"/>
    <w:rsid w:val="00074190"/>
    <w:rsid w:val="00075ADB"/>
    <w:rsid w:val="000764E7"/>
    <w:rsid w:val="000769BB"/>
    <w:rsid w:val="00077867"/>
    <w:rsid w:val="000811EC"/>
    <w:rsid w:val="000819E3"/>
    <w:rsid w:val="00083E71"/>
    <w:rsid w:val="00084034"/>
    <w:rsid w:val="00085925"/>
    <w:rsid w:val="000867A9"/>
    <w:rsid w:val="000869D6"/>
    <w:rsid w:val="00086A31"/>
    <w:rsid w:val="00086D51"/>
    <w:rsid w:val="00086E44"/>
    <w:rsid w:val="00091ADB"/>
    <w:rsid w:val="0009275E"/>
    <w:rsid w:val="000931E7"/>
    <w:rsid w:val="00094938"/>
    <w:rsid w:val="000968AF"/>
    <w:rsid w:val="00097836"/>
    <w:rsid w:val="00097A49"/>
    <w:rsid w:val="000A0458"/>
    <w:rsid w:val="000A11C9"/>
    <w:rsid w:val="000A23C8"/>
    <w:rsid w:val="000A2C2D"/>
    <w:rsid w:val="000A2EC3"/>
    <w:rsid w:val="000A3181"/>
    <w:rsid w:val="000A3B66"/>
    <w:rsid w:val="000A48BD"/>
    <w:rsid w:val="000A4CC1"/>
    <w:rsid w:val="000A4F4F"/>
    <w:rsid w:val="000A55E5"/>
    <w:rsid w:val="000A6A0D"/>
    <w:rsid w:val="000A6C3E"/>
    <w:rsid w:val="000A7212"/>
    <w:rsid w:val="000A75CB"/>
    <w:rsid w:val="000B0F5F"/>
    <w:rsid w:val="000B2410"/>
    <w:rsid w:val="000B3DC5"/>
    <w:rsid w:val="000B43F5"/>
    <w:rsid w:val="000B499B"/>
    <w:rsid w:val="000B699F"/>
    <w:rsid w:val="000B7064"/>
    <w:rsid w:val="000C13BA"/>
    <w:rsid w:val="000C15D4"/>
    <w:rsid w:val="000C1725"/>
    <w:rsid w:val="000C3A8E"/>
    <w:rsid w:val="000C4809"/>
    <w:rsid w:val="000C4BB0"/>
    <w:rsid w:val="000C5020"/>
    <w:rsid w:val="000D0AA3"/>
    <w:rsid w:val="000D0E30"/>
    <w:rsid w:val="000D1D74"/>
    <w:rsid w:val="000D3443"/>
    <w:rsid w:val="000D38CD"/>
    <w:rsid w:val="000D425F"/>
    <w:rsid w:val="000D4882"/>
    <w:rsid w:val="000D4BFA"/>
    <w:rsid w:val="000D5454"/>
    <w:rsid w:val="000D550A"/>
    <w:rsid w:val="000D5694"/>
    <w:rsid w:val="000D5DBD"/>
    <w:rsid w:val="000D5E86"/>
    <w:rsid w:val="000D6E55"/>
    <w:rsid w:val="000D7D20"/>
    <w:rsid w:val="000E0B7D"/>
    <w:rsid w:val="000E1BB8"/>
    <w:rsid w:val="000E2BF4"/>
    <w:rsid w:val="000E446C"/>
    <w:rsid w:val="000E4544"/>
    <w:rsid w:val="000F02E2"/>
    <w:rsid w:val="000F06B2"/>
    <w:rsid w:val="000F1313"/>
    <w:rsid w:val="000F1A50"/>
    <w:rsid w:val="000F1AE5"/>
    <w:rsid w:val="000F1F95"/>
    <w:rsid w:val="000F3981"/>
    <w:rsid w:val="000F3EE9"/>
    <w:rsid w:val="000F3FDB"/>
    <w:rsid w:val="000F43FA"/>
    <w:rsid w:val="000F5A45"/>
    <w:rsid w:val="000F6077"/>
    <w:rsid w:val="000F66A0"/>
    <w:rsid w:val="000F6CDD"/>
    <w:rsid w:val="000F6DC9"/>
    <w:rsid w:val="000F70C7"/>
    <w:rsid w:val="000F71FD"/>
    <w:rsid w:val="000F77E5"/>
    <w:rsid w:val="00100EB7"/>
    <w:rsid w:val="001032E9"/>
    <w:rsid w:val="00103ACA"/>
    <w:rsid w:val="00103C5F"/>
    <w:rsid w:val="0010437C"/>
    <w:rsid w:val="001044A0"/>
    <w:rsid w:val="001063A9"/>
    <w:rsid w:val="00106FD6"/>
    <w:rsid w:val="00107C32"/>
    <w:rsid w:val="00111C33"/>
    <w:rsid w:val="00113012"/>
    <w:rsid w:val="0011363B"/>
    <w:rsid w:val="00113CCD"/>
    <w:rsid w:val="00113D42"/>
    <w:rsid w:val="00113E4A"/>
    <w:rsid w:val="00113FEF"/>
    <w:rsid w:val="00114D89"/>
    <w:rsid w:val="00115121"/>
    <w:rsid w:val="0011693E"/>
    <w:rsid w:val="00117C3F"/>
    <w:rsid w:val="001202F8"/>
    <w:rsid w:val="00120A6F"/>
    <w:rsid w:val="001216C0"/>
    <w:rsid w:val="001216E1"/>
    <w:rsid w:val="00121E3B"/>
    <w:rsid w:val="0012475C"/>
    <w:rsid w:val="00124F7C"/>
    <w:rsid w:val="00126B82"/>
    <w:rsid w:val="00127D8D"/>
    <w:rsid w:val="001305A0"/>
    <w:rsid w:val="001310B9"/>
    <w:rsid w:val="00131A7E"/>
    <w:rsid w:val="0013265D"/>
    <w:rsid w:val="00132AA2"/>
    <w:rsid w:val="00133CAE"/>
    <w:rsid w:val="00134119"/>
    <w:rsid w:val="001355D3"/>
    <w:rsid w:val="00140421"/>
    <w:rsid w:val="0014201B"/>
    <w:rsid w:val="001421FF"/>
    <w:rsid w:val="00150ED7"/>
    <w:rsid w:val="0015238F"/>
    <w:rsid w:val="00152BB8"/>
    <w:rsid w:val="001534DC"/>
    <w:rsid w:val="00153658"/>
    <w:rsid w:val="00161626"/>
    <w:rsid w:val="001619B4"/>
    <w:rsid w:val="00161A08"/>
    <w:rsid w:val="00161CBA"/>
    <w:rsid w:val="001628A5"/>
    <w:rsid w:val="00162EBA"/>
    <w:rsid w:val="00164936"/>
    <w:rsid w:val="00167060"/>
    <w:rsid w:val="00170B5F"/>
    <w:rsid w:val="0017133A"/>
    <w:rsid w:val="00171AEB"/>
    <w:rsid w:val="00172F9D"/>
    <w:rsid w:val="001737ED"/>
    <w:rsid w:val="00173F89"/>
    <w:rsid w:val="00174DFE"/>
    <w:rsid w:val="00174FCA"/>
    <w:rsid w:val="00175AD6"/>
    <w:rsid w:val="00177976"/>
    <w:rsid w:val="00177B4E"/>
    <w:rsid w:val="001809D8"/>
    <w:rsid w:val="00181D79"/>
    <w:rsid w:val="001838CA"/>
    <w:rsid w:val="0018390D"/>
    <w:rsid w:val="00183F9A"/>
    <w:rsid w:val="00185F2E"/>
    <w:rsid w:val="0018711F"/>
    <w:rsid w:val="001913BE"/>
    <w:rsid w:val="0019152A"/>
    <w:rsid w:val="00192357"/>
    <w:rsid w:val="0019244A"/>
    <w:rsid w:val="00193232"/>
    <w:rsid w:val="001942C3"/>
    <w:rsid w:val="001960DF"/>
    <w:rsid w:val="001969F3"/>
    <w:rsid w:val="00197B82"/>
    <w:rsid w:val="00197F54"/>
    <w:rsid w:val="001A0813"/>
    <w:rsid w:val="001A119D"/>
    <w:rsid w:val="001A15F0"/>
    <w:rsid w:val="001A1722"/>
    <w:rsid w:val="001A20EA"/>
    <w:rsid w:val="001A2377"/>
    <w:rsid w:val="001A2585"/>
    <w:rsid w:val="001A2C87"/>
    <w:rsid w:val="001A5FE9"/>
    <w:rsid w:val="001A699C"/>
    <w:rsid w:val="001A6BB6"/>
    <w:rsid w:val="001B0461"/>
    <w:rsid w:val="001B05DD"/>
    <w:rsid w:val="001B0E89"/>
    <w:rsid w:val="001B1D4B"/>
    <w:rsid w:val="001B2D47"/>
    <w:rsid w:val="001B3072"/>
    <w:rsid w:val="001B369C"/>
    <w:rsid w:val="001B3C37"/>
    <w:rsid w:val="001B4438"/>
    <w:rsid w:val="001B5202"/>
    <w:rsid w:val="001B537E"/>
    <w:rsid w:val="001B5E85"/>
    <w:rsid w:val="001B67C7"/>
    <w:rsid w:val="001B6BBA"/>
    <w:rsid w:val="001C1665"/>
    <w:rsid w:val="001C1AD9"/>
    <w:rsid w:val="001C2301"/>
    <w:rsid w:val="001C35EE"/>
    <w:rsid w:val="001C428A"/>
    <w:rsid w:val="001C5331"/>
    <w:rsid w:val="001C64ED"/>
    <w:rsid w:val="001C77EA"/>
    <w:rsid w:val="001D333D"/>
    <w:rsid w:val="001D3953"/>
    <w:rsid w:val="001D40A5"/>
    <w:rsid w:val="001D4936"/>
    <w:rsid w:val="001D605E"/>
    <w:rsid w:val="001D74D6"/>
    <w:rsid w:val="001D75DE"/>
    <w:rsid w:val="001D7C93"/>
    <w:rsid w:val="001E046B"/>
    <w:rsid w:val="001E07D9"/>
    <w:rsid w:val="001E0895"/>
    <w:rsid w:val="001E1AAA"/>
    <w:rsid w:val="001E2233"/>
    <w:rsid w:val="001E2815"/>
    <w:rsid w:val="001E3303"/>
    <w:rsid w:val="001E391B"/>
    <w:rsid w:val="001E3CAB"/>
    <w:rsid w:val="001E4295"/>
    <w:rsid w:val="001E577C"/>
    <w:rsid w:val="001E5ABD"/>
    <w:rsid w:val="001E6CCB"/>
    <w:rsid w:val="001F050A"/>
    <w:rsid w:val="001F0934"/>
    <w:rsid w:val="001F2362"/>
    <w:rsid w:val="001F579F"/>
    <w:rsid w:val="001F6A50"/>
    <w:rsid w:val="001F6E1A"/>
    <w:rsid w:val="001F6E78"/>
    <w:rsid w:val="001F7A9D"/>
    <w:rsid w:val="001F7E85"/>
    <w:rsid w:val="002013EA"/>
    <w:rsid w:val="00203617"/>
    <w:rsid w:val="00203E58"/>
    <w:rsid w:val="002042DB"/>
    <w:rsid w:val="002049A0"/>
    <w:rsid w:val="00205F1C"/>
    <w:rsid w:val="002070FC"/>
    <w:rsid w:val="00207526"/>
    <w:rsid w:val="002103DD"/>
    <w:rsid w:val="00210650"/>
    <w:rsid w:val="00211089"/>
    <w:rsid w:val="00213078"/>
    <w:rsid w:val="002133C2"/>
    <w:rsid w:val="00214F6B"/>
    <w:rsid w:val="00216884"/>
    <w:rsid w:val="00216F59"/>
    <w:rsid w:val="0021781C"/>
    <w:rsid w:val="00220C7D"/>
    <w:rsid w:val="00222BD8"/>
    <w:rsid w:val="002233F1"/>
    <w:rsid w:val="00223565"/>
    <w:rsid w:val="00223FC3"/>
    <w:rsid w:val="00226552"/>
    <w:rsid w:val="002305CB"/>
    <w:rsid w:val="00232CF3"/>
    <w:rsid w:val="00232E8B"/>
    <w:rsid w:val="00233151"/>
    <w:rsid w:val="002335EA"/>
    <w:rsid w:val="0023464A"/>
    <w:rsid w:val="00234C38"/>
    <w:rsid w:val="00234D01"/>
    <w:rsid w:val="00236F17"/>
    <w:rsid w:val="00241124"/>
    <w:rsid w:val="00241CEC"/>
    <w:rsid w:val="00241EBC"/>
    <w:rsid w:val="002445F2"/>
    <w:rsid w:val="002446DA"/>
    <w:rsid w:val="00244B73"/>
    <w:rsid w:val="00245257"/>
    <w:rsid w:val="00245804"/>
    <w:rsid w:val="0024634E"/>
    <w:rsid w:val="002478DC"/>
    <w:rsid w:val="00247B38"/>
    <w:rsid w:val="00247D0A"/>
    <w:rsid w:val="00250289"/>
    <w:rsid w:val="002502FA"/>
    <w:rsid w:val="002505A5"/>
    <w:rsid w:val="00251092"/>
    <w:rsid w:val="002519A0"/>
    <w:rsid w:val="0025236F"/>
    <w:rsid w:val="002523A3"/>
    <w:rsid w:val="002523B2"/>
    <w:rsid w:val="002525DB"/>
    <w:rsid w:val="002528F1"/>
    <w:rsid w:val="00252C30"/>
    <w:rsid w:val="00252C37"/>
    <w:rsid w:val="00253030"/>
    <w:rsid w:val="00253ED4"/>
    <w:rsid w:val="00254B1E"/>
    <w:rsid w:val="00255C8C"/>
    <w:rsid w:val="00255E45"/>
    <w:rsid w:val="002568F3"/>
    <w:rsid w:val="00257043"/>
    <w:rsid w:val="002600EF"/>
    <w:rsid w:val="00260ED8"/>
    <w:rsid w:val="00261B3D"/>
    <w:rsid w:val="00262777"/>
    <w:rsid w:val="00262CBB"/>
    <w:rsid w:val="00263506"/>
    <w:rsid w:val="002637F9"/>
    <w:rsid w:val="002640C3"/>
    <w:rsid w:val="002643EC"/>
    <w:rsid w:val="00264939"/>
    <w:rsid w:val="002658BE"/>
    <w:rsid w:val="00265B63"/>
    <w:rsid w:val="00265D2C"/>
    <w:rsid w:val="00266690"/>
    <w:rsid w:val="0026797E"/>
    <w:rsid w:val="00267BF6"/>
    <w:rsid w:val="00270661"/>
    <w:rsid w:val="00271347"/>
    <w:rsid w:val="00272B00"/>
    <w:rsid w:val="00273F65"/>
    <w:rsid w:val="00275B67"/>
    <w:rsid w:val="0027666C"/>
    <w:rsid w:val="002767A8"/>
    <w:rsid w:val="0027698E"/>
    <w:rsid w:val="00276A6E"/>
    <w:rsid w:val="00276C0A"/>
    <w:rsid w:val="00281E1A"/>
    <w:rsid w:val="0028520A"/>
    <w:rsid w:val="00285DF3"/>
    <w:rsid w:val="00290376"/>
    <w:rsid w:val="00290558"/>
    <w:rsid w:val="002909D0"/>
    <w:rsid w:val="00290BBF"/>
    <w:rsid w:val="00292AC4"/>
    <w:rsid w:val="00292DB8"/>
    <w:rsid w:val="00293DCE"/>
    <w:rsid w:val="00295268"/>
    <w:rsid w:val="002953B9"/>
    <w:rsid w:val="00296F1F"/>
    <w:rsid w:val="002A046C"/>
    <w:rsid w:val="002A0577"/>
    <w:rsid w:val="002A2066"/>
    <w:rsid w:val="002A253E"/>
    <w:rsid w:val="002A4575"/>
    <w:rsid w:val="002A5827"/>
    <w:rsid w:val="002A5894"/>
    <w:rsid w:val="002A630E"/>
    <w:rsid w:val="002B0120"/>
    <w:rsid w:val="002B0E7D"/>
    <w:rsid w:val="002B3891"/>
    <w:rsid w:val="002B3D4D"/>
    <w:rsid w:val="002B4A7F"/>
    <w:rsid w:val="002B5647"/>
    <w:rsid w:val="002B6786"/>
    <w:rsid w:val="002B712B"/>
    <w:rsid w:val="002C070B"/>
    <w:rsid w:val="002C19FF"/>
    <w:rsid w:val="002C25AD"/>
    <w:rsid w:val="002C2AD3"/>
    <w:rsid w:val="002C3473"/>
    <w:rsid w:val="002C6500"/>
    <w:rsid w:val="002C651A"/>
    <w:rsid w:val="002C694B"/>
    <w:rsid w:val="002D0561"/>
    <w:rsid w:val="002D0F37"/>
    <w:rsid w:val="002D158A"/>
    <w:rsid w:val="002D2DFF"/>
    <w:rsid w:val="002D33C0"/>
    <w:rsid w:val="002D3E0B"/>
    <w:rsid w:val="002D4B26"/>
    <w:rsid w:val="002D4C0B"/>
    <w:rsid w:val="002D5630"/>
    <w:rsid w:val="002D68E3"/>
    <w:rsid w:val="002D6FBC"/>
    <w:rsid w:val="002E0619"/>
    <w:rsid w:val="002E0770"/>
    <w:rsid w:val="002E0859"/>
    <w:rsid w:val="002E136D"/>
    <w:rsid w:val="002E1793"/>
    <w:rsid w:val="002E1C57"/>
    <w:rsid w:val="002E58B2"/>
    <w:rsid w:val="002E73F2"/>
    <w:rsid w:val="002F036A"/>
    <w:rsid w:val="002F0503"/>
    <w:rsid w:val="002F0DA6"/>
    <w:rsid w:val="002F1614"/>
    <w:rsid w:val="002F221E"/>
    <w:rsid w:val="002F22E0"/>
    <w:rsid w:val="002F3ECD"/>
    <w:rsid w:val="002F486D"/>
    <w:rsid w:val="002F690F"/>
    <w:rsid w:val="0030010F"/>
    <w:rsid w:val="00301BDD"/>
    <w:rsid w:val="00302A04"/>
    <w:rsid w:val="00303A7A"/>
    <w:rsid w:val="00303A94"/>
    <w:rsid w:val="0030433D"/>
    <w:rsid w:val="00304948"/>
    <w:rsid w:val="00310E38"/>
    <w:rsid w:val="003115B9"/>
    <w:rsid w:val="00311A68"/>
    <w:rsid w:val="00312ED2"/>
    <w:rsid w:val="00313379"/>
    <w:rsid w:val="0031475A"/>
    <w:rsid w:val="00314807"/>
    <w:rsid w:val="00315476"/>
    <w:rsid w:val="00315799"/>
    <w:rsid w:val="00317836"/>
    <w:rsid w:val="003206A2"/>
    <w:rsid w:val="00321594"/>
    <w:rsid w:val="00322C1C"/>
    <w:rsid w:val="003250A4"/>
    <w:rsid w:val="0032557F"/>
    <w:rsid w:val="00326029"/>
    <w:rsid w:val="00327921"/>
    <w:rsid w:val="00327C20"/>
    <w:rsid w:val="0033013E"/>
    <w:rsid w:val="00331079"/>
    <w:rsid w:val="00332AFA"/>
    <w:rsid w:val="0033438A"/>
    <w:rsid w:val="003344AD"/>
    <w:rsid w:val="00334D23"/>
    <w:rsid w:val="00334E5C"/>
    <w:rsid w:val="003358BD"/>
    <w:rsid w:val="00336539"/>
    <w:rsid w:val="003369E6"/>
    <w:rsid w:val="00337046"/>
    <w:rsid w:val="003377DA"/>
    <w:rsid w:val="00337B35"/>
    <w:rsid w:val="003407D3"/>
    <w:rsid w:val="00341046"/>
    <w:rsid w:val="00342547"/>
    <w:rsid w:val="003426B7"/>
    <w:rsid w:val="003433C2"/>
    <w:rsid w:val="003440BC"/>
    <w:rsid w:val="003470C8"/>
    <w:rsid w:val="0035308D"/>
    <w:rsid w:val="0035316E"/>
    <w:rsid w:val="00353702"/>
    <w:rsid w:val="00354B33"/>
    <w:rsid w:val="003569FE"/>
    <w:rsid w:val="00356B72"/>
    <w:rsid w:val="00356D61"/>
    <w:rsid w:val="00360341"/>
    <w:rsid w:val="00360E69"/>
    <w:rsid w:val="00362079"/>
    <w:rsid w:val="0036367F"/>
    <w:rsid w:val="0037009A"/>
    <w:rsid w:val="00373F61"/>
    <w:rsid w:val="00374108"/>
    <w:rsid w:val="003741DD"/>
    <w:rsid w:val="0037489B"/>
    <w:rsid w:val="00375206"/>
    <w:rsid w:val="0037538C"/>
    <w:rsid w:val="0037558E"/>
    <w:rsid w:val="00375A5D"/>
    <w:rsid w:val="00376890"/>
    <w:rsid w:val="00377BFD"/>
    <w:rsid w:val="003801DE"/>
    <w:rsid w:val="0038158D"/>
    <w:rsid w:val="003823CD"/>
    <w:rsid w:val="00382C26"/>
    <w:rsid w:val="00383815"/>
    <w:rsid w:val="00384AF4"/>
    <w:rsid w:val="00384BEB"/>
    <w:rsid w:val="003874D5"/>
    <w:rsid w:val="003903A2"/>
    <w:rsid w:val="0039043F"/>
    <w:rsid w:val="00390BBF"/>
    <w:rsid w:val="00390ECE"/>
    <w:rsid w:val="003913F6"/>
    <w:rsid w:val="0039215A"/>
    <w:rsid w:val="00392808"/>
    <w:rsid w:val="00392B9C"/>
    <w:rsid w:val="00392BB4"/>
    <w:rsid w:val="003932E2"/>
    <w:rsid w:val="00394176"/>
    <w:rsid w:val="0039641F"/>
    <w:rsid w:val="00397FE1"/>
    <w:rsid w:val="003A157F"/>
    <w:rsid w:val="003A15B0"/>
    <w:rsid w:val="003A58B2"/>
    <w:rsid w:val="003A7AF7"/>
    <w:rsid w:val="003B0771"/>
    <w:rsid w:val="003B1252"/>
    <w:rsid w:val="003B1CA9"/>
    <w:rsid w:val="003B1D71"/>
    <w:rsid w:val="003B2065"/>
    <w:rsid w:val="003B2B16"/>
    <w:rsid w:val="003B2DC7"/>
    <w:rsid w:val="003B2F0E"/>
    <w:rsid w:val="003B4A9F"/>
    <w:rsid w:val="003B63D8"/>
    <w:rsid w:val="003B6BDB"/>
    <w:rsid w:val="003B6E1F"/>
    <w:rsid w:val="003B6F5A"/>
    <w:rsid w:val="003C19F8"/>
    <w:rsid w:val="003C2B7B"/>
    <w:rsid w:val="003C2DB0"/>
    <w:rsid w:val="003C5215"/>
    <w:rsid w:val="003C58BD"/>
    <w:rsid w:val="003C5B93"/>
    <w:rsid w:val="003C5C12"/>
    <w:rsid w:val="003C65E6"/>
    <w:rsid w:val="003C7618"/>
    <w:rsid w:val="003D038A"/>
    <w:rsid w:val="003D429A"/>
    <w:rsid w:val="003D50DF"/>
    <w:rsid w:val="003D6403"/>
    <w:rsid w:val="003D7447"/>
    <w:rsid w:val="003E10C5"/>
    <w:rsid w:val="003E2774"/>
    <w:rsid w:val="003E3AA4"/>
    <w:rsid w:val="003E46C0"/>
    <w:rsid w:val="003E4F2F"/>
    <w:rsid w:val="003E5B80"/>
    <w:rsid w:val="003E5E2E"/>
    <w:rsid w:val="003F0137"/>
    <w:rsid w:val="003F0A9C"/>
    <w:rsid w:val="003F2EF8"/>
    <w:rsid w:val="003F3C52"/>
    <w:rsid w:val="003F4E7F"/>
    <w:rsid w:val="003F672A"/>
    <w:rsid w:val="003F6D80"/>
    <w:rsid w:val="003F702D"/>
    <w:rsid w:val="003F7948"/>
    <w:rsid w:val="003F7A17"/>
    <w:rsid w:val="0040078A"/>
    <w:rsid w:val="00400C9A"/>
    <w:rsid w:val="0040234E"/>
    <w:rsid w:val="004029D3"/>
    <w:rsid w:val="00403051"/>
    <w:rsid w:val="004050B1"/>
    <w:rsid w:val="0040522D"/>
    <w:rsid w:val="0040537C"/>
    <w:rsid w:val="00405865"/>
    <w:rsid w:val="00406860"/>
    <w:rsid w:val="00407254"/>
    <w:rsid w:val="00407335"/>
    <w:rsid w:val="00407AE9"/>
    <w:rsid w:val="00407EDE"/>
    <w:rsid w:val="00412B76"/>
    <w:rsid w:val="00412DDA"/>
    <w:rsid w:val="00412F15"/>
    <w:rsid w:val="00413287"/>
    <w:rsid w:val="00413E31"/>
    <w:rsid w:val="00416595"/>
    <w:rsid w:val="00417D24"/>
    <w:rsid w:val="00420AF8"/>
    <w:rsid w:val="00421B61"/>
    <w:rsid w:val="00421C3C"/>
    <w:rsid w:val="004232D2"/>
    <w:rsid w:val="00423DB4"/>
    <w:rsid w:val="00424DB0"/>
    <w:rsid w:val="00424EDF"/>
    <w:rsid w:val="00427F43"/>
    <w:rsid w:val="004300A4"/>
    <w:rsid w:val="00431A47"/>
    <w:rsid w:val="00432AF3"/>
    <w:rsid w:val="004340A9"/>
    <w:rsid w:val="00434283"/>
    <w:rsid w:val="004348C9"/>
    <w:rsid w:val="004357BA"/>
    <w:rsid w:val="0043637E"/>
    <w:rsid w:val="00436A88"/>
    <w:rsid w:val="00440C37"/>
    <w:rsid w:val="00441255"/>
    <w:rsid w:val="004417F1"/>
    <w:rsid w:val="00442197"/>
    <w:rsid w:val="00443589"/>
    <w:rsid w:val="0044376A"/>
    <w:rsid w:val="00443949"/>
    <w:rsid w:val="00444185"/>
    <w:rsid w:val="00444EF0"/>
    <w:rsid w:val="00445534"/>
    <w:rsid w:val="00445DE2"/>
    <w:rsid w:val="004465E7"/>
    <w:rsid w:val="00447902"/>
    <w:rsid w:val="00447D86"/>
    <w:rsid w:val="0045072D"/>
    <w:rsid w:val="00450CA5"/>
    <w:rsid w:val="00451B3B"/>
    <w:rsid w:val="00452280"/>
    <w:rsid w:val="00452377"/>
    <w:rsid w:val="004556A2"/>
    <w:rsid w:val="004558C8"/>
    <w:rsid w:val="00456368"/>
    <w:rsid w:val="0045667E"/>
    <w:rsid w:val="00456803"/>
    <w:rsid w:val="00460201"/>
    <w:rsid w:val="00460353"/>
    <w:rsid w:val="0046089E"/>
    <w:rsid w:val="004612E9"/>
    <w:rsid w:val="00463249"/>
    <w:rsid w:val="00463FD2"/>
    <w:rsid w:val="00466535"/>
    <w:rsid w:val="0047100A"/>
    <w:rsid w:val="00471F5F"/>
    <w:rsid w:val="00474164"/>
    <w:rsid w:val="004752C5"/>
    <w:rsid w:val="004753A3"/>
    <w:rsid w:val="00475584"/>
    <w:rsid w:val="00475A85"/>
    <w:rsid w:val="004768CC"/>
    <w:rsid w:val="00480A41"/>
    <w:rsid w:val="00482025"/>
    <w:rsid w:val="004821F9"/>
    <w:rsid w:val="0048248E"/>
    <w:rsid w:val="00483449"/>
    <w:rsid w:val="0048502E"/>
    <w:rsid w:val="00485B55"/>
    <w:rsid w:val="0049168D"/>
    <w:rsid w:val="00492149"/>
    <w:rsid w:val="00492DBF"/>
    <w:rsid w:val="00492FA9"/>
    <w:rsid w:val="00493235"/>
    <w:rsid w:val="00493FC2"/>
    <w:rsid w:val="004941E5"/>
    <w:rsid w:val="00494D76"/>
    <w:rsid w:val="004967AF"/>
    <w:rsid w:val="00496B14"/>
    <w:rsid w:val="004A061E"/>
    <w:rsid w:val="004A20F3"/>
    <w:rsid w:val="004A2138"/>
    <w:rsid w:val="004A58F9"/>
    <w:rsid w:val="004A6E42"/>
    <w:rsid w:val="004B076F"/>
    <w:rsid w:val="004B2A08"/>
    <w:rsid w:val="004B47FC"/>
    <w:rsid w:val="004B4B00"/>
    <w:rsid w:val="004B5A50"/>
    <w:rsid w:val="004B69A7"/>
    <w:rsid w:val="004B7136"/>
    <w:rsid w:val="004B741F"/>
    <w:rsid w:val="004C0A86"/>
    <w:rsid w:val="004C0F0E"/>
    <w:rsid w:val="004C2447"/>
    <w:rsid w:val="004C556E"/>
    <w:rsid w:val="004C56B7"/>
    <w:rsid w:val="004C5949"/>
    <w:rsid w:val="004C60C3"/>
    <w:rsid w:val="004C6D41"/>
    <w:rsid w:val="004D0904"/>
    <w:rsid w:val="004D0BE7"/>
    <w:rsid w:val="004D1299"/>
    <w:rsid w:val="004D1B70"/>
    <w:rsid w:val="004D1C90"/>
    <w:rsid w:val="004D30BE"/>
    <w:rsid w:val="004D328B"/>
    <w:rsid w:val="004D35CD"/>
    <w:rsid w:val="004D3CEE"/>
    <w:rsid w:val="004D3E0C"/>
    <w:rsid w:val="004D4146"/>
    <w:rsid w:val="004D4CB5"/>
    <w:rsid w:val="004D4D19"/>
    <w:rsid w:val="004D5C20"/>
    <w:rsid w:val="004E0F73"/>
    <w:rsid w:val="004E2153"/>
    <w:rsid w:val="004E232B"/>
    <w:rsid w:val="004E2672"/>
    <w:rsid w:val="004E3AD4"/>
    <w:rsid w:val="004E6722"/>
    <w:rsid w:val="004F1386"/>
    <w:rsid w:val="004F2A6F"/>
    <w:rsid w:val="004F3145"/>
    <w:rsid w:val="004F3408"/>
    <w:rsid w:val="004F37CF"/>
    <w:rsid w:val="004F3ADF"/>
    <w:rsid w:val="004F45F5"/>
    <w:rsid w:val="004F6413"/>
    <w:rsid w:val="004F6D83"/>
    <w:rsid w:val="004F7315"/>
    <w:rsid w:val="004F7CE5"/>
    <w:rsid w:val="00500AA9"/>
    <w:rsid w:val="00500E65"/>
    <w:rsid w:val="00502A51"/>
    <w:rsid w:val="005036A1"/>
    <w:rsid w:val="0050415F"/>
    <w:rsid w:val="00504321"/>
    <w:rsid w:val="005045AC"/>
    <w:rsid w:val="00504A37"/>
    <w:rsid w:val="00506BF0"/>
    <w:rsid w:val="005078C4"/>
    <w:rsid w:val="00507AB7"/>
    <w:rsid w:val="005112AE"/>
    <w:rsid w:val="00511A00"/>
    <w:rsid w:val="005121CA"/>
    <w:rsid w:val="00512DBE"/>
    <w:rsid w:val="00515ED7"/>
    <w:rsid w:val="00516C58"/>
    <w:rsid w:val="0051737D"/>
    <w:rsid w:val="005224A0"/>
    <w:rsid w:val="00522A88"/>
    <w:rsid w:val="00522B9D"/>
    <w:rsid w:val="0052352A"/>
    <w:rsid w:val="00524481"/>
    <w:rsid w:val="005248DC"/>
    <w:rsid w:val="00524CDE"/>
    <w:rsid w:val="00525752"/>
    <w:rsid w:val="00526862"/>
    <w:rsid w:val="00530A3A"/>
    <w:rsid w:val="00531933"/>
    <w:rsid w:val="00531B49"/>
    <w:rsid w:val="00533274"/>
    <w:rsid w:val="005359A7"/>
    <w:rsid w:val="00535B71"/>
    <w:rsid w:val="00535DA6"/>
    <w:rsid w:val="00536E21"/>
    <w:rsid w:val="005371D6"/>
    <w:rsid w:val="00537322"/>
    <w:rsid w:val="005377A0"/>
    <w:rsid w:val="00540668"/>
    <w:rsid w:val="00540C5D"/>
    <w:rsid w:val="005415CB"/>
    <w:rsid w:val="00541E6B"/>
    <w:rsid w:val="00543113"/>
    <w:rsid w:val="00544EC5"/>
    <w:rsid w:val="00544FF6"/>
    <w:rsid w:val="00545C69"/>
    <w:rsid w:val="0054654C"/>
    <w:rsid w:val="0054681A"/>
    <w:rsid w:val="00546C4C"/>
    <w:rsid w:val="00550C34"/>
    <w:rsid w:val="005514BD"/>
    <w:rsid w:val="0055188D"/>
    <w:rsid w:val="0055413D"/>
    <w:rsid w:val="00554EB3"/>
    <w:rsid w:val="00555190"/>
    <w:rsid w:val="00555DB4"/>
    <w:rsid w:val="005562D1"/>
    <w:rsid w:val="00556BBA"/>
    <w:rsid w:val="0055704B"/>
    <w:rsid w:val="00564DEC"/>
    <w:rsid w:val="00564F6D"/>
    <w:rsid w:val="005662AC"/>
    <w:rsid w:val="005714C4"/>
    <w:rsid w:val="0057199A"/>
    <w:rsid w:val="005747C4"/>
    <w:rsid w:val="00574C7A"/>
    <w:rsid w:val="0057597E"/>
    <w:rsid w:val="00575D0C"/>
    <w:rsid w:val="005815CB"/>
    <w:rsid w:val="00584725"/>
    <w:rsid w:val="005853E6"/>
    <w:rsid w:val="005858BE"/>
    <w:rsid w:val="00587CD7"/>
    <w:rsid w:val="005902AA"/>
    <w:rsid w:val="0059124A"/>
    <w:rsid w:val="00591464"/>
    <w:rsid w:val="005914C0"/>
    <w:rsid w:val="00591FC9"/>
    <w:rsid w:val="005945DE"/>
    <w:rsid w:val="00596EA5"/>
    <w:rsid w:val="005A02DF"/>
    <w:rsid w:val="005A10EA"/>
    <w:rsid w:val="005A1605"/>
    <w:rsid w:val="005A1C33"/>
    <w:rsid w:val="005A2DC8"/>
    <w:rsid w:val="005A38B8"/>
    <w:rsid w:val="005A4B85"/>
    <w:rsid w:val="005A4C29"/>
    <w:rsid w:val="005A4EBF"/>
    <w:rsid w:val="005A5054"/>
    <w:rsid w:val="005A6734"/>
    <w:rsid w:val="005A788C"/>
    <w:rsid w:val="005A7B14"/>
    <w:rsid w:val="005A7BBE"/>
    <w:rsid w:val="005B0BF3"/>
    <w:rsid w:val="005B184E"/>
    <w:rsid w:val="005B46D7"/>
    <w:rsid w:val="005B5A45"/>
    <w:rsid w:val="005B7A21"/>
    <w:rsid w:val="005C2755"/>
    <w:rsid w:val="005C28BF"/>
    <w:rsid w:val="005C2F6C"/>
    <w:rsid w:val="005C319D"/>
    <w:rsid w:val="005C4FE0"/>
    <w:rsid w:val="005C6705"/>
    <w:rsid w:val="005C6CAC"/>
    <w:rsid w:val="005C6E54"/>
    <w:rsid w:val="005C747A"/>
    <w:rsid w:val="005C7E83"/>
    <w:rsid w:val="005D0313"/>
    <w:rsid w:val="005D0466"/>
    <w:rsid w:val="005D047B"/>
    <w:rsid w:val="005D0A08"/>
    <w:rsid w:val="005D15B5"/>
    <w:rsid w:val="005D16C0"/>
    <w:rsid w:val="005D1D26"/>
    <w:rsid w:val="005D421F"/>
    <w:rsid w:val="005D569A"/>
    <w:rsid w:val="005D5B30"/>
    <w:rsid w:val="005D752A"/>
    <w:rsid w:val="005E0011"/>
    <w:rsid w:val="005E079F"/>
    <w:rsid w:val="005E0AB7"/>
    <w:rsid w:val="005E0DFA"/>
    <w:rsid w:val="005E2323"/>
    <w:rsid w:val="005E2AD9"/>
    <w:rsid w:val="005E3A65"/>
    <w:rsid w:val="005E3CEE"/>
    <w:rsid w:val="005E410C"/>
    <w:rsid w:val="005E5813"/>
    <w:rsid w:val="005E6691"/>
    <w:rsid w:val="005E7444"/>
    <w:rsid w:val="005F04BD"/>
    <w:rsid w:val="005F0795"/>
    <w:rsid w:val="005F35B9"/>
    <w:rsid w:val="005F3B36"/>
    <w:rsid w:val="005F466A"/>
    <w:rsid w:val="005F561B"/>
    <w:rsid w:val="00600AE3"/>
    <w:rsid w:val="00601A43"/>
    <w:rsid w:val="00602715"/>
    <w:rsid w:val="00602870"/>
    <w:rsid w:val="00602A20"/>
    <w:rsid w:val="00605507"/>
    <w:rsid w:val="00606968"/>
    <w:rsid w:val="006079E6"/>
    <w:rsid w:val="00607AD6"/>
    <w:rsid w:val="00610036"/>
    <w:rsid w:val="006100A7"/>
    <w:rsid w:val="0061039B"/>
    <w:rsid w:val="00610662"/>
    <w:rsid w:val="006119FE"/>
    <w:rsid w:val="00612BF3"/>
    <w:rsid w:val="00613511"/>
    <w:rsid w:val="00615341"/>
    <w:rsid w:val="00616838"/>
    <w:rsid w:val="00616D07"/>
    <w:rsid w:val="00616D6E"/>
    <w:rsid w:val="00617625"/>
    <w:rsid w:val="00617919"/>
    <w:rsid w:val="006209C3"/>
    <w:rsid w:val="00620AC3"/>
    <w:rsid w:val="00620B67"/>
    <w:rsid w:val="0062144A"/>
    <w:rsid w:val="006218EF"/>
    <w:rsid w:val="00621F03"/>
    <w:rsid w:val="0062259D"/>
    <w:rsid w:val="00622DE8"/>
    <w:rsid w:val="0062354D"/>
    <w:rsid w:val="0062665A"/>
    <w:rsid w:val="0062698C"/>
    <w:rsid w:val="006300CF"/>
    <w:rsid w:val="00630648"/>
    <w:rsid w:val="006309A0"/>
    <w:rsid w:val="00630DDB"/>
    <w:rsid w:val="00633602"/>
    <w:rsid w:val="00636704"/>
    <w:rsid w:val="006372F4"/>
    <w:rsid w:val="00637C8E"/>
    <w:rsid w:val="00640A11"/>
    <w:rsid w:val="006413ED"/>
    <w:rsid w:val="0064145D"/>
    <w:rsid w:val="006417EC"/>
    <w:rsid w:val="00641B6A"/>
    <w:rsid w:val="00641BA2"/>
    <w:rsid w:val="006428BE"/>
    <w:rsid w:val="00644189"/>
    <w:rsid w:val="006465F3"/>
    <w:rsid w:val="00650521"/>
    <w:rsid w:val="006509B7"/>
    <w:rsid w:val="00651023"/>
    <w:rsid w:val="006518D5"/>
    <w:rsid w:val="006524E7"/>
    <w:rsid w:val="0065407D"/>
    <w:rsid w:val="00654681"/>
    <w:rsid w:val="0065540D"/>
    <w:rsid w:val="00655FC5"/>
    <w:rsid w:val="006565C8"/>
    <w:rsid w:val="00660696"/>
    <w:rsid w:val="00660FA6"/>
    <w:rsid w:val="006613B6"/>
    <w:rsid w:val="00661707"/>
    <w:rsid w:val="00661C40"/>
    <w:rsid w:val="00664184"/>
    <w:rsid w:val="00664803"/>
    <w:rsid w:val="00664C36"/>
    <w:rsid w:val="006652DD"/>
    <w:rsid w:val="006657D8"/>
    <w:rsid w:val="0066592E"/>
    <w:rsid w:val="006669BF"/>
    <w:rsid w:val="00667A60"/>
    <w:rsid w:val="00670358"/>
    <w:rsid w:val="00670496"/>
    <w:rsid w:val="006724B9"/>
    <w:rsid w:val="006726A9"/>
    <w:rsid w:val="00672E0E"/>
    <w:rsid w:val="006747C5"/>
    <w:rsid w:val="00676463"/>
    <w:rsid w:val="006765B5"/>
    <w:rsid w:val="00676883"/>
    <w:rsid w:val="00677A8E"/>
    <w:rsid w:val="00680CBB"/>
    <w:rsid w:val="0068147C"/>
    <w:rsid w:val="00683309"/>
    <w:rsid w:val="006834AF"/>
    <w:rsid w:val="00683843"/>
    <w:rsid w:val="00683EF6"/>
    <w:rsid w:val="00683F3E"/>
    <w:rsid w:val="0068454F"/>
    <w:rsid w:val="0068489B"/>
    <w:rsid w:val="0068492B"/>
    <w:rsid w:val="00685B6B"/>
    <w:rsid w:val="00690920"/>
    <w:rsid w:val="0069186E"/>
    <w:rsid w:val="00693643"/>
    <w:rsid w:val="00693C1C"/>
    <w:rsid w:val="00693DAD"/>
    <w:rsid w:val="006944D6"/>
    <w:rsid w:val="00695838"/>
    <w:rsid w:val="00695D94"/>
    <w:rsid w:val="006960DA"/>
    <w:rsid w:val="00696488"/>
    <w:rsid w:val="00696977"/>
    <w:rsid w:val="006A02B2"/>
    <w:rsid w:val="006A0F0B"/>
    <w:rsid w:val="006A10B5"/>
    <w:rsid w:val="006A1E9E"/>
    <w:rsid w:val="006A21FC"/>
    <w:rsid w:val="006A2F36"/>
    <w:rsid w:val="006A3E87"/>
    <w:rsid w:val="006A5163"/>
    <w:rsid w:val="006B089D"/>
    <w:rsid w:val="006B0989"/>
    <w:rsid w:val="006B0E5E"/>
    <w:rsid w:val="006B0F49"/>
    <w:rsid w:val="006B2658"/>
    <w:rsid w:val="006B2F61"/>
    <w:rsid w:val="006B2FF9"/>
    <w:rsid w:val="006B3597"/>
    <w:rsid w:val="006B557E"/>
    <w:rsid w:val="006B5894"/>
    <w:rsid w:val="006B5FA6"/>
    <w:rsid w:val="006B6418"/>
    <w:rsid w:val="006B6985"/>
    <w:rsid w:val="006B7B0A"/>
    <w:rsid w:val="006C070F"/>
    <w:rsid w:val="006C0AFD"/>
    <w:rsid w:val="006C170E"/>
    <w:rsid w:val="006C2445"/>
    <w:rsid w:val="006C2616"/>
    <w:rsid w:val="006C38CE"/>
    <w:rsid w:val="006C38DC"/>
    <w:rsid w:val="006C45AA"/>
    <w:rsid w:val="006C4822"/>
    <w:rsid w:val="006C5E4F"/>
    <w:rsid w:val="006C6CBA"/>
    <w:rsid w:val="006D225C"/>
    <w:rsid w:val="006D229C"/>
    <w:rsid w:val="006D4BFF"/>
    <w:rsid w:val="006D4C55"/>
    <w:rsid w:val="006D4EF8"/>
    <w:rsid w:val="006D4FED"/>
    <w:rsid w:val="006D642E"/>
    <w:rsid w:val="006D751C"/>
    <w:rsid w:val="006D7C9A"/>
    <w:rsid w:val="006E00ED"/>
    <w:rsid w:val="006E0967"/>
    <w:rsid w:val="006E3E9C"/>
    <w:rsid w:val="006E3F19"/>
    <w:rsid w:val="006E45DD"/>
    <w:rsid w:val="006E4C26"/>
    <w:rsid w:val="006E4E71"/>
    <w:rsid w:val="006E56A2"/>
    <w:rsid w:val="006E56D4"/>
    <w:rsid w:val="006E640F"/>
    <w:rsid w:val="006E7E9F"/>
    <w:rsid w:val="006F0B1A"/>
    <w:rsid w:val="006F1A2F"/>
    <w:rsid w:val="006F20FD"/>
    <w:rsid w:val="006F3115"/>
    <w:rsid w:val="006F46D4"/>
    <w:rsid w:val="006F4D53"/>
    <w:rsid w:val="006F4EF2"/>
    <w:rsid w:val="006F5F3F"/>
    <w:rsid w:val="006F7C35"/>
    <w:rsid w:val="00700617"/>
    <w:rsid w:val="00701097"/>
    <w:rsid w:val="00701EDC"/>
    <w:rsid w:val="00702977"/>
    <w:rsid w:val="00702F51"/>
    <w:rsid w:val="00702FD3"/>
    <w:rsid w:val="00703CD6"/>
    <w:rsid w:val="0070452A"/>
    <w:rsid w:val="00704851"/>
    <w:rsid w:val="00704DA4"/>
    <w:rsid w:val="007054A2"/>
    <w:rsid w:val="0070655B"/>
    <w:rsid w:val="00711A74"/>
    <w:rsid w:val="00711F7C"/>
    <w:rsid w:val="00712590"/>
    <w:rsid w:val="00712734"/>
    <w:rsid w:val="00712A36"/>
    <w:rsid w:val="0071463C"/>
    <w:rsid w:val="00714D0E"/>
    <w:rsid w:val="00715039"/>
    <w:rsid w:val="00715BE8"/>
    <w:rsid w:val="00715E80"/>
    <w:rsid w:val="007179BE"/>
    <w:rsid w:val="00717A35"/>
    <w:rsid w:val="00717D2E"/>
    <w:rsid w:val="00720B6F"/>
    <w:rsid w:val="0072129B"/>
    <w:rsid w:val="00721D80"/>
    <w:rsid w:val="00722E11"/>
    <w:rsid w:val="00723434"/>
    <w:rsid w:val="0072425F"/>
    <w:rsid w:val="00725317"/>
    <w:rsid w:val="0072541B"/>
    <w:rsid w:val="007264E0"/>
    <w:rsid w:val="00726A28"/>
    <w:rsid w:val="00726DE6"/>
    <w:rsid w:val="0072735A"/>
    <w:rsid w:val="007275D7"/>
    <w:rsid w:val="00727D4C"/>
    <w:rsid w:val="007304CB"/>
    <w:rsid w:val="00730C45"/>
    <w:rsid w:val="007336EE"/>
    <w:rsid w:val="00734053"/>
    <w:rsid w:val="007361EB"/>
    <w:rsid w:val="0073667A"/>
    <w:rsid w:val="00736DB4"/>
    <w:rsid w:val="0073710B"/>
    <w:rsid w:val="00737204"/>
    <w:rsid w:val="0073744E"/>
    <w:rsid w:val="0074053D"/>
    <w:rsid w:val="00743827"/>
    <w:rsid w:val="00745F87"/>
    <w:rsid w:val="00747A96"/>
    <w:rsid w:val="007501D0"/>
    <w:rsid w:val="007508DA"/>
    <w:rsid w:val="00751369"/>
    <w:rsid w:val="00751EF6"/>
    <w:rsid w:val="007543E9"/>
    <w:rsid w:val="007545E5"/>
    <w:rsid w:val="00754C7E"/>
    <w:rsid w:val="0075505C"/>
    <w:rsid w:val="00755550"/>
    <w:rsid w:val="007573C3"/>
    <w:rsid w:val="00757D2B"/>
    <w:rsid w:val="0076001A"/>
    <w:rsid w:val="00760032"/>
    <w:rsid w:val="0076057C"/>
    <w:rsid w:val="00760A57"/>
    <w:rsid w:val="00760DA7"/>
    <w:rsid w:val="0076239B"/>
    <w:rsid w:val="0076388C"/>
    <w:rsid w:val="00766185"/>
    <w:rsid w:val="00766BAB"/>
    <w:rsid w:val="007701C1"/>
    <w:rsid w:val="00771167"/>
    <w:rsid w:val="007736DF"/>
    <w:rsid w:val="00774E8C"/>
    <w:rsid w:val="00775119"/>
    <w:rsid w:val="00775B66"/>
    <w:rsid w:val="0077641D"/>
    <w:rsid w:val="00776FE0"/>
    <w:rsid w:val="00777A22"/>
    <w:rsid w:val="00780BBD"/>
    <w:rsid w:val="0078177C"/>
    <w:rsid w:val="00785D7E"/>
    <w:rsid w:val="00786F19"/>
    <w:rsid w:val="007914C8"/>
    <w:rsid w:val="00791715"/>
    <w:rsid w:val="0079175A"/>
    <w:rsid w:val="007917D5"/>
    <w:rsid w:val="00792ED3"/>
    <w:rsid w:val="0079426D"/>
    <w:rsid w:val="0079428D"/>
    <w:rsid w:val="00796058"/>
    <w:rsid w:val="007961ED"/>
    <w:rsid w:val="007964A9"/>
    <w:rsid w:val="0079674C"/>
    <w:rsid w:val="00797CFD"/>
    <w:rsid w:val="007A1D23"/>
    <w:rsid w:val="007A1F5B"/>
    <w:rsid w:val="007A21F1"/>
    <w:rsid w:val="007A4379"/>
    <w:rsid w:val="007A537E"/>
    <w:rsid w:val="007A5C1E"/>
    <w:rsid w:val="007A5F41"/>
    <w:rsid w:val="007A669F"/>
    <w:rsid w:val="007A66B1"/>
    <w:rsid w:val="007B09F9"/>
    <w:rsid w:val="007B1752"/>
    <w:rsid w:val="007B2660"/>
    <w:rsid w:val="007B29BB"/>
    <w:rsid w:val="007B2DFB"/>
    <w:rsid w:val="007B52B9"/>
    <w:rsid w:val="007B5D24"/>
    <w:rsid w:val="007B6F26"/>
    <w:rsid w:val="007B6F82"/>
    <w:rsid w:val="007C05F6"/>
    <w:rsid w:val="007C1B99"/>
    <w:rsid w:val="007C1C4B"/>
    <w:rsid w:val="007C3721"/>
    <w:rsid w:val="007C5DA4"/>
    <w:rsid w:val="007C7399"/>
    <w:rsid w:val="007D0D23"/>
    <w:rsid w:val="007D1755"/>
    <w:rsid w:val="007D277B"/>
    <w:rsid w:val="007D331F"/>
    <w:rsid w:val="007D46F9"/>
    <w:rsid w:val="007D4C94"/>
    <w:rsid w:val="007D4DF4"/>
    <w:rsid w:val="007D4E10"/>
    <w:rsid w:val="007D7028"/>
    <w:rsid w:val="007E0128"/>
    <w:rsid w:val="007E0E34"/>
    <w:rsid w:val="007E11C8"/>
    <w:rsid w:val="007E18FA"/>
    <w:rsid w:val="007E2B56"/>
    <w:rsid w:val="007E2F44"/>
    <w:rsid w:val="007E3BCF"/>
    <w:rsid w:val="007E421A"/>
    <w:rsid w:val="007E4274"/>
    <w:rsid w:val="007E4CE9"/>
    <w:rsid w:val="007E5567"/>
    <w:rsid w:val="007E6681"/>
    <w:rsid w:val="007E6A10"/>
    <w:rsid w:val="007E6B10"/>
    <w:rsid w:val="007E7DEC"/>
    <w:rsid w:val="007F0DEE"/>
    <w:rsid w:val="007F17D0"/>
    <w:rsid w:val="007F197F"/>
    <w:rsid w:val="007F232D"/>
    <w:rsid w:val="007F260B"/>
    <w:rsid w:val="007F46A7"/>
    <w:rsid w:val="007F6E4D"/>
    <w:rsid w:val="00800ADC"/>
    <w:rsid w:val="00801041"/>
    <w:rsid w:val="0080145A"/>
    <w:rsid w:val="00803E18"/>
    <w:rsid w:val="00807643"/>
    <w:rsid w:val="0081088B"/>
    <w:rsid w:val="00810A4B"/>
    <w:rsid w:val="00814E3D"/>
    <w:rsid w:val="00815458"/>
    <w:rsid w:val="00815D87"/>
    <w:rsid w:val="008174C7"/>
    <w:rsid w:val="008208B7"/>
    <w:rsid w:val="00821567"/>
    <w:rsid w:val="00826432"/>
    <w:rsid w:val="00827DD3"/>
    <w:rsid w:val="00830DC4"/>
    <w:rsid w:val="00831EC7"/>
    <w:rsid w:val="00832A4D"/>
    <w:rsid w:val="008335B6"/>
    <w:rsid w:val="00833C54"/>
    <w:rsid w:val="00834BBF"/>
    <w:rsid w:val="008357B3"/>
    <w:rsid w:val="008373EA"/>
    <w:rsid w:val="00837803"/>
    <w:rsid w:val="0084002E"/>
    <w:rsid w:val="00840614"/>
    <w:rsid w:val="00840B38"/>
    <w:rsid w:val="00841169"/>
    <w:rsid w:val="0084150F"/>
    <w:rsid w:val="00841BFE"/>
    <w:rsid w:val="00842B89"/>
    <w:rsid w:val="008434DE"/>
    <w:rsid w:val="008434FB"/>
    <w:rsid w:val="00845162"/>
    <w:rsid w:val="00845EDC"/>
    <w:rsid w:val="00846104"/>
    <w:rsid w:val="00846891"/>
    <w:rsid w:val="008470E9"/>
    <w:rsid w:val="00847403"/>
    <w:rsid w:val="00847E2D"/>
    <w:rsid w:val="008506D5"/>
    <w:rsid w:val="00850724"/>
    <w:rsid w:val="00850AF4"/>
    <w:rsid w:val="0085139F"/>
    <w:rsid w:val="008516D7"/>
    <w:rsid w:val="00852654"/>
    <w:rsid w:val="00852C5E"/>
    <w:rsid w:val="00852F5A"/>
    <w:rsid w:val="00853D20"/>
    <w:rsid w:val="00853E81"/>
    <w:rsid w:val="00855863"/>
    <w:rsid w:val="00856BB8"/>
    <w:rsid w:val="008571E9"/>
    <w:rsid w:val="00861733"/>
    <w:rsid w:val="00861A2E"/>
    <w:rsid w:val="00862B55"/>
    <w:rsid w:val="00862CEB"/>
    <w:rsid w:val="00862DF3"/>
    <w:rsid w:val="00863AA4"/>
    <w:rsid w:val="00863DDF"/>
    <w:rsid w:val="00866185"/>
    <w:rsid w:val="00866475"/>
    <w:rsid w:val="00870B17"/>
    <w:rsid w:val="0087128B"/>
    <w:rsid w:val="00871390"/>
    <w:rsid w:val="00872C3B"/>
    <w:rsid w:val="00872E1F"/>
    <w:rsid w:val="008731A2"/>
    <w:rsid w:val="0087370F"/>
    <w:rsid w:val="00876012"/>
    <w:rsid w:val="00876A7C"/>
    <w:rsid w:val="00876B11"/>
    <w:rsid w:val="00876D6C"/>
    <w:rsid w:val="00877080"/>
    <w:rsid w:val="00877266"/>
    <w:rsid w:val="008774F0"/>
    <w:rsid w:val="008809F9"/>
    <w:rsid w:val="008826AF"/>
    <w:rsid w:val="008826CF"/>
    <w:rsid w:val="00885DD6"/>
    <w:rsid w:val="00886056"/>
    <w:rsid w:val="00886C85"/>
    <w:rsid w:val="008903A6"/>
    <w:rsid w:val="008906AD"/>
    <w:rsid w:val="008907B4"/>
    <w:rsid w:val="00890B76"/>
    <w:rsid w:val="00890C18"/>
    <w:rsid w:val="00892348"/>
    <w:rsid w:val="00896F25"/>
    <w:rsid w:val="00896F9E"/>
    <w:rsid w:val="00897EA1"/>
    <w:rsid w:val="008A1AE9"/>
    <w:rsid w:val="008A428E"/>
    <w:rsid w:val="008A4A6F"/>
    <w:rsid w:val="008A5B08"/>
    <w:rsid w:val="008A61CC"/>
    <w:rsid w:val="008A6284"/>
    <w:rsid w:val="008A6434"/>
    <w:rsid w:val="008B10BB"/>
    <w:rsid w:val="008B1700"/>
    <w:rsid w:val="008B1EE8"/>
    <w:rsid w:val="008B2208"/>
    <w:rsid w:val="008B26BA"/>
    <w:rsid w:val="008B26DF"/>
    <w:rsid w:val="008B2705"/>
    <w:rsid w:val="008B424C"/>
    <w:rsid w:val="008B4B3C"/>
    <w:rsid w:val="008B5067"/>
    <w:rsid w:val="008B5269"/>
    <w:rsid w:val="008B6671"/>
    <w:rsid w:val="008B6AF2"/>
    <w:rsid w:val="008B7338"/>
    <w:rsid w:val="008B782B"/>
    <w:rsid w:val="008B79F7"/>
    <w:rsid w:val="008B7B4B"/>
    <w:rsid w:val="008C059B"/>
    <w:rsid w:val="008C10DE"/>
    <w:rsid w:val="008C153A"/>
    <w:rsid w:val="008C2174"/>
    <w:rsid w:val="008C2AFC"/>
    <w:rsid w:val="008C4887"/>
    <w:rsid w:val="008C4A4D"/>
    <w:rsid w:val="008C6CEB"/>
    <w:rsid w:val="008C6F48"/>
    <w:rsid w:val="008C712A"/>
    <w:rsid w:val="008D07B3"/>
    <w:rsid w:val="008D0A2F"/>
    <w:rsid w:val="008D0FCE"/>
    <w:rsid w:val="008D2404"/>
    <w:rsid w:val="008D4752"/>
    <w:rsid w:val="008D4A96"/>
    <w:rsid w:val="008D6864"/>
    <w:rsid w:val="008D765A"/>
    <w:rsid w:val="008D7749"/>
    <w:rsid w:val="008D78E1"/>
    <w:rsid w:val="008D7BB5"/>
    <w:rsid w:val="008E00B8"/>
    <w:rsid w:val="008E0529"/>
    <w:rsid w:val="008E15F4"/>
    <w:rsid w:val="008E2847"/>
    <w:rsid w:val="008E336B"/>
    <w:rsid w:val="008E3437"/>
    <w:rsid w:val="008E3838"/>
    <w:rsid w:val="008E3BC3"/>
    <w:rsid w:val="008E3D10"/>
    <w:rsid w:val="008E3DDE"/>
    <w:rsid w:val="008E5DE8"/>
    <w:rsid w:val="008E633C"/>
    <w:rsid w:val="008E68A6"/>
    <w:rsid w:val="008E68AA"/>
    <w:rsid w:val="008F01C4"/>
    <w:rsid w:val="008F1391"/>
    <w:rsid w:val="008F1D7D"/>
    <w:rsid w:val="008F1F22"/>
    <w:rsid w:val="008F2C57"/>
    <w:rsid w:val="008F2D8B"/>
    <w:rsid w:val="008F3D46"/>
    <w:rsid w:val="008F459A"/>
    <w:rsid w:val="008F471B"/>
    <w:rsid w:val="008F6A51"/>
    <w:rsid w:val="008F6AC8"/>
    <w:rsid w:val="0090098B"/>
    <w:rsid w:val="00902ECB"/>
    <w:rsid w:val="009033B5"/>
    <w:rsid w:val="009066F7"/>
    <w:rsid w:val="00907CDB"/>
    <w:rsid w:val="0091070F"/>
    <w:rsid w:val="00910C95"/>
    <w:rsid w:val="00911180"/>
    <w:rsid w:val="009126FE"/>
    <w:rsid w:val="00912A46"/>
    <w:rsid w:val="00913B12"/>
    <w:rsid w:val="009142F6"/>
    <w:rsid w:val="009156B8"/>
    <w:rsid w:val="00915E94"/>
    <w:rsid w:val="00916345"/>
    <w:rsid w:val="009166F4"/>
    <w:rsid w:val="00917C09"/>
    <w:rsid w:val="00920056"/>
    <w:rsid w:val="009227B4"/>
    <w:rsid w:val="009231B9"/>
    <w:rsid w:val="00925A7D"/>
    <w:rsid w:val="00925AE3"/>
    <w:rsid w:val="00925BA7"/>
    <w:rsid w:val="00925FD6"/>
    <w:rsid w:val="00926ABD"/>
    <w:rsid w:val="00927D77"/>
    <w:rsid w:val="009309AB"/>
    <w:rsid w:val="00930B9A"/>
    <w:rsid w:val="009318FB"/>
    <w:rsid w:val="00931A81"/>
    <w:rsid w:val="0093232A"/>
    <w:rsid w:val="00932830"/>
    <w:rsid w:val="00934693"/>
    <w:rsid w:val="0093472F"/>
    <w:rsid w:val="00934900"/>
    <w:rsid w:val="00935A9F"/>
    <w:rsid w:val="00936812"/>
    <w:rsid w:val="0093694A"/>
    <w:rsid w:val="00936E0C"/>
    <w:rsid w:val="00937EDD"/>
    <w:rsid w:val="0094007B"/>
    <w:rsid w:val="009404EC"/>
    <w:rsid w:val="00940695"/>
    <w:rsid w:val="00940FCD"/>
    <w:rsid w:val="00941491"/>
    <w:rsid w:val="00941D51"/>
    <w:rsid w:val="00943D06"/>
    <w:rsid w:val="00943F72"/>
    <w:rsid w:val="00944928"/>
    <w:rsid w:val="00944BEA"/>
    <w:rsid w:val="00946CA5"/>
    <w:rsid w:val="00947D8C"/>
    <w:rsid w:val="009500E7"/>
    <w:rsid w:val="0095031F"/>
    <w:rsid w:val="009504D1"/>
    <w:rsid w:val="00951B10"/>
    <w:rsid w:val="00951B7C"/>
    <w:rsid w:val="009524B6"/>
    <w:rsid w:val="0095254D"/>
    <w:rsid w:val="00952BB2"/>
    <w:rsid w:val="00954258"/>
    <w:rsid w:val="00954A27"/>
    <w:rsid w:val="00955368"/>
    <w:rsid w:val="00956EB7"/>
    <w:rsid w:val="009577A3"/>
    <w:rsid w:val="00957B58"/>
    <w:rsid w:val="00960AD0"/>
    <w:rsid w:val="0096175B"/>
    <w:rsid w:val="0096421D"/>
    <w:rsid w:val="00964667"/>
    <w:rsid w:val="009666FC"/>
    <w:rsid w:val="009674B9"/>
    <w:rsid w:val="00970062"/>
    <w:rsid w:val="00970B88"/>
    <w:rsid w:val="00974195"/>
    <w:rsid w:val="009827A2"/>
    <w:rsid w:val="0098337C"/>
    <w:rsid w:val="0098383B"/>
    <w:rsid w:val="00984DB9"/>
    <w:rsid w:val="00984F88"/>
    <w:rsid w:val="00985372"/>
    <w:rsid w:val="00987062"/>
    <w:rsid w:val="00987700"/>
    <w:rsid w:val="009903D8"/>
    <w:rsid w:val="00990555"/>
    <w:rsid w:val="009918A7"/>
    <w:rsid w:val="00991A6F"/>
    <w:rsid w:val="009939C5"/>
    <w:rsid w:val="00994366"/>
    <w:rsid w:val="009947F3"/>
    <w:rsid w:val="00994A79"/>
    <w:rsid w:val="00995170"/>
    <w:rsid w:val="009977DD"/>
    <w:rsid w:val="00997C0F"/>
    <w:rsid w:val="009A1494"/>
    <w:rsid w:val="009A1D60"/>
    <w:rsid w:val="009A3ECA"/>
    <w:rsid w:val="009A3F3A"/>
    <w:rsid w:val="009A47A2"/>
    <w:rsid w:val="009B0B47"/>
    <w:rsid w:val="009B0F0D"/>
    <w:rsid w:val="009B0F48"/>
    <w:rsid w:val="009B1141"/>
    <w:rsid w:val="009B2BA6"/>
    <w:rsid w:val="009B3382"/>
    <w:rsid w:val="009B3478"/>
    <w:rsid w:val="009B35CB"/>
    <w:rsid w:val="009B4CFF"/>
    <w:rsid w:val="009B5264"/>
    <w:rsid w:val="009B5946"/>
    <w:rsid w:val="009B6F03"/>
    <w:rsid w:val="009B717E"/>
    <w:rsid w:val="009B71AB"/>
    <w:rsid w:val="009C2B66"/>
    <w:rsid w:val="009C3A00"/>
    <w:rsid w:val="009C4A36"/>
    <w:rsid w:val="009C4B35"/>
    <w:rsid w:val="009C5AEB"/>
    <w:rsid w:val="009C5F69"/>
    <w:rsid w:val="009C6C06"/>
    <w:rsid w:val="009D0BA1"/>
    <w:rsid w:val="009D1283"/>
    <w:rsid w:val="009D159F"/>
    <w:rsid w:val="009D1980"/>
    <w:rsid w:val="009D22F8"/>
    <w:rsid w:val="009D3389"/>
    <w:rsid w:val="009D53AA"/>
    <w:rsid w:val="009D63A8"/>
    <w:rsid w:val="009D6768"/>
    <w:rsid w:val="009D6B13"/>
    <w:rsid w:val="009D7B40"/>
    <w:rsid w:val="009D7D94"/>
    <w:rsid w:val="009E0EB6"/>
    <w:rsid w:val="009E166A"/>
    <w:rsid w:val="009E3EA6"/>
    <w:rsid w:val="009E481E"/>
    <w:rsid w:val="009E4F6F"/>
    <w:rsid w:val="009E519A"/>
    <w:rsid w:val="009E5515"/>
    <w:rsid w:val="009E765A"/>
    <w:rsid w:val="009F0929"/>
    <w:rsid w:val="009F21E8"/>
    <w:rsid w:val="009F263A"/>
    <w:rsid w:val="009F27C2"/>
    <w:rsid w:val="009F36BE"/>
    <w:rsid w:val="009F4241"/>
    <w:rsid w:val="009F5183"/>
    <w:rsid w:val="009F72FD"/>
    <w:rsid w:val="00A0024C"/>
    <w:rsid w:val="00A014EA"/>
    <w:rsid w:val="00A02F9B"/>
    <w:rsid w:val="00A050A8"/>
    <w:rsid w:val="00A05399"/>
    <w:rsid w:val="00A053BF"/>
    <w:rsid w:val="00A0547A"/>
    <w:rsid w:val="00A06CF5"/>
    <w:rsid w:val="00A06D64"/>
    <w:rsid w:val="00A0730E"/>
    <w:rsid w:val="00A1054A"/>
    <w:rsid w:val="00A105F8"/>
    <w:rsid w:val="00A10EF0"/>
    <w:rsid w:val="00A117FE"/>
    <w:rsid w:val="00A12A8A"/>
    <w:rsid w:val="00A13748"/>
    <w:rsid w:val="00A144B3"/>
    <w:rsid w:val="00A14CBE"/>
    <w:rsid w:val="00A14EFE"/>
    <w:rsid w:val="00A15E22"/>
    <w:rsid w:val="00A172DE"/>
    <w:rsid w:val="00A173AE"/>
    <w:rsid w:val="00A17666"/>
    <w:rsid w:val="00A17BC3"/>
    <w:rsid w:val="00A200AE"/>
    <w:rsid w:val="00A20A78"/>
    <w:rsid w:val="00A210D4"/>
    <w:rsid w:val="00A2129B"/>
    <w:rsid w:val="00A21ADC"/>
    <w:rsid w:val="00A23A06"/>
    <w:rsid w:val="00A24646"/>
    <w:rsid w:val="00A25833"/>
    <w:rsid w:val="00A25C2F"/>
    <w:rsid w:val="00A26037"/>
    <w:rsid w:val="00A27BCC"/>
    <w:rsid w:val="00A3091D"/>
    <w:rsid w:val="00A3150B"/>
    <w:rsid w:val="00A33806"/>
    <w:rsid w:val="00A342BA"/>
    <w:rsid w:val="00A34650"/>
    <w:rsid w:val="00A34BEC"/>
    <w:rsid w:val="00A3543C"/>
    <w:rsid w:val="00A35818"/>
    <w:rsid w:val="00A35FFE"/>
    <w:rsid w:val="00A3683F"/>
    <w:rsid w:val="00A36A75"/>
    <w:rsid w:val="00A36F96"/>
    <w:rsid w:val="00A37B8B"/>
    <w:rsid w:val="00A37DD5"/>
    <w:rsid w:val="00A37F83"/>
    <w:rsid w:val="00A41323"/>
    <w:rsid w:val="00A42513"/>
    <w:rsid w:val="00A42EF7"/>
    <w:rsid w:val="00A43667"/>
    <w:rsid w:val="00A4401A"/>
    <w:rsid w:val="00A45011"/>
    <w:rsid w:val="00A450DA"/>
    <w:rsid w:val="00A45B71"/>
    <w:rsid w:val="00A46441"/>
    <w:rsid w:val="00A478FD"/>
    <w:rsid w:val="00A503EE"/>
    <w:rsid w:val="00A54615"/>
    <w:rsid w:val="00A54B91"/>
    <w:rsid w:val="00A5645A"/>
    <w:rsid w:val="00A57572"/>
    <w:rsid w:val="00A579E2"/>
    <w:rsid w:val="00A61C0E"/>
    <w:rsid w:val="00A61C66"/>
    <w:rsid w:val="00A61EFF"/>
    <w:rsid w:val="00A6277B"/>
    <w:rsid w:val="00A62BF1"/>
    <w:rsid w:val="00A62C64"/>
    <w:rsid w:val="00A63092"/>
    <w:rsid w:val="00A6367D"/>
    <w:rsid w:val="00A63FFB"/>
    <w:rsid w:val="00A65997"/>
    <w:rsid w:val="00A66854"/>
    <w:rsid w:val="00A66917"/>
    <w:rsid w:val="00A67540"/>
    <w:rsid w:val="00A6779F"/>
    <w:rsid w:val="00A67F1D"/>
    <w:rsid w:val="00A7038D"/>
    <w:rsid w:val="00A704A9"/>
    <w:rsid w:val="00A70622"/>
    <w:rsid w:val="00A70CB2"/>
    <w:rsid w:val="00A712DA"/>
    <w:rsid w:val="00A730AA"/>
    <w:rsid w:val="00A73318"/>
    <w:rsid w:val="00A76716"/>
    <w:rsid w:val="00A808D7"/>
    <w:rsid w:val="00A811DA"/>
    <w:rsid w:val="00A8125B"/>
    <w:rsid w:val="00A8134F"/>
    <w:rsid w:val="00A82493"/>
    <w:rsid w:val="00A82953"/>
    <w:rsid w:val="00A83834"/>
    <w:rsid w:val="00A83C7D"/>
    <w:rsid w:val="00A844AA"/>
    <w:rsid w:val="00A84E76"/>
    <w:rsid w:val="00A8672B"/>
    <w:rsid w:val="00A877C7"/>
    <w:rsid w:val="00A90D5A"/>
    <w:rsid w:val="00A9153D"/>
    <w:rsid w:val="00A9293C"/>
    <w:rsid w:val="00A931F0"/>
    <w:rsid w:val="00A9445D"/>
    <w:rsid w:val="00A95673"/>
    <w:rsid w:val="00A95921"/>
    <w:rsid w:val="00A95B62"/>
    <w:rsid w:val="00A97637"/>
    <w:rsid w:val="00A97904"/>
    <w:rsid w:val="00AA0735"/>
    <w:rsid w:val="00AA0A73"/>
    <w:rsid w:val="00AA0B13"/>
    <w:rsid w:val="00AA103E"/>
    <w:rsid w:val="00AA1334"/>
    <w:rsid w:val="00AA15A3"/>
    <w:rsid w:val="00AA30CA"/>
    <w:rsid w:val="00AA4121"/>
    <w:rsid w:val="00AA5179"/>
    <w:rsid w:val="00AA53A7"/>
    <w:rsid w:val="00AA56C7"/>
    <w:rsid w:val="00AA6E8E"/>
    <w:rsid w:val="00AA7922"/>
    <w:rsid w:val="00AB13EF"/>
    <w:rsid w:val="00AB1BB3"/>
    <w:rsid w:val="00AB2888"/>
    <w:rsid w:val="00AB3E0E"/>
    <w:rsid w:val="00AB445E"/>
    <w:rsid w:val="00AB4A50"/>
    <w:rsid w:val="00AB536A"/>
    <w:rsid w:val="00AB6042"/>
    <w:rsid w:val="00AC071B"/>
    <w:rsid w:val="00AC0C6F"/>
    <w:rsid w:val="00AC14B9"/>
    <w:rsid w:val="00AC2BF0"/>
    <w:rsid w:val="00AC2F49"/>
    <w:rsid w:val="00AC3BA6"/>
    <w:rsid w:val="00AC44C1"/>
    <w:rsid w:val="00AC6F5A"/>
    <w:rsid w:val="00AD07FE"/>
    <w:rsid w:val="00AD0B15"/>
    <w:rsid w:val="00AD0FA1"/>
    <w:rsid w:val="00AD14C6"/>
    <w:rsid w:val="00AD21B7"/>
    <w:rsid w:val="00AD3781"/>
    <w:rsid w:val="00AD3B0F"/>
    <w:rsid w:val="00AD3E93"/>
    <w:rsid w:val="00AD4A91"/>
    <w:rsid w:val="00AD5878"/>
    <w:rsid w:val="00AD632D"/>
    <w:rsid w:val="00AD75B9"/>
    <w:rsid w:val="00AD7DC0"/>
    <w:rsid w:val="00AD7FF9"/>
    <w:rsid w:val="00AE235F"/>
    <w:rsid w:val="00AE377F"/>
    <w:rsid w:val="00AE3D34"/>
    <w:rsid w:val="00AE40C0"/>
    <w:rsid w:val="00AE580E"/>
    <w:rsid w:val="00AE6CBA"/>
    <w:rsid w:val="00AF04EA"/>
    <w:rsid w:val="00AF079F"/>
    <w:rsid w:val="00AF0995"/>
    <w:rsid w:val="00AF1067"/>
    <w:rsid w:val="00AF10A7"/>
    <w:rsid w:val="00AF19A1"/>
    <w:rsid w:val="00AF26C2"/>
    <w:rsid w:val="00AF3245"/>
    <w:rsid w:val="00AF3CF2"/>
    <w:rsid w:val="00AF466E"/>
    <w:rsid w:val="00AF477A"/>
    <w:rsid w:val="00AF4C4C"/>
    <w:rsid w:val="00AF51CC"/>
    <w:rsid w:val="00AF62AA"/>
    <w:rsid w:val="00AF6EE4"/>
    <w:rsid w:val="00AF7B7E"/>
    <w:rsid w:val="00B004CF"/>
    <w:rsid w:val="00B009FA"/>
    <w:rsid w:val="00B00A54"/>
    <w:rsid w:val="00B00CB9"/>
    <w:rsid w:val="00B0104C"/>
    <w:rsid w:val="00B0105C"/>
    <w:rsid w:val="00B01879"/>
    <w:rsid w:val="00B01AE3"/>
    <w:rsid w:val="00B01C56"/>
    <w:rsid w:val="00B032A6"/>
    <w:rsid w:val="00B03AAF"/>
    <w:rsid w:val="00B04E54"/>
    <w:rsid w:val="00B055DB"/>
    <w:rsid w:val="00B1016C"/>
    <w:rsid w:val="00B10593"/>
    <w:rsid w:val="00B105AA"/>
    <w:rsid w:val="00B10EE2"/>
    <w:rsid w:val="00B110E1"/>
    <w:rsid w:val="00B1236E"/>
    <w:rsid w:val="00B14081"/>
    <w:rsid w:val="00B140DF"/>
    <w:rsid w:val="00B1464D"/>
    <w:rsid w:val="00B1607A"/>
    <w:rsid w:val="00B17C87"/>
    <w:rsid w:val="00B20077"/>
    <w:rsid w:val="00B20B4D"/>
    <w:rsid w:val="00B21AB5"/>
    <w:rsid w:val="00B22777"/>
    <w:rsid w:val="00B22E2E"/>
    <w:rsid w:val="00B233CE"/>
    <w:rsid w:val="00B2351A"/>
    <w:rsid w:val="00B236F7"/>
    <w:rsid w:val="00B23E78"/>
    <w:rsid w:val="00B24A89"/>
    <w:rsid w:val="00B25135"/>
    <w:rsid w:val="00B25B2C"/>
    <w:rsid w:val="00B26128"/>
    <w:rsid w:val="00B26DDF"/>
    <w:rsid w:val="00B27294"/>
    <w:rsid w:val="00B27533"/>
    <w:rsid w:val="00B30909"/>
    <w:rsid w:val="00B30ECB"/>
    <w:rsid w:val="00B31116"/>
    <w:rsid w:val="00B31250"/>
    <w:rsid w:val="00B32C75"/>
    <w:rsid w:val="00B32CCB"/>
    <w:rsid w:val="00B33EC7"/>
    <w:rsid w:val="00B35B11"/>
    <w:rsid w:val="00B36A40"/>
    <w:rsid w:val="00B37D88"/>
    <w:rsid w:val="00B40308"/>
    <w:rsid w:val="00B4051A"/>
    <w:rsid w:val="00B40531"/>
    <w:rsid w:val="00B40D6E"/>
    <w:rsid w:val="00B416B5"/>
    <w:rsid w:val="00B42D9C"/>
    <w:rsid w:val="00B437A1"/>
    <w:rsid w:val="00B43BC5"/>
    <w:rsid w:val="00B46941"/>
    <w:rsid w:val="00B46DF4"/>
    <w:rsid w:val="00B46E89"/>
    <w:rsid w:val="00B47D99"/>
    <w:rsid w:val="00B50676"/>
    <w:rsid w:val="00B51264"/>
    <w:rsid w:val="00B51781"/>
    <w:rsid w:val="00B51A90"/>
    <w:rsid w:val="00B5336D"/>
    <w:rsid w:val="00B53F75"/>
    <w:rsid w:val="00B5559F"/>
    <w:rsid w:val="00B56A73"/>
    <w:rsid w:val="00B56BCE"/>
    <w:rsid w:val="00B6025A"/>
    <w:rsid w:val="00B6050B"/>
    <w:rsid w:val="00B6486A"/>
    <w:rsid w:val="00B64EE0"/>
    <w:rsid w:val="00B65995"/>
    <w:rsid w:val="00B66596"/>
    <w:rsid w:val="00B66882"/>
    <w:rsid w:val="00B67343"/>
    <w:rsid w:val="00B67E15"/>
    <w:rsid w:val="00B719E1"/>
    <w:rsid w:val="00B72BB2"/>
    <w:rsid w:val="00B73260"/>
    <w:rsid w:val="00B73393"/>
    <w:rsid w:val="00B73ECE"/>
    <w:rsid w:val="00B77E51"/>
    <w:rsid w:val="00B80981"/>
    <w:rsid w:val="00B817A6"/>
    <w:rsid w:val="00B82E38"/>
    <w:rsid w:val="00B8432A"/>
    <w:rsid w:val="00B84E3D"/>
    <w:rsid w:val="00B85558"/>
    <w:rsid w:val="00B858FE"/>
    <w:rsid w:val="00B8622E"/>
    <w:rsid w:val="00B86F65"/>
    <w:rsid w:val="00B872D6"/>
    <w:rsid w:val="00B8770D"/>
    <w:rsid w:val="00B9042C"/>
    <w:rsid w:val="00B907B5"/>
    <w:rsid w:val="00B90C82"/>
    <w:rsid w:val="00B93A4A"/>
    <w:rsid w:val="00B9420D"/>
    <w:rsid w:val="00B95FAB"/>
    <w:rsid w:val="00B96D33"/>
    <w:rsid w:val="00BA0335"/>
    <w:rsid w:val="00BA111A"/>
    <w:rsid w:val="00BA2B10"/>
    <w:rsid w:val="00BA42C6"/>
    <w:rsid w:val="00BA7F69"/>
    <w:rsid w:val="00BB0556"/>
    <w:rsid w:val="00BB267A"/>
    <w:rsid w:val="00BB3319"/>
    <w:rsid w:val="00BB5195"/>
    <w:rsid w:val="00BB70AC"/>
    <w:rsid w:val="00BB7E46"/>
    <w:rsid w:val="00BC145F"/>
    <w:rsid w:val="00BC20F8"/>
    <w:rsid w:val="00BC283C"/>
    <w:rsid w:val="00BC2AD6"/>
    <w:rsid w:val="00BC3068"/>
    <w:rsid w:val="00BC50F7"/>
    <w:rsid w:val="00BC692D"/>
    <w:rsid w:val="00BC7C29"/>
    <w:rsid w:val="00BD1C2B"/>
    <w:rsid w:val="00BD283D"/>
    <w:rsid w:val="00BD32C2"/>
    <w:rsid w:val="00BD465D"/>
    <w:rsid w:val="00BD4A47"/>
    <w:rsid w:val="00BD55AF"/>
    <w:rsid w:val="00BD5840"/>
    <w:rsid w:val="00BE009D"/>
    <w:rsid w:val="00BE03B1"/>
    <w:rsid w:val="00BE055B"/>
    <w:rsid w:val="00BE0BC3"/>
    <w:rsid w:val="00BE2F33"/>
    <w:rsid w:val="00BE3F31"/>
    <w:rsid w:val="00BE73BF"/>
    <w:rsid w:val="00BE756E"/>
    <w:rsid w:val="00BE79F8"/>
    <w:rsid w:val="00BF19A7"/>
    <w:rsid w:val="00BF1E83"/>
    <w:rsid w:val="00BF22DB"/>
    <w:rsid w:val="00BF29D9"/>
    <w:rsid w:val="00BF2F90"/>
    <w:rsid w:val="00BF3DE1"/>
    <w:rsid w:val="00BF42DA"/>
    <w:rsid w:val="00BF67FC"/>
    <w:rsid w:val="00BF6E0F"/>
    <w:rsid w:val="00BF7403"/>
    <w:rsid w:val="00C01DCD"/>
    <w:rsid w:val="00C02835"/>
    <w:rsid w:val="00C02F56"/>
    <w:rsid w:val="00C02F8F"/>
    <w:rsid w:val="00C03E78"/>
    <w:rsid w:val="00C05119"/>
    <w:rsid w:val="00C07881"/>
    <w:rsid w:val="00C078D0"/>
    <w:rsid w:val="00C07D61"/>
    <w:rsid w:val="00C10016"/>
    <w:rsid w:val="00C131FF"/>
    <w:rsid w:val="00C13E48"/>
    <w:rsid w:val="00C16820"/>
    <w:rsid w:val="00C20617"/>
    <w:rsid w:val="00C21B47"/>
    <w:rsid w:val="00C22CBF"/>
    <w:rsid w:val="00C23401"/>
    <w:rsid w:val="00C23BCE"/>
    <w:rsid w:val="00C243F4"/>
    <w:rsid w:val="00C244D7"/>
    <w:rsid w:val="00C24F72"/>
    <w:rsid w:val="00C25F52"/>
    <w:rsid w:val="00C2668F"/>
    <w:rsid w:val="00C26932"/>
    <w:rsid w:val="00C276DD"/>
    <w:rsid w:val="00C31675"/>
    <w:rsid w:val="00C32B61"/>
    <w:rsid w:val="00C34F5E"/>
    <w:rsid w:val="00C36E9A"/>
    <w:rsid w:val="00C3764E"/>
    <w:rsid w:val="00C4269D"/>
    <w:rsid w:val="00C42A38"/>
    <w:rsid w:val="00C43D48"/>
    <w:rsid w:val="00C45C90"/>
    <w:rsid w:val="00C46E51"/>
    <w:rsid w:val="00C509B3"/>
    <w:rsid w:val="00C51846"/>
    <w:rsid w:val="00C5185A"/>
    <w:rsid w:val="00C52E51"/>
    <w:rsid w:val="00C52EFE"/>
    <w:rsid w:val="00C53C66"/>
    <w:rsid w:val="00C53D86"/>
    <w:rsid w:val="00C54BB2"/>
    <w:rsid w:val="00C5654B"/>
    <w:rsid w:val="00C567FF"/>
    <w:rsid w:val="00C5702D"/>
    <w:rsid w:val="00C57814"/>
    <w:rsid w:val="00C6092A"/>
    <w:rsid w:val="00C60BD5"/>
    <w:rsid w:val="00C613F2"/>
    <w:rsid w:val="00C61DC7"/>
    <w:rsid w:val="00C620D0"/>
    <w:rsid w:val="00C62585"/>
    <w:rsid w:val="00C6431B"/>
    <w:rsid w:val="00C643D4"/>
    <w:rsid w:val="00C652D5"/>
    <w:rsid w:val="00C6646A"/>
    <w:rsid w:val="00C66974"/>
    <w:rsid w:val="00C6702C"/>
    <w:rsid w:val="00C67B43"/>
    <w:rsid w:val="00C72C92"/>
    <w:rsid w:val="00C73A31"/>
    <w:rsid w:val="00C73D6A"/>
    <w:rsid w:val="00C74E0A"/>
    <w:rsid w:val="00C752A5"/>
    <w:rsid w:val="00C76363"/>
    <w:rsid w:val="00C76996"/>
    <w:rsid w:val="00C76FD9"/>
    <w:rsid w:val="00C7743B"/>
    <w:rsid w:val="00C802FF"/>
    <w:rsid w:val="00C81A4F"/>
    <w:rsid w:val="00C820E8"/>
    <w:rsid w:val="00C825E3"/>
    <w:rsid w:val="00C82C17"/>
    <w:rsid w:val="00C82FE7"/>
    <w:rsid w:val="00C8310F"/>
    <w:rsid w:val="00C8383B"/>
    <w:rsid w:val="00C85BA8"/>
    <w:rsid w:val="00C85EB5"/>
    <w:rsid w:val="00C864A9"/>
    <w:rsid w:val="00C87843"/>
    <w:rsid w:val="00C87A0E"/>
    <w:rsid w:val="00C903B4"/>
    <w:rsid w:val="00C912AD"/>
    <w:rsid w:val="00C91ECF"/>
    <w:rsid w:val="00C9368B"/>
    <w:rsid w:val="00C93C3F"/>
    <w:rsid w:val="00C93C7D"/>
    <w:rsid w:val="00C95454"/>
    <w:rsid w:val="00C95716"/>
    <w:rsid w:val="00C97827"/>
    <w:rsid w:val="00C97A03"/>
    <w:rsid w:val="00CA0357"/>
    <w:rsid w:val="00CA0CF5"/>
    <w:rsid w:val="00CA0D8C"/>
    <w:rsid w:val="00CA21C9"/>
    <w:rsid w:val="00CA3350"/>
    <w:rsid w:val="00CA36FE"/>
    <w:rsid w:val="00CA3714"/>
    <w:rsid w:val="00CA3F71"/>
    <w:rsid w:val="00CA41A2"/>
    <w:rsid w:val="00CA6BB5"/>
    <w:rsid w:val="00CA72D2"/>
    <w:rsid w:val="00CA77FB"/>
    <w:rsid w:val="00CA7848"/>
    <w:rsid w:val="00CB0542"/>
    <w:rsid w:val="00CB0B9A"/>
    <w:rsid w:val="00CB2B32"/>
    <w:rsid w:val="00CB3C18"/>
    <w:rsid w:val="00CB4A03"/>
    <w:rsid w:val="00CB7643"/>
    <w:rsid w:val="00CC1226"/>
    <w:rsid w:val="00CC16DD"/>
    <w:rsid w:val="00CC1BB0"/>
    <w:rsid w:val="00CC1DC1"/>
    <w:rsid w:val="00CC4DA8"/>
    <w:rsid w:val="00CC56B4"/>
    <w:rsid w:val="00CC5A11"/>
    <w:rsid w:val="00CC7214"/>
    <w:rsid w:val="00CC73FE"/>
    <w:rsid w:val="00CD022A"/>
    <w:rsid w:val="00CD0C80"/>
    <w:rsid w:val="00CD1BC4"/>
    <w:rsid w:val="00CD344A"/>
    <w:rsid w:val="00CD5F82"/>
    <w:rsid w:val="00CD6057"/>
    <w:rsid w:val="00CD661D"/>
    <w:rsid w:val="00CE3174"/>
    <w:rsid w:val="00CE43BD"/>
    <w:rsid w:val="00CE469B"/>
    <w:rsid w:val="00CE51C5"/>
    <w:rsid w:val="00CE5682"/>
    <w:rsid w:val="00CE6A12"/>
    <w:rsid w:val="00CE6EB5"/>
    <w:rsid w:val="00CF1122"/>
    <w:rsid w:val="00CF127D"/>
    <w:rsid w:val="00CF284F"/>
    <w:rsid w:val="00CF561D"/>
    <w:rsid w:val="00D00070"/>
    <w:rsid w:val="00D00BD0"/>
    <w:rsid w:val="00D01432"/>
    <w:rsid w:val="00D0289E"/>
    <w:rsid w:val="00D02B6A"/>
    <w:rsid w:val="00D03754"/>
    <w:rsid w:val="00D04186"/>
    <w:rsid w:val="00D045AC"/>
    <w:rsid w:val="00D04BBD"/>
    <w:rsid w:val="00D04F06"/>
    <w:rsid w:val="00D07BF0"/>
    <w:rsid w:val="00D07CCA"/>
    <w:rsid w:val="00D10869"/>
    <w:rsid w:val="00D115D2"/>
    <w:rsid w:val="00D12B65"/>
    <w:rsid w:val="00D13544"/>
    <w:rsid w:val="00D13C8D"/>
    <w:rsid w:val="00D13EAA"/>
    <w:rsid w:val="00D148A8"/>
    <w:rsid w:val="00D151B8"/>
    <w:rsid w:val="00D151DC"/>
    <w:rsid w:val="00D15630"/>
    <w:rsid w:val="00D15CFF"/>
    <w:rsid w:val="00D164C1"/>
    <w:rsid w:val="00D1660D"/>
    <w:rsid w:val="00D16DFA"/>
    <w:rsid w:val="00D17641"/>
    <w:rsid w:val="00D17D6F"/>
    <w:rsid w:val="00D207E4"/>
    <w:rsid w:val="00D25FFD"/>
    <w:rsid w:val="00D276F1"/>
    <w:rsid w:val="00D31B35"/>
    <w:rsid w:val="00D32CC7"/>
    <w:rsid w:val="00D33088"/>
    <w:rsid w:val="00D348B0"/>
    <w:rsid w:val="00D34A4F"/>
    <w:rsid w:val="00D34FCA"/>
    <w:rsid w:val="00D366BD"/>
    <w:rsid w:val="00D37689"/>
    <w:rsid w:val="00D4041C"/>
    <w:rsid w:val="00D40A31"/>
    <w:rsid w:val="00D40ACA"/>
    <w:rsid w:val="00D414AE"/>
    <w:rsid w:val="00D441EB"/>
    <w:rsid w:val="00D44217"/>
    <w:rsid w:val="00D46B7E"/>
    <w:rsid w:val="00D4753B"/>
    <w:rsid w:val="00D50D0E"/>
    <w:rsid w:val="00D524D9"/>
    <w:rsid w:val="00D52659"/>
    <w:rsid w:val="00D53743"/>
    <w:rsid w:val="00D54478"/>
    <w:rsid w:val="00D54D11"/>
    <w:rsid w:val="00D564F5"/>
    <w:rsid w:val="00D60F32"/>
    <w:rsid w:val="00D62D3E"/>
    <w:rsid w:val="00D63547"/>
    <w:rsid w:val="00D66A70"/>
    <w:rsid w:val="00D67FD5"/>
    <w:rsid w:val="00D704B4"/>
    <w:rsid w:val="00D7051E"/>
    <w:rsid w:val="00D708F9"/>
    <w:rsid w:val="00D70D5D"/>
    <w:rsid w:val="00D72486"/>
    <w:rsid w:val="00D73117"/>
    <w:rsid w:val="00D739FA"/>
    <w:rsid w:val="00D74067"/>
    <w:rsid w:val="00D75546"/>
    <w:rsid w:val="00D75D46"/>
    <w:rsid w:val="00D7667A"/>
    <w:rsid w:val="00D77C77"/>
    <w:rsid w:val="00D81152"/>
    <w:rsid w:val="00D81538"/>
    <w:rsid w:val="00D81B3E"/>
    <w:rsid w:val="00D82045"/>
    <w:rsid w:val="00D840F4"/>
    <w:rsid w:val="00D84B29"/>
    <w:rsid w:val="00D85324"/>
    <w:rsid w:val="00D85ED8"/>
    <w:rsid w:val="00D863E1"/>
    <w:rsid w:val="00D872C4"/>
    <w:rsid w:val="00D87C47"/>
    <w:rsid w:val="00D900E5"/>
    <w:rsid w:val="00D917AA"/>
    <w:rsid w:val="00D92136"/>
    <w:rsid w:val="00D93D67"/>
    <w:rsid w:val="00D9446B"/>
    <w:rsid w:val="00D94ECD"/>
    <w:rsid w:val="00D95FE3"/>
    <w:rsid w:val="00DA03B7"/>
    <w:rsid w:val="00DA35B5"/>
    <w:rsid w:val="00DA3F48"/>
    <w:rsid w:val="00DA3FEB"/>
    <w:rsid w:val="00DA4897"/>
    <w:rsid w:val="00DA5DF4"/>
    <w:rsid w:val="00DA6196"/>
    <w:rsid w:val="00DA6F28"/>
    <w:rsid w:val="00DA7909"/>
    <w:rsid w:val="00DB1223"/>
    <w:rsid w:val="00DB2956"/>
    <w:rsid w:val="00DB378A"/>
    <w:rsid w:val="00DB487F"/>
    <w:rsid w:val="00DB55D4"/>
    <w:rsid w:val="00DB5672"/>
    <w:rsid w:val="00DB6247"/>
    <w:rsid w:val="00DB716E"/>
    <w:rsid w:val="00DB7256"/>
    <w:rsid w:val="00DB7772"/>
    <w:rsid w:val="00DC1012"/>
    <w:rsid w:val="00DC1FC8"/>
    <w:rsid w:val="00DC242E"/>
    <w:rsid w:val="00DC2CAB"/>
    <w:rsid w:val="00DC3CC6"/>
    <w:rsid w:val="00DC443C"/>
    <w:rsid w:val="00DC5B2B"/>
    <w:rsid w:val="00DC604D"/>
    <w:rsid w:val="00DC7E5D"/>
    <w:rsid w:val="00DD0576"/>
    <w:rsid w:val="00DD091A"/>
    <w:rsid w:val="00DD09E5"/>
    <w:rsid w:val="00DD2F75"/>
    <w:rsid w:val="00DD2FAE"/>
    <w:rsid w:val="00DD32F8"/>
    <w:rsid w:val="00DD37EC"/>
    <w:rsid w:val="00DD74A7"/>
    <w:rsid w:val="00DD7657"/>
    <w:rsid w:val="00DE0304"/>
    <w:rsid w:val="00DE20E2"/>
    <w:rsid w:val="00DE2CAD"/>
    <w:rsid w:val="00DE32DD"/>
    <w:rsid w:val="00DE4DE1"/>
    <w:rsid w:val="00DE55BB"/>
    <w:rsid w:val="00DF29A0"/>
    <w:rsid w:val="00DF3BBD"/>
    <w:rsid w:val="00DF3FAD"/>
    <w:rsid w:val="00DF5083"/>
    <w:rsid w:val="00DF5087"/>
    <w:rsid w:val="00E012B8"/>
    <w:rsid w:val="00E01CF0"/>
    <w:rsid w:val="00E02D7D"/>
    <w:rsid w:val="00E02D94"/>
    <w:rsid w:val="00E04C11"/>
    <w:rsid w:val="00E05762"/>
    <w:rsid w:val="00E11380"/>
    <w:rsid w:val="00E12920"/>
    <w:rsid w:val="00E12B92"/>
    <w:rsid w:val="00E13708"/>
    <w:rsid w:val="00E13BAC"/>
    <w:rsid w:val="00E1413D"/>
    <w:rsid w:val="00E143D3"/>
    <w:rsid w:val="00E157A3"/>
    <w:rsid w:val="00E20D59"/>
    <w:rsid w:val="00E2324C"/>
    <w:rsid w:val="00E2369D"/>
    <w:rsid w:val="00E24146"/>
    <w:rsid w:val="00E251B7"/>
    <w:rsid w:val="00E25A1B"/>
    <w:rsid w:val="00E261DA"/>
    <w:rsid w:val="00E26380"/>
    <w:rsid w:val="00E30253"/>
    <w:rsid w:val="00E314F3"/>
    <w:rsid w:val="00E32A4F"/>
    <w:rsid w:val="00E340DE"/>
    <w:rsid w:val="00E345E3"/>
    <w:rsid w:val="00E363E1"/>
    <w:rsid w:val="00E37438"/>
    <w:rsid w:val="00E37ED6"/>
    <w:rsid w:val="00E40FE6"/>
    <w:rsid w:val="00E43474"/>
    <w:rsid w:val="00E43829"/>
    <w:rsid w:val="00E44C6B"/>
    <w:rsid w:val="00E45BC2"/>
    <w:rsid w:val="00E471A5"/>
    <w:rsid w:val="00E50447"/>
    <w:rsid w:val="00E504F2"/>
    <w:rsid w:val="00E510FC"/>
    <w:rsid w:val="00E518FD"/>
    <w:rsid w:val="00E54355"/>
    <w:rsid w:val="00E55237"/>
    <w:rsid w:val="00E55773"/>
    <w:rsid w:val="00E55867"/>
    <w:rsid w:val="00E562BB"/>
    <w:rsid w:val="00E56A47"/>
    <w:rsid w:val="00E574F2"/>
    <w:rsid w:val="00E622E0"/>
    <w:rsid w:val="00E62B36"/>
    <w:rsid w:val="00E62FC6"/>
    <w:rsid w:val="00E63A86"/>
    <w:rsid w:val="00E6442F"/>
    <w:rsid w:val="00E6588D"/>
    <w:rsid w:val="00E66659"/>
    <w:rsid w:val="00E704CC"/>
    <w:rsid w:val="00E70B03"/>
    <w:rsid w:val="00E70EDE"/>
    <w:rsid w:val="00E72BD1"/>
    <w:rsid w:val="00E74DB4"/>
    <w:rsid w:val="00E75A3C"/>
    <w:rsid w:val="00E77785"/>
    <w:rsid w:val="00E80255"/>
    <w:rsid w:val="00E805B1"/>
    <w:rsid w:val="00E80620"/>
    <w:rsid w:val="00E8147D"/>
    <w:rsid w:val="00E81D6E"/>
    <w:rsid w:val="00E82D11"/>
    <w:rsid w:val="00E8300F"/>
    <w:rsid w:val="00E832E0"/>
    <w:rsid w:val="00E84332"/>
    <w:rsid w:val="00E846FF"/>
    <w:rsid w:val="00E84C1A"/>
    <w:rsid w:val="00E91CA8"/>
    <w:rsid w:val="00E926A4"/>
    <w:rsid w:val="00E92D87"/>
    <w:rsid w:val="00E940ED"/>
    <w:rsid w:val="00E944F4"/>
    <w:rsid w:val="00E945EF"/>
    <w:rsid w:val="00E94855"/>
    <w:rsid w:val="00E9582E"/>
    <w:rsid w:val="00E95E2E"/>
    <w:rsid w:val="00E95EB9"/>
    <w:rsid w:val="00E97615"/>
    <w:rsid w:val="00EA1DE3"/>
    <w:rsid w:val="00EA2351"/>
    <w:rsid w:val="00EA298A"/>
    <w:rsid w:val="00EA2B73"/>
    <w:rsid w:val="00EA4912"/>
    <w:rsid w:val="00EA5018"/>
    <w:rsid w:val="00EA6A98"/>
    <w:rsid w:val="00EA6D0E"/>
    <w:rsid w:val="00EB0162"/>
    <w:rsid w:val="00EB124A"/>
    <w:rsid w:val="00EB1630"/>
    <w:rsid w:val="00EB2B21"/>
    <w:rsid w:val="00EB2B72"/>
    <w:rsid w:val="00EB398F"/>
    <w:rsid w:val="00EB493C"/>
    <w:rsid w:val="00EB5118"/>
    <w:rsid w:val="00EB77EA"/>
    <w:rsid w:val="00EB7E86"/>
    <w:rsid w:val="00EB7EE2"/>
    <w:rsid w:val="00EC0BFA"/>
    <w:rsid w:val="00EC103C"/>
    <w:rsid w:val="00EC1D2A"/>
    <w:rsid w:val="00EC603C"/>
    <w:rsid w:val="00EC71B4"/>
    <w:rsid w:val="00EC74CD"/>
    <w:rsid w:val="00EC781D"/>
    <w:rsid w:val="00ED0809"/>
    <w:rsid w:val="00ED0B81"/>
    <w:rsid w:val="00ED0D5F"/>
    <w:rsid w:val="00ED11F6"/>
    <w:rsid w:val="00ED150F"/>
    <w:rsid w:val="00ED1BD6"/>
    <w:rsid w:val="00ED2320"/>
    <w:rsid w:val="00ED23EC"/>
    <w:rsid w:val="00ED284C"/>
    <w:rsid w:val="00ED3558"/>
    <w:rsid w:val="00ED3D12"/>
    <w:rsid w:val="00ED5088"/>
    <w:rsid w:val="00ED5685"/>
    <w:rsid w:val="00ED5B54"/>
    <w:rsid w:val="00ED5C72"/>
    <w:rsid w:val="00ED5FDC"/>
    <w:rsid w:val="00ED61C7"/>
    <w:rsid w:val="00ED643A"/>
    <w:rsid w:val="00ED651E"/>
    <w:rsid w:val="00ED6EF2"/>
    <w:rsid w:val="00ED7C82"/>
    <w:rsid w:val="00EE0696"/>
    <w:rsid w:val="00EE4232"/>
    <w:rsid w:val="00EE4362"/>
    <w:rsid w:val="00EE56E6"/>
    <w:rsid w:val="00EE6422"/>
    <w:rsid w:val="00EE6AAD"/>
    <w:rsid w:val="00EE6EBE"/>
    <w:rsid w:val="00EE714B"/>
    <w:rsid w:val="00EE75D5"/>
    <w:rsid w:val="00EF02FD"/>
    <w:rsid w:val="00EF03FD"/>
    <w:rsid w:val="00EF0467"/>
    <w:rsid w:val="00EF0CF0"/>
    <w:rsid w:val="00EF3837"/>
    <w:rsid w:val="00EF3D45"/>
    <w:rsid w:val="00EF3DC3"/>
    <w:rsid w:val="00EF3FC2"/>
    <w:rsid w:val="00EF5ACA"/>
    <w:rsid w:val="00EF64C2"/>
    <w:rsid w:val="00EF7C09"/>
    <w:rsid w:val="00F012E5"/>
    <w:rsid w:val="00F013CA"/>
    <w:rsid w:val="00F01B05"/>
    <w:rsid w:val="00F0205D"/>
    <w:rsid w:val="00F037E4"/>
    <w:rsid w:val="00F04C5A"/>
    <w:rsid w:val="00F054DC"/>
    <w:rsid w:val="00F05555"/>
    <w:rsid w:val="00F059F8"/>
    <w:rsid w:val="00F05CA8"/>
    <w:rsid w:val="00F06550"/>
    <w:rsid w:val="00F10644"/>
    <w:rsid w:val="00F106EA"/>
    <w:rsid w:val="00F1475E"/>
    <w:rsid w:val="00F14A8E"/>
    <w:rsid w:val="00F15900"/>
    <w:rsid w:val="00F1713A"/>
    <w:rsid w:val="00F175B6"/>
    <w:rsid w:val="00F17A72"/>
    <w:rsid w:val="00F20850"/>
    <w:rsid w:val="00F208B1"/>
    <w:rsid w:val="00F22100"/>
    <w:rsid w:val="00F229D1"/>
    <w:rsid w:val="00F23D35"/>
    <w:rsid w:val="00F268D9"/>
    <w:rsid w:val="00F30CF0"/>
    <w:rsid w:val="00F33E90"/>
    <w:rsid w:val="00F34CBB"/>
    <w:rsid w:val="00F36AFD"/>
    <w:rsid w:val="00F37204"/>
    <w:rsid w:val="00F3745E"/>
    <w:rsid w:val="00F37C8E"/>
    <w:rsid w:val="00F37DE6"/>
    <w:rsid w:val="00F40066"/>
    <w:rsid w:val="00F4167B"/>
    <w:rsid w:val="00F443A3"/>
    <w:rsid w:val="00F44F7B"/>
    <w:rsid w:val="00F45AE3"/>
    <w:rsid w:val="00F47FEA"/>
    <w:rsid w:val="00F50583"/>
    <w:rsid w:val="00F50A15"/>
    <w:rsid w:val="00F51C59"/>
    <w:rsid w:val="00F5390D"/>
    <w:rsid w:val="00F5399B"/>
    <w:rsid w:val="00F56624"/>
    <w:rsid w:val="00F57621"/>
    <w:rsid w:val="00F57AE7"/>
    <w:rsid w:val="00F57C7E"/>
    <w:rsid w:val="00F57C9D"/>
    <w:rsid w:val="00F57DCF"/>
    <w:rsid w:val="00F60243"/>
    <w:rsid w:val="00F607FB"/>
    <w:rsid w:val="00F60D0A"/>
    <w:rsid w:val="00F61379"/>
    <w:rsid w:val="00F646F8"/>
    <w:rsid w:val="00F651F0"/>
    <w:rsid w:val="00F674CC"/>
    <w:rsid w:val="00F726C9"/>
    <w:rsid w:val="00F743F0"/>
    <w:rsid w:val="00F76660"/>
    <w:rsid w:val="00F77563"/>
    <w:rsid w:val="00F8049C"/>
    <w:rsid w:val="00F830A8"/>
    <w:rsid w:val="00F87108"/>
    <w:rsid w:val="00F87819"/>
    <w:rsid w:val="00F878A6"/>
    <w:rsid w:val="00F90715"/>
    <w:rsid w:val="00F9097C"/>
    <w:rsid w:val="00F910AC"/>
    <w:rsid w:val="00F9114B"/>
    <w:rsid w:val="00F92B64"/>
    <w:rsid w:val="00F93111"/>
    <w:rsid w:val="00F9318B"/>
    <w:rsid w:val="00F93578"/>
    <w:rsid w:val="00F94EA3"/>
    <w:rsid w:val="00F95229"/>
    <w:rsid w:val="00F9586C"/>
    <w:rsid w:val="00F973F8"/>
    <w:rsid w:val="00F97695"/>
    <w:rsid w:val="00F979D7"/>
    <w:rsid w:val="00FA09BA"/>
    <w:rsid w:val="00FA1026"/>
    <w:rsid w:val="00FA10EC"/>
    <w:rsid w:val="00FA2159"/>
    <w:rsid w:val="00FA2BAB"/>
    <w:rsid w:val="00FA2BED"/>
    <w:rsid w:val="00FA300C"/>
    <w:rsid w:val="00FA3332"/>
    <w:rsid w:val="00FA4C9E"/>
    <w:rsid w:val="00FA5944"/>
    <w:rsid w:val="00FA6A64"/>
    <w:rsid w:val="00FA7B04"/>
    <w:rsid w:val="00FB01B7"/>
    <w:rsid w:val="00FB21EC"/>
    <w:rsid w:val="00FB2F6C"/>
    <w:rsid w:val="00FB3B45"/>
    <w:rsid w:val="00FB6269"/>
    <w:rsid w:val="00FB79C9"/>
    <w:rsid w:val="00FB7AA4"/>
    <w:rsid w:val="00FB7BE7"/>
    <w:rsid w:val="00FB7C2C"/>
    <w:rsid w:val="00FC0541"/>
    <w:rsid w:val="00FC0F79"/>
    <w:rsid w:val="00FC16C6"/>
    <w:rsid w:val="00FC19DC"/>
    <w:rsid w:val="00FC3AED"/>
    <w:rsid w:val="00FC419E"/>
    <w:rsid w:val="00FC51DF"/>
    <w:rsid w:val="00FC6AD6"/>
    <w:rsid w:val="00FC7546"/>
    <w:rsid w:val="00FD036D"/>
    <w:rsid w:val="00FD0819"/>
    <w:rsid w:val="00FD0E48"/>
    <w:rsid w:val="00FD1158"/>
    <w:rsid w:val="00FD1658"/>
    <w:rsid w:val="00FD1A75"/>
    <w:rsid w:val="00FD20BE"/>
    <w:rsid w:val="00FD39EB"/>
    <w:rsid w:val="00FD49DA"/>
    <w:rsid w:val="00FD4B01"/>
    <w:rsid w:val="00FD55DE"/>
    <w:rsid w:val="00FD64D1"/>
    <w:rsid w:val="00FD64D5"/>
    <w:rsid w:val="00FD7895"/>
    <w:rsid w:val="00FE02BF"/>
    <w:rsid w:val="00FE0AEA"/>
    <w:rsid w:val="00FE1AFF"/>
    <w:rsid w:val="00FE2325"/>
    <w:rsid w:val="00FE2CC5"/>
    <w:rsid w:val="00FE37EF"/>
    <w:rsid w:val="00FE382B"/>
    <w:rsid w:val="00FE5627"/>
    <w:rsid w:val="00FE64B9"/>
    <w:rsid w:val="00FE68B7"/>
    <w:rsid w:val="00FE7770"/>
    <w:rsid w:val="00FF0930"/>
    <w:rsid w:val="00FF0E51"/>
    <w:rsid w:val="00FF134C"/>
    <w:rsid w:val="00FF2180"/>
    <w:rsid w:val="00FF2B63"/>
    <w:rsid w:val="00FF33A7"/>
    <w:rsid w:val="00FF3F92"/>
    <w:rsid w:val="00FF42F7"/>
    <w:rsid w:val="00FF67FC"/>
    <w:rsid w:val="00FF722D"/>
    <w:rsid w:val="00FF74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ECE5E14"/>
  <w15:chartTrackingRefBased/>
  <w15:docId w15:val="{28B3494C-7B52-4BC7-AEA1-889B118F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574C7A"/>
    <w:rPr>
      <w:sz w:val="24"/>
      <w:lang w:eastAsia="en-US"/>
    </w:rPr>
  </w:style>
  <w:style w:type="paragraph" w:styleId="Otsikko1">
    <w:name w:val="heading 1"/>
    <w:basedOn w:val="Normaali"/>
    <w:next w:val="Normaali"/>
    <w:qFormat/>
    <w:rsid w:val="00412DDA"/>
    <w:pPr>
      <w:keepNext/>
      <w:spacing w:before="240" w:after="60"/>
      <w:outlineLvl w:val="0"/>
    </w:pPr>
    <w:rPr>
      <w:rFonts w:ascii="Arial" w:hAnsi="Arial" w:cs="Arial"/>
      <w:b/>
      <w:bCs/>
      <w:kern w:val="32"/>
      <w:sz w:val="32"/>
      <w:szCs w:val="32"/>
    </w:rPr>
  </w:style>
  <w:style w:type="paragraph" w:styleId="Otsikko2">
    <w:name w:val="heading 2"/>
    <w:basedOn w:val="Normaali"/>
    <w:next w:val="Normaali"/>
    <w:qFormat/>
    <w:rsid w:val="005D047B"/>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412DDA"/>
    <w:pPr>
      <w:keepNext/>
      <w:spacing w:before="240" w:after="60"/>
      <w:outlineLvl w:val="2"/>
    </w:pPr>
    <w:rPr>
      <w:rFonts w:ascii="Arial" w:hAnsi="Arial" w:cs="Arial"/>
      <w:b/>
      <w:bCs/>
      <w:sz w:val="26"/>
      <w:szCs w:val="26"/>
    </w:rPr>
  </w:style>
  <w:style w:type="paragraph" w:styleId="Otsikko4">
    <w:name w:val="heading 4"/>
    <w:basedOn w:val="Normaali"/>
    <w:next w:val="Normaali"/>
    <w:qFormat/>
    <w:rsid w:val="00412DDA"/>
    <w:pPr>
      <w:keepNext/>
      <w:spacing w:before="240" w:after="60"/>
      <w:outlineLvl w:val="3"/>
    </w:pPr>
    <w:rPr>
      <w:b/>
      <w:bCs/>
      <w:sz w:val="28"/>
      <w:szCs w:val="28"/>
    </w:rPr>
  </w:style>
  <w:style w:type="paragraph" w:styleId="Otsikko5">
    <w:name w:val="heading 5"/>
    <w:basedOn w:val="Normaali"/>
    <w:next w:val="Normaali"/>
    <w:qFormat/>
    <w:rsid w:val="00412DDA"/>
    <w:pPr>
      <w:spacing w:before="240" w:after="60"/>
      <w:outlineLvl w:val="4"/>
    </w:pPr>
    <w:rPr>
      <w:b/>
      <w:bCs/>
      <w:i/>
      <w:iCs/>
      <w:sz w:val="26"/>
      <w:szCs w:val="26"/>
    </w:rPr>
  </w:style>
  <w:style w:type="paragraph" w:styleId="Otsikko6">
    <w:name w:val="heading 6"/>
    <w:basedOn w:val="Normaali"/>
    <w:next w:val="Normaali"/>
    <w:qFormat/>
    <w:rsid w:val="00412DDA"/>
    <w:pPr>
      <w:spacing w:before="240" w:after="60"/>
      <w:outlineLvl w:val="5"/>
    </w:pPr>
    <w:rPr>
      <w:b/>
      <w:bCs/>
      <w:sz w:val="22"/>
      <w:szCs w:val="22"/>
    </w:rPr>
  </w:style>
  <w:style w:type="paragraph" w:styleId="Otsikko7">
    <w:name w:val="heading 7"/>
    <w:basedOn w:val="Normaali"/>
    <w:next w:val="Normaali"/>
    <w:qFormat/>
    <w:rsid w:val="00412DDA"/>
    <w:pPr>
      <w:spacing w:before="240" w:after="60"/>
      <w:outlineLvl w:val="6"/>
    </w:pPr>
  </w:style>
  <w:style w:type="paragraph" w:styleId="Otsikko8">
    <w:name w:val="heading 8"/>
    <w:basedOn w:val="Normaali"/>
    <w:next w:val="Normaali"/>
    <w:qFormat/>
    <w:rsid w:val="00412DDA"/>
    <w:pPr>
      <w:spacing w:before="240" w:after="60"/>
      <w:outlineLvl w:val="7"/>
    </w:pPr>
    <w:rPr>
      <w:i/>
      <w:iCs/>
    </w:rPr>
  </w:style>
  <w:style w:type="paragraph" w:styleId="Otsikko9">
    <w:name w:val="heading 9"/>
    <w:basedOn w:val="Normaali"/>
    <w:next w:val="Normaali"/>
    <w:qFormat/>
    <w:rsid w:val="00412DDA"/>
    <w:p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pPr>
  </w:style>
  <w:style w:type="character" w:styleId="Sivunumero">
    <w:name w:val="page number"/>
    <w:basedOn w:val="Kappaleenoletusfontti"/>
    <w:rsid w:val="00007EA2"/>
  </w:style>
  <w:style w:type="paragraph" w:customStyle="1" w:styleId="LLNormaali">
    <w:name w:val="LLNormaali"/>
    <w:rsid w:val="006E56A2"/>
    <w:pPr>
      <w:spacing w:line="220" w:lineRule="exact"/>
    </w:pPr>
    <w:rPr>
      <w:sz w:val="22"/>
      <w:szCs w:val="24"/>
    </w:rPr>
  </w:style>
  <w:style w:type="paragraph" w:styleId="Alatunniste">
    <w:name w:val="footer"/>
    <w:basedOn w:val="Normaali"/>
    <w:rsid w:val="002B712B"/>
    <w:pPr>
      <w:tabs>
        <w:tab w:val="center" w:pos="4819"/>
        <w:tab w:val="right" w:pos="9638"/>
      </w:tabs>
    </w:pPr>
  </w:style>
  <w:style w:type="paragraph" w:customStyle="1" w:styleId="LLKappalejako">
    <w:name w:val="LLKappalejako"/>
    <w:link w:val="LLKappalejakoChar"/>
    <w:autoRedefine/>
    <w:rsid w:val="005224A0"/>
    <w:pPr>
      <w:spacing w:line="220" w:lineRule="exact"/>
      <w:ind w:firstLine="170"/>
      <w:jc w:val="both"/>
    </w:pPr>
    <w:rPr>
      <w:sz w:val="22"/>
      <w:szCs w:val="24"/>
    </w:rPr>
  </w:style>
  <w:style w:type="character" w:customStyle="1" w:styleId="LLKappalejakoChar">
    <w:name w:val="LLKappalejako Char"/>
    <w:link w:val="LLKappalejako"/>
    <w:locked/>
    <w:rsid w:val="005224A0"/>
    <w:rPr>
      <w:sz w:val="22"/>
      <w:szCs w:val="24"/>
      <w:lang w:val="fi-FI" w:eastAsia="fi-FI" w:bidi="ar-SA"/>
    </w:rPr>
  </w:style>
  <w:style w:type="table" w:styleId="TaulukkoRuudukko">
    <w:name w:val="Table Grid"/>
    <w:basedOn w:val="Normaalitaulukko"/>
    <w:uiPriority w:val="59"/>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B20B4D"/>
    <w:pPr>
      <w:spacing w:line="220" w:lineRule="exact"/>
      <w:ind w:left="567" w:firstLine="170"/>
      <w:jc w:val="both"/>
    </w:pPr>
    <w:rPr>
      <w:i/>
      <w:sz w:val="22"/>
      <w:szCs w:val="24"/>
    </w:rPr>
  </w:style>
  <w:style w:type="paragraph" w:customStyle="1" w:styleId="LLPykala">
    <w:name w:val="LLPykala"/>
    <w:next w:val="LLNormaali"/>
    <w:rsid w:val="00872E1F"/>
    <w:pPr>
      <w:spacing w:line="220" w:lineRule="exact"/>
      <w:jc w:val="center"/>
    </w:pPr>
    <w:rPr>
      <w:sz w:val="22"/>
      <w:szCs w:val="24"/>
    </w:rPr>
  </w:style>
  <w:style w:type="paragraph" w:customStyle="1" w:styleId="LLPykalanOtsikko">
    <w:name w:val="LLPykalanOtsikko"/>
    <w:next w:val="LLNormaali"/>
    <w:rsid w:val="00525752"/>
    <w:pPr>
      <w:spacing w:before="220" w:after="220" w:line="220" w:lineRule="exact"/>
      <w:jc w:val="center"/>
    </w:pPr>
    <w:rPr>
      <w:i/>
      <w:sz w:val="22"/>
      <w:szCs w:val="24"/>
    </w:rPr>
  </w:style>
  <w:style w:type="paragraph" w:customStyle="1" w:styleId="LLLuku">
    <w:name w:val="LLLuku"/>
    <w:next w:val="LLNormaali"/>
    <w:rsid w:val="007E2B56"/>
    <w:pPr>
      <w:spacing w:after="220" w:line="220" w:lineRule="exact"/>
      <w:jc w:val="center"/>
    </w:pPr>
    <w:rPr>
      <w:sz w:val="22"/>
      <w:szCs w:val="24"/>
    </w:rPr>
  </w:style>
  <w:style w:type="paragraph" w:customStyle="1" w:styleId="LLLuvunOtsikko">
    <w:name w:val="LLLuvunOtsikko"/>
    <w:next w:val="LLNormaali"/>
    <w:rsid w:val="004B741F"/>
    <w:pPr>
      <w:spacing w:after="220" w:line="220" w:lineRule="exact"/>
      <w:jc w:val="center"/>
    </w:pPr>
    <w:rPr>
      <w:b/>
      <w:sz w:val="22"/>
      <w:szCs w:val="24"/>
    </w:rPr>
  </w:style>
  <w:style w:type="paragraph" w:customStyle="1" w:styleId="LLOsa">
    <w:name w:val="LLOsa"/>
    <w:next w:val="LLNormaali"/>
    <w:rsid w:val="004300A4"/>
    <w:pPr>
      <w:spacing w:after="220" w:line="220" w:lineRule="exact"/>
      <w:jc w:val="center"/>
    </w:pPr>
    <w:rPr>
      <w:caps/>
      <w:sz w:val="22"/>
      <w:szCs w:val="24"/>
    </w:rPr>
  </w:style>
  <w:style w:type="paragraph" w:customStyle="1" w:styleId="LLOsanOtsikko">
    <w:name w:val="LLOsanOtsikko"/>
    <w:next w:val="LLNormaali"/>
    <w:rsid w:val="009B1141"/>
    <w:pPr>
      <w:spacing w:after="220" w:line="220" w:lineRule="exact"/>
      <w:jc w:val="center"/>
    </w:pPr>
    <w:rPr>
      <w:b/>
      <w:sz w:val="22"/>
      <w:szCs w:val="24"/>
    </w:rPr>
  </w:style>
  <w:style w:type="paragraph" w:customStyle="1" w:styleId="LLValiotsikko">
    <w:name w:val="LLValiotsikko"/>
    <w:next w:val="LLNormaali"/>
    <w:rsid w:val="00A6367D"/>
    <w:pPr>
      <w:spacing w:after="220" w:line="220" w:lineRule="exact"/>
      <w:jc w:val="center"/>
    </w:pPr>
    <w:rPr>
      <w:i/>
      <w:sz w:val="22"/>
      <w:szCs w:val="24"/>
    </w:rPr>
  </w:style>
  <w:style w:type="paragraph" w:customStyle="1" w:styleId="LLVoimaantulokappale">
    <w:name w:val="LLVoimaantulokappale"/>
    <w:rsid w:val="004D328B"/>
    <w:pPr>
      <w:spacing w:line="220" w:lineRule="exact"/>
      <w:ind w:firstLine="170"/>
      <w:jc w:val="both"/>
    </w:pPr>
    <w:rPr>
      <w:sz w:val="22"/>
      <w:szCs w:val="24"/>
    </w:rPr>
  </w:style>
  <w:style w:type="paragraph" w:customStyle="1" w:styleId="LLMomentinJohdantoKappale">
    <w:name w:val="LLMomentinJohdantoKappale"/>
    <w:rsid w:val="001C2301"/>
    <w:pPr>
      <w:spacing w:line="220" w:lineRule="exact"/>
      <w:ind w:firstLine="170"/>
      <w:jc w:val="both"/>
    </w:pPr>
    <w:rPr>
      <w:sz w:val="22"/>
      <w:szCs w:val="24"/>
    </w:rPr>
  </w:style>
  <w:style w:type="paragraph" w:customStyle="1" w:styleId="LLMomentinKohta">
    <w:name w:val="LLMomentinKohta"/>
    <w:rsid w:val="00CA77FB"/>
    <w:pPr>
      <w:spacing w:line="220" w:lineRule="exact"/>
      <w:ind w:firstLine="170"/>
      <w:jc w:val="both"/>
    </w:pPr>
    <w:rPr>
      <w:sz w:val="22"/>
      <w:szCs w:val="24"/>
    </w:rPr>
  </w:style>
  <w:style w:type="paragraph" w:customStyle="1" w:styleId="LLMomentinAlakohta">
    <w:name w:val="LLMomentinAlakohta"/>
    <w:rsid w:val="000F71FD"/>
    <w:pPr>
      <w:spacing w:line="220" w:lineRule="exact"/>
      <w:ind w:firstLine="170"/>
      <w:jc w:val="both"/>
    </w:pPr>
    <w:rPr>
      <w:sz w:val="22"/>
      <w:szCs w:val="24"/>
    </w:rPr>
  </w:style>
  <w:style w:type="paragraph" w:customStyle="1" w:styleId="LLPaivays">
    <w:name w:val="LLPaivays"/>
    <w:next w:val="LLNormaali"/>
    <w:rsid w:val="00185F2E"/>
    <w:pPr>
      <w:spacing w:after="220" w:line="220" w:lineRule="exact"/>
    </w:pPr>
    <w:rPr>
      <w:sz w:val="22"/>
      <w:szCs w:val="24"/>
    </w:rPr>
  </w:style>
  <w:style w:type="paragraph" w:customStyle="1" w:styleId="LLLakiehdotukset">
    <w:name w:val="LLLakiehdotukset"/>
    <w:next w:val="LLNormaali"/>
    <w:rsid w:val="00BB70AC"/>
    <w:pPr>
      <w:spacing w:line="220" w:lineRule="exact"/>
      <w:ind w:left="6691"/>
      <w:outlineLvl w:val="0"/>
    </w:pPr>
    <w:rPr>
      <w:i/>
      <w:sz w:val="22"/>
      <w:szCs w:val="24"/>
    </w:rPr>
  </w:style>
  <w:style w:type="paragraph" w:customStyle="1" w:styleId="LLRinnakkaistekstit">
    <w:name w:val="LLRinnakkaistekstit"/>
    <w:next w:val="LLNormaali"/>
    <w:rsid w:val="007264E0"/>
    <w:pPr>
      <w:spacing w:line="220" w:lineRule="exact"/>
      <w:ind w:left="6691"/>
      <w:outlineLvl w:val="0"/>
    </w:pPr>
    <w:rPr>
      <w:i/>
      <w:sz w:val="22"/>
      <w:szCs w:val="24"/>
    </w:rPr>
  </w:style>
  <w:style w:type="paragraph" w:customStyle="1" w:styleId="LLAsetusluonnokset">
    <w:name w:val="LLAsetusluonnokset"/>
    <w:next w:val="LLNormaali"/>
    <w:rsid w:val="00024B6D"/>
    <w:pPr>
      <w:spacing w:line="220" w:lineRule="exact"/>
      <w:ind w:left="6691"/>
      <w:outlineLvl w:val="0"/>
    </w:pPr>
    <w:rPr>
      <w:i/>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Liite">
    <w:name w:val="LLLiite"/>
    <w:next w:val="LLNormaali"/>
    <w:rsid w:val="003C65E6"/>
    <w:pPr>
      <w:spacing w:line="220" w:lineRule="exact"/>
      <w:ind w:left="6691"/>
      <w:outlineLvl w:val="0"/>
    </w:pPr>
    <w:rPr>
      <w:i/>
      <w:sz w:val="22"/>
      <w:szCs w:val="24"/>
    </w:rPr>
  </w:style>
  <w:style w:type="paragraph" w:customStyle="1" w:styleId="LLLainNumero">
    <w:name w:val="LLLainNumero"/>
    <w:next w:val="LLNormaali"/>
    <w:rsid w:val="00956EB7"/>
    <w:pPr>
      <w:spacing w:before="220" w:after="220" w:line="320" w:lineRule="exact"/>
    </w:pPr>
    <w:rPr>
      <w:b/>
      <w:sz w:val="30"/>
      <w:szCs w:val="24"/>
    </w:rPr>
  </w:style>
  <w:style w:type="paragraph" w:customStyle="1" w:styleId="LLLaki">
    <w:name w:val="LLLaki"/>
    <w:next w:val="LLNormaali"/>
    <w:rsid w:val="00F93111"/>
    <w:pPr>
      <w:spacing w:before="220" w:after="220" w:line="320" w:lineRule="exact"/>
      <w:jc w:val="center"/>
    </w:pPr>
    <w:rPr>
      <w:b/>
      <w:spacing w:val="22"/>
      <w:sz w:val="30"/>
      <w:szCs w:val="24"/>
    </w:rPr>
  </w:style>
  <w:style w:type="paragraph" w:customStyle="1" w:styleId="LLLakiYhdyssanaOtsikko">
    <w:name w:val="LLLakiYhdyssanaOtsikko"/>
    <w:next w:val="LLNormaali"/>
    <w:rsid w:val="00A34650"/>
    <w:pPr>
      <w:spacing w:after="220" w:line="320" w:lineRule="exact"/>
      <w:jc w:val="center"/>
      <w:outlineLvl w:val="2"/>
    </w:pPr>
    <w:rPr>
      <w:b/>
      <w:sz w:val="30"/>
      <w:szCs w:val="24"/>
    </w:rPr>
  </w:style>
  <w:style w:type="paragraph" w:customStyle="1" w:styleId="LLTPnAsetus">
    <w:name w:val="LLTPnAsetus"/>
    <w:next w:val="LLNormaali"/>
    <w:rsid w:val="00A34650"/>
    <w:pPr>
      <w:spacing w:after="220" w:line="320" w:lineRule="exact"/>
      <w:jc w:val="center"/>
    </w:pPr>
    <w:rPr>
      <w:b/>
      <w:sz w:val="30"/>
      <w:szCs w:val="24"/>
    </w:rPr>
  </w:style>
  <w:style w:type="paragraph" w:customStyle="1" w:styleId="LLValtioneuvostonAsetus">
    <w:name w:val="LLValtioneuvostonAsetus"/>
    <w:next w:val="LLNormaali"/>
    <w:rsid w:val="00A34650"/>
    <w:pPr>
      <w:spacing w:after="220" w:line="320" w:lineRule="exact"/>
      <w:jc w:val="center"/>
    </w:pPr>
    <w:rPr>
      <w:b/>
      <w:sz w:val="30"/>
      <w:szCs w:val="24"/>
    </w:rPr>
  </w:style>
  <w:style w:type="paragraph" w:customStyle="1" w:styleId="LLMinisterionAsetus">
    <w:name w:val="LLMinisterionAsetus"/>
    <w:next w:val="LLNormaali"/>
    <w:rsid w:val="00420AF8"/>
    <w:pPr>
      <w:spacing w:after="220" w:line="320" w:lineRule="exact"/>
      <w:jc w:val="center"/>
    </w:pPr>
    <w:rPr>
      <w:b/>
      <w:sz w:val="30"/>
      <w:szCs w:val="24"/>
    </w:rPr>
  </w:style>
  <w:style w:type="paragraph" w:customStyle="1" w:styleId="LLMuuSaadosOtsikko">
    <w:name w:val="LLMuuSaadosOtsikko"/>
    <w:next w:val="LLNormaali"/>
    <w:rsid w:val="00392B9C"/>
    <w:pPr>
      <w:spacing w:before="220" w:after="220" w:line="320" w:lineRule="exact"/>
      <w:contextualSpacing/>
      <w:jc w:val="center"/>
    </w:pPr>
    <w:rPr>
      <w:b/>
      <w:sz w:val="30"/>
      <w:szCs w:val="24"/>
    </w:rPr>
  </w:style>
  <w:style w:type="paragraph" w:customStyle="1" w:styleId="LLSaadoksenNimi">
    <w:name w:val="LLSaadoksenNimi"/>
    <w:next w:val="L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LLNormaali"/>
    <w:rsid w:val="00C820E8"/>
    <w:pPr>
      <w:spacing w:after="220" w:line="220" w:lineRule="exact"/>
      <w:outlineLvl w:val="0"/>
    </w:pPr>
    <w:rPr>
      <w:b/>
      <w:caps/>
      <w:sz w:val="21"/>
      <w:szCs w:val="24"/>
    </w:rPr>
  </w:style>
  <w:style w:type="paragraph" w:customStyle="1" w:styleId="LLperustelut">
    <w:name w:val="LLperustelut"/>
    <w:next w:val="LLNormaali"/>
    <w:rsid w:val="00C820E8"/>
    <w:pPr>
      <w:spacing w:after="220" w:line="220" w:lineRule="exact"/>
      <w:outlineLvl w:val="0"/>
    </w:pPr>
    <w:rPr>
      <w:b/>
      <w:caps/>
      <w:sz w:val="21"/>
      <w:szCs w:val="24"/>
    </w:rPr>
  </w:style>
  <w:style w:type="paragraph" w:customStyle="1" w:styleId="LLYleisperustelut">
    <w:name w:val="LLYleisperustelut"/>
    <w:next w:val="LLNormaali"/>
    <w:rsid w:val="00C820E8"/>
    <w:pPr>
      <w:spacing w:after="220" w:line="220" w:lineRule="exact"/>
      <w:outlineLvl w:val="0"/>
    </w:pPr>
    <w:rPr>
      <w:b/>
      <w:caps/>
      <w:sz w:val="21"/>
      <w:szCs w:val="24"/>
    </w:rPr>
  </w:style>
  <w:style w:type="paragraph" w:customStyle="1" w:styleId="LLYksityiskohtaisetperustelut">
    <w:name w:val="LLYksityiskohtaisetperustelut"/>
    <w:next w:val="LLNormaali"/>
    <w:rsid w:val="00C820E8"/>
    <w:pPr>
      <w:spacing w:after="220" w:line="220" w:lineRule="exact"/>
      <w:outlineLvl w:val="0"/>
    </w:pPr>
    <w:rPr>
      <w:b/>
      <w:caps/>
      <w:sz w:val="21"/>
      <w:szCs w:val="24"/>
    </w:rPr>
  </w:style>
  <w:style w:type="paragraph" w:customStyle="1" w:styleId="LLValtiosopimuksennimi">
    <w:name w:val="LLValtiosopimuksennimi"/>
    <w:next w:val="LLNormaali"/>
    <w:rsid w:val="00C820E8"/>
    <w:pPr>
      <w:spacing w:before="220" w:after="440" w:line="220" w:lineRule="exact"/>
      <w:ind w:left="3119"/>
      <w:jc w:val="both"/>
    </w:pPr>
    <w:rPr>
      <w:b/>
      <w:sz w:val="21"/>
      <w:szCs w:val="24"/>
    </w:rPr>
  </w:style>
  <w:style w:type="paragraph" w:customStyle="1" w:styleId="LL1Otsikkotaso">
    <w:name w:val="LL1Otsikkotaso"/>
    <w:next w:val="LLNormaali"/>
    <w:rsid w:val="00061FE7"/>
    <w:pPr>
      <w:numPr>
        <w:numId w:val="4"/>
      </w:numPr>
      <w:spacing w:after="220" w:line="220" w:lineRule="exact"/>
      <w:outlineLvl w:val="1"/>
    </w:pPr>
    <w:rPr>
      <w:b/>
      <w:spacing w:val="22"/>
      <w:sz w:val="21"/>
      <w:szCs w:val="24"/>
    </w:rPr>
  </w:style>
  <w:style w:type="paragraph" w:customStyle="1" w:styleId="LL2Otsikkotaso">
    <w:name w:val="LL2Otsikkotaso"/>
    <w:next w:val="LLNormaali"/>
    <w:rsid w:val="00722E11"/>
    <w:pPr>
      <w:numPr>
        <w:ilvl w:val="1"/>
        <w:numId w:val="4"/>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4752C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4752C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4752C5"/>
    <w:pPr>
      <w:spacing w:after="220" w:line="220" w:lineRule="exact"/>
      <w:ind w:left="1134" w:hanging="1134"/>
      <w:outlineLvl w:val="2"/>
    </w:pPr>
    <w:rPr>
      <w:sz w:val="22"/>
      <w:szCs w:val="24"/>
    </w:rPr>
  </w:style>
  <w:style w:type="paragraph" w:customStyle="1" w:styleId="LLP1Otsikkotaso">
    <w:name w:val="LLP1Otsikkotaso"/>
    <w:next w:val="LLNormaali"/>
    <w:rsid w:val="00C6092A"/>
    <w:pPr>
      <w:numPr>
        <w:ilvl w:val="1"/>
        <w:numId w:val="1"/>
      </w:numPr>
      <w:spacing w:after="220" w:line="220" w:lineRule="exact"/>
      <w:outlineLvl w:val="1"/>
    </w:pPr>
    <w:rPr>
      <w:b/>
      <w:spacing w:val="22"/>
      <w:sz w:val="21"/>
      <w:szCs w:val="24"/>
    </w:rPr>
  </w:style>
  <w:style w:type="paragraph" w:customStyle="1" w:styleId="LLP2Otsikkotaso">
    <w:name w:val="LLP2Otsikkotaso"/>
    <w:next w:val="LLNormaali"/>
    <w:rsid w:val="003741DD"/>
    <w:pPr>
      <w:numPr>
        <w:ilvl w:val="2"/>
        <w:numId w:val="1"/>
      </w:numPr>
      <w:spacing w:after="220" w:line="220" w:lineRule="exact"/>
      <w:outlineLvl w:val="2"/>
    </w:pPr>
    <w:rPr>
      <w:b/>
      <w:sz w:val="21"/>
      <w:szCs w:val="24"/>
    </w:rPr>
  </w:style>
  <w:style w:type="paragraph" w:customStyle="1" w:styleId="LLYLP1Otsikkotaso">
    <w:name w:val="LLYLP1Otsikkotaso"/>
    <w:next w:val="LLNormaali"/>
    <w:rsid w:val="00AC44C1"/>
    <w:pPr>
      <w:numPr>
        <w:numId w:val="3"/>
      </w:numPr>
      <w:spacing w:after="220" w:line="220" w:lineRule="exact"/>
      <w:ind w:left="357" w:hanging="357"/>
      <w:outlineLvl w:val="0"/>
    </w:pPr>
    <w:rPr>
      <w:b/>
      <w:spacing w:val="22"/>
      <w:sz w:val="21"/>
      <w:szCs w:val="24"/>
    </w:rPr>
  </w:style>
  <w:style w:type="paragraph" w:customStyle="1" w:styleId="LLYLP2Otsikkotaso">
    <w:name w:val="LLYLP2Otsikkotaso"/>
    <w:next w:val="LLNormaali"/>
    <w:rsid w:val="00AC44C1"/>
    <w:pPr>
      <w:numPr>
        <w:ilvl w:val="1"/>
        <w:numId w:val="3"/>
      </w:numPr>
      <w:spacing w:after="220" w:line="220" w:lineRule="exact"/>
      <w:ind w:left="680" w:hanging="680"/>
      <w:outlineLvl w:val="1"/>
    </w:pPr>
    <w:rPr>
      <w:b/>
      <w:sz w:val="21"/>
      <w:szCs w:val="24"/>
    </w:rPr>
  </w:style>
  <w:style w:type="paragraph" w:customStyle="1" w:styleId="LLYLP3Otsikkotaso">
    <w:name w:val="LLYLP3Otsikkotaso"/>
    <w:next w:val="LLNormaali"/>
    <w:rsid w:val="00172F9D"/>
    <w:pPr>
      <w:spacing w:after="220" w:line="220" w:lineRule="exact"/>
      <w:outlineLvl w:val="2"/>
    </w:pPr>
    <w:rPr>
      <w:sz w:val="22"/>
      <w:szCs w:val="24"/>
    </w:rPr>
  </w:style>
  <w:style w:type="paragraph" w:customStyle="1" w:styleId="LLYKP1Otsikkotaso">
    <w:name w:val="LLYKP1Otsikkotaso"/>
    <w:next w:val="LLNormaali"/>
    <w:rsid w:val="00A21ADC"/>
    <w:pPr>
      <w:numPr>
        <w:ilvl w:val="1"/>
        <w:numId w:val="2"/>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C752A5"/>
    <w:pPr>
      <w:numPr>
        <w:ilvl w:val="2"/>
        <w:numId w:val="2"/>
      </w:numPr>
      <w:spacing w:after="220" w:line="220" w:lineRule="exact"/>
      <w:ind w:left="680" w:hanging="680"/>
      <w:outlineLvl w:val="1"/>
    </w:pPr>
    <w:rPr>
      <w:b/>
      <w:sz w:val="21"/>
      <w:szCs w:val="24"/>
    </w:rPr>
  </w:style>
  <w:style w:type="paragraph" w:customStyle="1" w:styleId="LLPonsi">
    <w:name w:val="LLPonsi"/>
    <w:rsid w:val="00994A79"/>
    <w:pPr>
      <w:spacing w:after="220" w:line="220" w:lineRule="exact"/>
      <w:jc w:val="both"/>
    </w:pPr>
    <w:rPr>
      <w:sz w:val="22"/>
      <w:szCs w:val="24"/>
    </w:rPr>
  </w:style>
  <w:style w:type="paragraph" w:customStyle="1" w:styleId="LLEUTunnus">
    <w:name w:val="LLEUTunnus"/>
    <w:basedOn w:val="LLNormaali"/>
    <w:rsid w:val="00994A79"/>
  </w:style>
  <w:style w:type="character" w:styleId="Kommentinviite">
    <w:name w:val="annotation reference"/>
    <w:rsid w:val="00994A79"/>
    <w:rPr>
      <w:sz w:val="16"/>
      <w:szCs w:val="16"/>
    </w:rPr>
  </w:style>
  <w:style w:type="paragraph" w:customStyle="1" w:styleId="LLEsityksennimi">
    <w:name w:val="LLEsityksennimi"/>
    <w:next w:val="LLNormaali"/>
    <w:rsid w:val="00311A68"/>
    <w:pPr>
      <w:spacing w:after="220" w:line="220" w:lineRule="exact"/>
      <w:jc w:val="both"/>
    </w:pPr>
    <w:rPr>
      <w:rFonts w:cs="Arial"/>
      <w:b/>
      <w:sz w:val="21"/>
      <w:szCs w:val="24"/>
    </w:rPr>
  </w:style>
  <w:style w:type="paragraph" w:customStyle="1" w:styleId="LLPotsikko">
    <w:name w:val="LLPääotsikko"/>
    <w:next w:val="LLNormaali"/>
    <w:rsid w:val="00BC283C"/>
    <w:pPr>
      <w:spacing w:after="220" w:line="220" w:lineRule="exact"/>
    </w:pPr>
    <w:rPr>
      <w:b/>
      <w:caps/>
      <w:sz w:val="21"/>
      <w:szCs w:val="24"/>
    </w:rPr>
  </w:style>
  <w:style w:type="paragraph" w:customStyle="1" w:styleId="LLVoimaantuloPykala">
    <w:name w:val="LLVoimaantuloPykala"/>
    <w:next w:val="LLNormaali"/>
    <w:rsid w:val="00063DCC"/>
    <w:pPr>
      <w:spacing w:line="220" w:lineRule="exact"/>
      <w:jc w:val="center"/>
    </w:pPr>
    <w:rPr>
      <w:sz w:val="22"/>
      <w:szCs w:val="24"/>
    </w:rPr>
  </w:style>
  <w:style w:type="paragraph" w:customStyle="1" w:styleId="LLSisllys">
    <w:name w:val="LLSisällys"/>
    <w:next w:val="LLNormaali"/>
    <w:rsid w:val="000E2BF4"/>
    <w:pPr>
      <w:spacing w:after="220" w:line="220" w:lineRule="exact"/>
      <w:outlineLvl w:val="0"/>
    </w:pPr>
    <w:rPr>
      <w:b/>
      <w:caps/>
      <w:sz w:val="21"/>
      <w:szCs w:val="24"/>
    </w:rPr>
  </w:style>
  <w:style w:type="paragraph" w:customStyle="1" w:styleId="LLSopimusteksti">
    <w:name w:val="LLSopimusteksti"/>
    <w:next w:val="LLNormaali"/>
    <w:rsid w:val="00BC283C"/>
    <w:pPr>
      <w:spacing w:after="220" w:line="220" w:lineRule="exact"/>
      <w:ind w:left="6691"/>
      <w:outlineLvl w:val="0"/>
    </w:pPr>
    <w:rPr>
      <w:i/>
      <w:sz w:val="22"/>
      <w:szCs w:val="24"/>
    </w:rPr>
  </w:style>
  <w:style w:type="paragraph" w:customStyle="1" w:styleId="LLPytkirja">
    <w:name w:val="LLPöytäkirja"/>
    <w:next w:val="LLNormaali"/>
    <w:rsid w:val="000F5A45"/>
    <w:pPr>
      <w:spacing w:line="220" w:lineRule="exact"/>
      <w:ind w:left="6691"/>
      <w:outlineLvl w:val="0"/>
    </w:pPr>
    <w:rPr>
      <w:i/>
      <w:sz w:val="22"/>
      <w:szCs w:val="24"/>
    </w:rPr>
  </w:style>
  <w:style w:type="paragraph" w:styleId="Sisluet1">
    <w:name w:val="toc 1"/>
    <w:basedOn w:val="Normaali"/>
    <w:next w:val="Normaali"/>
    <w:autoRedefine/>
    <w:uiPriority w:val="39"/>
    <w:rsid w:val="000D1D74"/>
    <w:pPr>
      <w:tabs>
        <w:tab w:val="right" w:leader="dot" w:pos="8336"/>
      </w:tabs>
      <w:spacing w:line="220" w:lineRule="exact"/>
      <w:ind w:left="539" w:hanging="539"/>
    </w:pPr>
    <w:rPr>
      <w:bCs/>
      <w:caps/>
      <w:sz w:val="22"/>
    </w:rPr>
  </w:style>
  <w:style w:type="paragraph" w:styleId="Sisluet2">
    <w:name w:val="toc 2"/>
    <w:basedOn w:val="Normaali"/>
    <w:next w:val="Normaali"/>
    <w:autoRedefine/>
    <w:uiPriority w:val="39"/>
    <w:rsid w:val="00E261DA"/>
    <w:pPr>
      <w:tabs>
        <w:tab w:val="left" w:leader="dot" w:pos="964"/>
        <w:tab w:val="right" w:leader="dot" w:pos="8336"/>
      </w:tabs>
      <w:spacing w:line="220" w:lineRule="exact"/>
      <w:ind w:left="539" w:hanging="539"/>
    </w:pPr>
    <w:rPr>
      <w:sz w:val="22"/>
    </w:rPr>
  </w:style>
  <w:style w:type="paragraph" w:styleId="Kommentinteksti">
    <w:name w:val="annotation text"/>
    <w:basedOn w:val="Normaali"/>
    <w:link w:val="KommentintekstiChar"/>
    <w:rsid w:val="00994A79"/>
    <w:rPr>
      <w:sz w:val="20"/>
    </w:rPr>
  </w:style>
  <w:style w:type="paragraph" w:styleId="Sisluet4">
    <w:name w:val="toc 4"/>
    <w:basedOn w:val="Normaali"/>
    <w:next w:val="Normaali"/>
    <w:autoRedefine/>
    <w:semiHidden/>
    <w:rsid w:val="00AA6E8E"/>
    <w:pPr>
      <w:spacing w:line="220" w:lineRule="exact"/>
    </w:pPr>
    <w:rPr>
      <w:caps/>
      <w:sz w:val="22"/>
      <w:szCs w:val="18"/>
    </w:rPr>
  </w:style>
  <w:style w:type="paragraph" w:styleId="Sisluet5">
    <w:name w:val="toc 5"/>
    <w:basedOn w:val="Normaali"/>
    <w:next w:val="Normaali"/>
    <w:autoRedefine/>
    <w:semiHidden/>
    <w:rsid w:val="00FE7770"/>
    <w:pPr>
      <w:ind w:left="960"/>
    </w:pPr>
    <w:rPr>
      <w:sz w:val="18"/>
      <w:szCs w:val="18"/>
    </w:rPr>
  </w:style>
  <w:style w:type="paragraph" w:styleId="Sisluet6">
    <w:name w:val="toc 6"/>
    <w:basedOn w:val="Normaali"/>
    <w:next w:val="Normaali"/>
    <w:autoRedefine/>
    <w:semiHidden/>
    <w:rsid w:val="00FE7770"/>
    <w:pPr>
      <w:ind w:left="1200"/>
    </w:pPr>
    <w:rPr>
      <w:sz w:val="18"/>
      <w:szCs w:val="18"/>
    </w:rPr>
  </w:style>
  <w:style w:type="paragraph" w:styleId="Sisluet7">
    <w:name w:val="toc 7"/>
    <w:basedOn w:val="Normaali"/>
    <w:next w:val="Normaali"/>
    <w:autoRedefine/>
    <w:semiHidden/>
    <w:rsid w:val="00FE7770"/>
    <w:pPr>
      <w:ind w:left="1440"/>
    </w:pPr>
    <w:rPr>
      <w:sz w:val="18"/>
      <w:szCs w:val="18"/>
    </w:rPr>
  </w:style>
  <w:style w:type="paragraph" w:styleId="Sisluet8">
    <w:name w:val="toc 8"/>
    <w:basedOn w:val="Normaali"/>
    <w:next w:val="Normaali"/>
    <w:autoRedefine/>
    <w:semiHidden/>
    <w:rsid w:val="00FE7770"/>
    <w:pPr>
      <w:ind w:left="1680"/>
    </w:pPr>
    <w:rPr>
      <w:sz w:val="18"/>
      <w:szCs w:val="18"/>
    </w:rPr>
  </w:style>
  <w:style w:type="paragraph" w:styleId="Sisluet9">
    <w:name w:val="toc 9"/>
    <w:basedOn w:val="Normaali"/>
    <w:next w:val="Normaali"/>
    <w:autoRedefine/>
    <w:semiHidden/>
    <w:rsid w:val="00FE7770"/>
    <w:pPr>
      <w:ind w:left="1920"/>
    </w:pPr>
    <w:rPr>
      <w:sz w:val="18"/>
      <w:szCs w:val="18"/>
    </w:rPr>
  </w:style>
  <w:style w:type="character" w:styleId="Hyperlinkki">
    <w:name w:val="Hyperlink"/>
    <w:uiPriority w:val="99"/>
    <w:rsid w:val="00FE7770"/>
    <w:rPr>
      <w:color w:val="0000FF"/>
      <w:u w:val="single"/>
    </w:rPr>
  </w:style>
  <w:style w:type="paragraph" w:customStyle="1" w:styleId="LLJohtolauseKappaleet">
    <w:name w:val="LLJohtolauseKappaleet"/>
    <w:rsid w:val="000D5454"/>
    <w:pPr>
      <w:spacing w:line="220" w:lineRule="exact"/>
      <w:ind w:firstLine="170"/>
      <w:jc w:val="both"/>
    </w:pPr>
    <w:rPr>
      <w:sz w:val="22"/>
      <w:szCs w:val="24"/>
    </w:rPr>
  </w:style>
  <w:style w:type="paragraph" w:styleId="Hakemisto1">
    <w:name w:val="index 1"/>
    <w:basedOn w:val="Normaali"/>
    <w:next w:val="Normaali"/>
    <w:autoRedefine/>
    <w:semiHidden/>
    <w:rsid w:val="0087128B"/>
    <w:pPr>
      <w:ind w:left="240" w:hanging="240"/>
    </w:pPr>
  </w:style>
  <w:style w:type="paragraph" w:styleId="Hakemisto3">
    <w:name w:val="index 3"/>
    <w:basedOn w:val="Normaali"/>
    <w:next w:val="Normaali"/>
    <w:autoRedefine/>
    <w:semiHidden/>
    <w:rsid w:val="0087128B"/>
    <w:pPr>
      <w:ind w:left="720" w:hanging="240"/>
    </w:pPr>
  </w:style>
  <w:style w:type="paragraph" w:styleId="Alaviitteenteksti">
    <w:name w:val="footnote text"/>
    <w:basedOn w:val="Normaali"/>
    <w:link w:val="AlaviitteentekstiChar"/>
    <w:uiPriority w:val="99"/>
    <w:semiHidden/>
    <w:rsid w:val="00261B3D"/>
    <w:rPr>
      <w:sz w:val="20"/>
    </w:rPr>
  </w:style>
  <w:style w:type="character" w:styleId="Alaviitteenviite">
    <w:name w:val="footnote reference"/>
    <w:uiPriority w:val="99"/>
    <w:semiHidden/>
    <w:rsid w:val="00261B3D"/>
    <w:rPr>
      <w:vertAlign w:val="superscript"/>
    </w:rPr>
  </w:style>
  <w:style w:type="paragraph" w:customStyle="1" w:styleId="LLPerustelujenkappalejako">
    <w:name w:val="LLPerustelujenkappalejako"/>
    <w:rsid w:val="002B0120"/>
    <w:pPr>
      <w:spacing w:after="220" w:line="220" w:lineRule="exact"/>
      <w:jc w:val="both"/>
    </w:pPr>
    <w:rPr>
      <w:sz w:val="22"/>
      <w:szCs w:val="24"/>
    </w:rPr>
  </w:style>
  <w:style w:type="paragraph" w:customStyle="1" w:styleId="LLLiiteOtsikko">
    <w:name w:val="LLLiiteOtsikko"/>
    <w:next w:val="LLNormaali"/>
    <w:rsid w:val="00CF561D"/>
    <w:pPr>
      <w:spacing w:before="220" w:after="220" w:line="220" w:lineRule="exact"/>
      <w:outlineLvl w:val="0"/>
    </w:pPr>
    <w:rPr>
      <w:sz w:val="22"/>
      <w:szCs w:val="24"/>
    </w:rPr>
  </w:style>
  <w:style w:type="paragraph" w:customStyle="1" w:styleId="LLTaulukonOtsikko">
    <w:name w:val="LLTaulukonOtsikko"/>
    <w:next w:val="LLNormaali"/>
    <w:rsid w:val="002B0120"/>
    <w:pPr>
      <w:spacing w:after="220" w:line="220" w:lineRule="exact"/>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LLNormaali"/>
    <w:rsid w:val="00185F2E"/>
    <w:pPr>
      <w:jc w:val="center"/>
    </w:pPr>
    <w:rPr>
      <w:b/>
      <w:sz w:val="21"/>
      <w:szCs w:val="24"/>
    </w:rPr>
  </w:style>
  <w:style w:type="paragraph" w:customStyle="1" w:styleId="LLNimenselvennys">
    <w:name w:val="LLNimenselvennys"/>
    <w:next w:val="LLNormaali"/>
    <w:rsid w:val="00185F2E"/>
    <w:pPr>
      <w:spacing w:before="880" w:after="220" w:line="220" w:lineRule="exact"/>
      <w:jc w:val="center"/>
    </w:pPr>
    <w:rPr>
      <w:b/>
      <w:sz w:val="21"/>
      <w:szCs w:val="24"/>
    </w:rPr>
  </w:style>
  <w:style w:type="paragraph" w:customStyle="1" w:styleId="LLVarmennus">
    <w:name w:val="LLVarmennus"/>
    <w:next w:val="LLNormaali"/>
    <w:rsid w:val="00185F2E"/>
    <w:pPr>
      <w:spacing w:before="220" w:line="220" w:lineRule="exact"/>
      <w:jc w:val="right"/>
    </w:pPr>
    <w:rPr>
      <w:sz w:val="22"/>
      <w:szCs w:val="24"/>
    </w:rPr>
  </w:style>
  <w:style w:type="paragraph" w:styleId="Sisluet3">
    <w:name w:val="toc 3"/>
    <w:basedOn w:val="Normaali"/>
    <w:next w:val="Normaali"/>
    <w:autoRedefine/>
    <w:uiPriority w:val="39"/>
    <w:rsid w:val="00FF2B63"/>
    <w:pPr>
      <w:tabs>
        <w:tab w:val="right" w:leader="dot" w:pos="8336"/>
      </w:tabs>
      <w:ind w:left="480"/>
    </w:pPr>
    <w:rPr>
      <w:sz w:val="22"/>
    </w:rPr>
  </w:style>
  <w:style w:type="paragraph" w:customStyle="1" w:styleId="LL3Otsikkotaso">
    <w:name w:val="LL3Otsikkotaso"/>
    <w:next w:val="LLNormaali"/>
    <w:rsid w:val="00F607FB"/>
    <w:pPr>
      <w:spacing w:before="220" w:after="220" w:line="220" w:lineRule="exact"/>
      <w:outlineLvl w:val="2"/>
    </w:pPr>
    <w:rPr>
      <w:sz w:val="22"/>
      <w:szCs w:val="24"/>
    </w:rPr>
  </w:style>
  <w:style w:type="paragraph" w:customStyle="1" w:styleId="LLUusiLaki">
    <w:name w:val="LLUusiLaki"/>
    <w:basedOn w:val="LLLaki"/>
    <w:next w:val="LLNormaali"/>
    <w:rsid w:val="002D0561"/>
  </w:style>
  <w:style w:type="paragraph" w:customStyle="1" w:styleId="LLUusiSaadoksenNimi">
    <w:name w:val="LLUusiSaadoksenNimi"/>
    <w:basedOn w:val="LLSaadoksenNimi"/>
    <w:next w:val="LLNormaali"/>
    <w:rsid w:val="002D0561"/>
  </w:style>
  <w:style w:type="paragraph" w:customStyle="1" w:styleId="LLUusiLakiYhdyssanaOtsikko">
    <w:name w:val="LLUusiLakiYhdyssanaOtsikko"/>
    <w:basedOn w:val="LLLakiYhdyssanaOtsikko"/>
    <w:next w:val="LLNormaali"/>
    <w:rsid w:val="002D0561"/>
  </w:style>
  <w:style w:type="paragraph" w:customStyle="1" w:styleId="VMNormaaliSisentmtn">
    <w:name w:val="VM_Normaali_Sisentämätön"/>
    <w:qFormat/>
    <w:rsid w:val="00A23A06"/>
    <w:rPr>
      <w:sz w:val="24"/>
    </w:rPr>
  </w:style>
  <w:style w:type="character" w:customStyle="1" w:styleId="KommentintekstiChar">
    <w:name w:val="Kommentin teksti Char"/>
    <w:basedOn w:val="Kappaleenoletusfontti"/>
    <w:link w:val="Kommentinteksti"/>
    <w:rsid w:val="00A23A06"/>
  </w:style>
  <w:style w:type="character" w:customStyle="1" w:styleId="LLKursivointi">
    <w:name w:val="LLKursivointi"/>
    <w:rsid w:val="00D164C1"/>
    <w:rPr>
      <w:rFonts w:ascii="Times New Roman" w:hAnsi="Times New Roman"/>
      <w:i/>
      <w:sz w:val="22"/>
      <w:lang w:val="fi-FI"/>
    </w:rPr>
  </w:style>
  <w:style w:type="character" w:customStyle="1" w:styleId="LLNormaaliKirjasin">
    <w:name w:val="LLNormaaliKirjasin"/>
    <w:rsid w:val="00D164C1"/>
    <w:rPr>
      <w:rFonts w:ascii="Times New Roman" w:hAnsi="Times New Roman"/>
      <w:sz w:val="22"/>
      <w:lang w:val="fi-FI"/>
    </w:rPr>
  </w:style>
  <w:style w:type="paragraph" w:styleId="NormaaliWWW">
    <w:name w:val="Normal (Web)"/>
    <w:basedOn w:val="Normaali"/>
    <w:uiPriority w:val="99"/>
    <w:unhideWhenUsed/>
    <w:rsid w:val="00B72BB2"/>
    <w:pPr>
      <w:spacing w:before="100" w:beforeAutospacing="1" w:after="100" w:afterAutospacing="1"/>
    </w:pPr>
    <w:rPr>
      <w:szCs w:val="24"/>
      <w:lang w:eastAsia="fi-FI"/>
    </w:rPr>
  </w:style>
  <w:style w:type="character" w:customStyle="1" w:styleId="AlaviitteentekstiChar">
    <w:name w:val="Alaviitteen teksti Char"/>
    <w:basedOn w:val="Kappaleenoletusfontti"/>
    <w:link w:val="Alaviitteenteksti"/>
    <w:uiPriority w:val="99"/>
    <w:semiHidden/>
    <w:rsid w:val="00D863E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2666">
      <w:bodyDiv w:val="1"/>
      <w:marLeft w:val="0"/>
      <w:marRight w:val="0"/>
      <w:marTop w:val="0"/>
      <w:marBottom w:val="0"/>
      <w:divBdr>
        <w:top w:val="none" w:sz="0" w:space="0" w:color="auto"/>
        <w:left w:val="none" w:sz="0" w:space="0" w:color="auto"/>
        <w:bottom w:val="none" w:sz="0" w:space="0" w:color="auto"/>
        <w:right w:val="none" w:sz="0" w:space="0" w:color="auto"/>
      </w:divBdr>
    </w:div>
    <w:div w:id="105539545">
      <w:bodyDiv w:val="1"/>
      <w:marLeft w:val="0"/>
      <w:marRight w:val="0"/>
      <w:marTop w:val="0"/>
      <w:marBottom w:val="0"/>
      <w:divBdr>
        <w:top w:val="none" w:sz="0" w:space="0" w:color="auto"/>
        <w:left w:val="none" w:sz="0" w:space="0" w:color="auto"/>
        <w:bottom w:val="none" w:sz="0" w:space="0" w:color="auto"/>
        <w:right w:val="none" w:sz="0" w:space="0" w:color="auto"/>
      </w:divBdr>
    </w:div>
    <w:div w:id="199708274">
      <w:bodyDiv w:val="1"/>
      <w:marLeft w:val="0"/>
      <w:marRight w:val="0"/>
      <w:marTop w:val="0"/>
      <w:marBottom w:val="0"/>
      <w:divBdr>
        <w:top w:val="none" w:sz="0" w:space="0" w:color="auto"/>
        <w:left w:val="none" w:sz="0" w:space="0" w:color="auto"/>
        <w:bottom w:val="none" w:sz="0" w:space="0" w:color="auto"/>
        <w:right w:val="none" w:sz="0" w:space="0" w:color="auto"/>
      </w:divBdr>
      <w:divsChild>
        <w:div w:id="13926107">
          <w:marLeft w:val="0"/>
          <w:marRight w:val="0"/>
          <w:marTop w:val="0"/>
          <w:marBottom w:val="300"/>
          <w:divBdr>
            <w:top w:val="none" w:sz="0" w:space="0" w:color="auto"/>
            <w:left w:val="none" w:sz="0" w:space="0" w:color="auto"/>
            <w:bottom w:val="none" w:sz="0" w:space="0" w:color="auto"/>
            <w:right w:val="none" w:sz="0" w:space="0" w:color="auto"/>
          </w:divBdr>
        </w:div>
        <w:div w:id="77362377">
          <w:marLeft w:val="0"/>
          <w:marRight w:val="0"/>
          <w:marTop w:val="0"/>
          <w:marBottom w:val="300"/>
          <w:divBdr>
            <w:top w:val="none" w:sz="0" w:space="0" w:color="auto"/>
            <w:left w:val="none" w:sz="0" w:space="0" w:color="auto"/>
            <w:bottom w:val="none" w:sz="0" w:space="0" w:color="auto"/>
            <w:right w:val="none" w:sz="0" w:space="0" w:color="auto"/>
          </w:divBdr>
        </w:div>
        <w:div w:id="174929372">
          <w:marLeft w:val="0"/>
          <w:marRight w:val="0"/>
          <w:marTop w:val="0"/>
          <w:marBottom w:val="300"/>
          <w:divBdr>
            <w:top w:val="none" w:sz="0" w:space="0" w:color="auto"/>
            <w:left w:val="none" w:sz="0" w:space="0" w:color="auto"/>
            <w:bottom w:val="none" w:sz="0" w:space="0" w:color="auto"/>
            <w:right w:val="none" w:sz="0" w:space="0" w:color="auto"/>
          </w:divBdr>
        </w:div>
        <w:div w:id="524245869">
          <w:marLeft w:val="0"/>
          <w:marRight w:val="0"/>
          <w:marTop w:val="0"/>
          <w:marBottom w:val="300"/>
          <w:divBdr>
            <w:top w:val="none" w:sz="0" w:space="0" w:color="auto"/>
            <w:left w:val="none" w:sz="0" w:space="0" w:color="auto"/>
            <w:bottom w:val="none" w:sz="0" w:space="0" w:color="auto"/>
            <w:right w:val="none" w:sz="0" w:space="0" w:color="auto"/>
          </w:divBdr>
        </w:div>
        <w:div w:id="1385180668">
          <w:marLeft w:val="0"/>
          <w:marRight w:val="0"/>
          <w:marTop w:val="0"/>
          <w:marBottom w:val="300"/>
          <w:divBdr>
            <w:top w:val="none" w:sz="0" w:space="0" w:color="auto"/>
            <w:left w:val="none" w:sz="0" w:space="0" w:color="auto"/>
            <w:bottom w:val="none" w:sz="0" w:space="0" w:color="auto"/>
            <w:right w:val="none" w:sz="0" w:space="0" w:color="auto"/>
          </w:divBdr>
        </w:div>
        <w:div w:id="1397389681">
          <w:marLeft w:val="0"/>
          <w:marRight w:val="0"/>
          <w:marTop w:val="0"/>
          <w:marBottom w:val="300"/>
          <w:divBdr>
            <w:top w:val="none" w:sz="0" w:space="0" w:color="auto"/>
            <w:left w:val="none" w:sz="0" w:space="0" w:color="auto"/>
            <w:bottom w:val="none" w:sz="0" w:space="0" w:color="auto"/>
            <w:right w:val="none" w:sz="0" w:space="0" w:color="auto"/>
          </w:divBdr>
        </w:div>
        <w:div w:id="1495994855">
          <w:marLeft w:val="0"/>
          <w:marRight w:val="0"/>
          <w:marTop w:val="0"/>
          <w:marBottom w:val="300"/>
          <w:divBdr>
            <w:top w:val="none" w:sz="0" w:space="0" w:color="auto"/>
            <w:left w:val="none" w:sz="0" w:space="0" w:color="auto"/>
            <w:bottom w:val="none" w:sz="0" w:space="0" w:color="auto"/>
            <w:right w:val="none" w:sz="0" w:space="0" w:color="auto"/>
          </w:divBdr>
        </w:div>
        <w:div w:id="2129885960">
          <w:marLeft w:val="0"/>
          <w:marRight w:val="0"/>
          <w:marTop w:val="0"/>
          <w:marBottom w:val="300"/>
          <w:divBdr>
            <w:top w:val="none" w:sz="0" w:space="0" w:color="auto"/>
            <w:left w:val="none" w:sz="0" w:space="0" w:color="auto"/>
            <w:bottom w:val="none" w:sz="0" w:space="0" w:color="auto"/>
            <w:right w:val="none" w:sz="0" w:space="0" w:color="auto"/>
          </w:divBdr>
        </w:div>
      </w:divsChild>
    </w:div>
    <w:div w:id="207029844">
      <w:bodyDiv w:val="1"/>
      <w:marLeft w:val="0"/>
      <w:marRight w:val="0"/>
      <w:marTop w:val="0"/>
      <w:marBottom w:val="0"/>
      <w:divBdr>
        <w:top w:val="none" w:sz="0" w:space="0" w:color="auto"/>
        <w:left w:val="none" w:sz="0" w:space="0" w:color="auto"/>
        <w:bottom w:val="none" w:sz="0" w:space="0" w:color="auto"/>
        <w:right w:val="none" w:sz="0" w:space="0" w:color="auto"/>
      </w:divBdr>
      <w:divsChild>
        <w:div w:id="2018265222">
          <w:marLeft w:val="0"/>
          <w:marRight w:val="0"/>
          <w:marTop w:val="0"/>
          <w:marBottom w:val="0"/>
          <w:divBdr>
            <w:top w:val="none" w:sz="0" w:space="0" w:color="auto"/>
            <w:left w:val="none" w:sz="0" w:space="0" w:color="auto"/>
            <w:bottom w:val="none" w:sz="0" w:space="0" w:color="auto"/>
            <w:right w:val="none" w:sz="0" w:space="0" w:color="auto"/>
          </w:divBdr>
          <w:divsChild>
            <w:div w:id="735081839">
              <w:marLeft w:val="0"/>
              <w:marRight w:val="0"/>
              <w:marTop w:val="0"/>
              <w:marBottom w:val="300"/>
              <w:divBdr>
                <w:top w:val="none" w:sz="0" w:space="0" w:color="auto"/>
                <w:left w:val="none" w:sz="0" w:space="0" w:color="auto"/>
                <w:bottom w:val="none" w:sz="0" w:space="0" w:color="auto"/>
                <w:right w:val="none" w:sz="0" w:space="0" w:color="auto"/>
              </w:divBdr>
            </w:div>
            <w:div w:id="928463110">
              <w:marLeft w:val="0"/>
              <w:marRight w:val="0"/>
              <w:marTop w:val="0"/>
              <w:marBottom w:val="300"/>
              <w:divBdr>
                <w:top w:val="none" w:sz="0" w:space="0" w:color="auto"/>
                <w:left w:val="none" w:sz="0" w:space="0" w:color="auto"/>
                <w:bottom w:val="none" w:sz="0" w:space="0" w:color="auto"/>
                <w:right w:val="none" w:sz="0" w:space="0" w:color="auto"/>
              </w:divBdr>
            </w:div>
            <w:div w:id="1000232060">
              <w:marLeft w:val="0"/>
              <w:marRight w:val="0"/>
              <w:marTop w:val="0"/>
              <w:marBottom w:val="300"/>
              <w:divBdr>
                <w:top w:val="none" w:sz="0" w:space="0" w:color="auto"/>
                <w:left w:val="none" w:sz="0" w:space="0" w:color="auto"/>
                <w:bottom w:val="none" w:sz="0" w:space="0" w:color="auto"/>
                <w:right w:val="none" w:sz="0" w:space="0" w:color="auto"/>
              </w:divBdr>
            </w:div>
            <w:div w:id="1118640739">
              <w:marLeft w:val="0"/>
              <w:marRight w:val="0"/>
              <w:marTop w:val="0"/>
              <w:marBottom w:val="300"/>
              <w:divBdr>
                <w:top w:val="none" w:sz="0" w:space="0" w:color="auto"/>
                <w:left w:val="none" w:sz="0" w:space="0" w:color="auto"/>
                <w:bottom w:val="none" w:sz="0" w:space="0" w:color="auto"/>
                <w:right w:val="none" w:sz="0" w:space="0" w:color="auto"/>
              </w:divBdr>
            </w:div>
            <w:div w:id="12208709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07248621">
      <w:bodyDiv w:val="1"/>
      <w:marLeft w:val="0"/>
      <w:marRight w:val="0"/>
      <w:marTop w:val="0"/>
      <w:marBottom w:val="0"/>
      <w:divBdr>
        <w:top w:val="none" w:sz="0" w:space="0" w:color="auto"/>
        <w:left w:val="none" w:sz="0" w:space="0" w:color="auto"/>
        <w:bottom w:val="none" w:sz="0" w:space="0" w:color="auto"/>
        <w:right w:val="none" w:sz="0" w:space="0" w:color="auto"/>
      </w:divBdr>
      <w:divsChild>
        <w:div w:id="515777204">
          <w:marLeft w:val="0"/>
          <w:marRight w:val="0"/>
          <w:marTop w:val="0"/>
          <w:marBottom w:val="300"/>
          <w:divBdr>
            <w:top w:val="none" w:sz="0" w:space="0" w:color="auto"/>
            <w:left w:val="none" w:sz="0" w:space="0" w:color="auto"/>
            <w:bottom w:val="none" w:sz="0" w:space="0" w:color="auto"/>
            <w:right w:val="none" w:sz="0" w:space="0" w:color="auto"/>
          </w:divBdr>
        </w:div>
        <w:div w:id="562105780">
          <w:marLeft w:val="0"/>
          <w:marRight w:val="0"/>
          <w:marTop w:val="0"/>
          <w:marBottom w:val="300"/>
          <w:divBdr>
            <w:top w:val="none" w:sz="0" w:space="0" w:color="auto"/>
            <w:left w:val="none" w:sz="0" w:space="0" w:color="auto"/>
            <w:bottom w:val="none" w:sz="0" w:space="0" w:color="auto"/>
            <w:right w:val="none" w:sz="0" w:space="0" w:color="auto"/>
          </w:divBdr>
        </w:div>
        <w:div w:id="1059552466">
          <w:marLeft w:val="0"/>
          <w:marRight w:val="0"/>
          <w:marTop w:val="0"/>
          <w:marBottom w:val="300"/>
          <w:divBdr>
            <w:top w:val="none" w:sz="0" w:space="0" w:color="auto"/>
            <w:left w:val="none" w:sz="0" w:space="0" w:color="auto"/>
            <w:bottom w:val="none" w:sz="0" w:space="0" w:color="auto"/>
            <w:right w:val="none" w:sz="0" w:space="0" w:color="auto"/>
          </w:divBdr>
        </w:div>
        <w:div w:id="1097486395">
          <w:marLeft w:val="0"/>
          <w:marRight w:val="0"/>
          <w:marTop w:val="0"/>
          <w:marBottom w:val="300"/>
          <w:divBdr>
            <w:top w:val="none" w:sz="0" w:space="0" w:color="auto"/>
            <w:left w:val="none" w:sz="0" w:space="0" w:color="auto"/>
            <w:bottom w:val="none" w:sz="0" w:space="0" w:color="auto"/>
            <w:right w:val="none" w:sz="0" w:space="0" w:color="auto"/>
          </w:divBdr>
        </w:div>
        <w:div w:id="1977028781">
          <w:marLeft w:val="0"/>
          <w:marRight w:val="0"/>
          <w:marTop w:val="0"/>
          <w:marBottom w:val="300"/>
          <w:divBdr>
            <w:top w:val="none" w:sz="0" w:space="0" w:color="auto"/>
            <w:left w:val="none" w:sz="0" w:space="0" w:color="auto"/>
            <w:bottom w:val="none" w:sz="0" w:space="0" w:color="auto"/>
            <w:right w:val="none" w:sz="0" w:space="0" w:color="auto"/>
          </w:divBdr>
        </w:div>
      </w:divsChild>
    </w:div>
    <w:div w:id="342976208">
      <w:bodyDiv w:val="1"/>
      <w:marLeft w:val="0"/>
      <w:marRight w:val="0"/>
      <w:marTop w:val="0"/>
      <w:marBottom w:val="0"/>
      <w:divBdr>
        <w:top w:val="none" w:sz="0" w:space="0" w:color="auto"/>
        <w:left w:val="none" w:sz="0" w:space="0" w:color="auto"/>
        <w:bottom w:val="none" w:sz="0" w:space="0" w:color="auto"/>
        <w:right w:val="none" w:sz="0" w:space="0" w:color="auto"/>
      </w:divBdr>
      <w:divsChild>
        <w:div w:id="93480708">
          <w:marLeft w:val="0"/>
          <w:marRight w:val="0"/>
          <w:marTop w:val="0"/>
          <w:marBottom w:val="300"/>
          <w:divBdr>
            <w:top w:val="none" w:sz="0" w:space="0" w:color="auto"/>
            <w:left w:val="none" w:sz="0" w:space="0" w:color="auto"/>
            <w:bottom w:val="none" w:sz="0" w:space="0" w:color="auto"/>
            <w:right w:val="none" w:sz="0" w:space="0" w:color="auto"/>
          </w:divBdr>
        </w:div>
        <w:div w:id="123736572">
          <w:marLeft w:val="0"/>
          <w:marRight w:val="0"/>
          <w:marTop w:val="0"/>
          <w:marBottom w:val="300"/>
          <w:divBdr>
            <w:top w:val="none" w:sz="0" w:space="0" w:color="auto"/>
            <w:left w:val="none" w:sz="0" w:space="0" w:color="auto"/>
            <w:bottom w:val="none" w:sz="0" w:space="0" w:color="auto"/>
            <w:right w:val="none" w:sz="0" w:space="0" w:color="auto"/>
          </w:divBdr>
        </w:div>
        <w:div w:id="201671784">
          <w:marLeft w:val="0"/>
          <w:marRight w:val="0"/>
          <w:marTop w:val="0"/>
          <w:marBottom w:val="300"/>
          <w:divBdr>
            <w:top w:val="none" w:sz="0" w:space="0" w:color="auto"/>
            <w:left w:val="none" w:sz="0" w:space="0" w:color="auto"/>
            <w:bottom w:val="none" w:sz="0" w:space="0" w:color="auto"/>
            <w:right w:val="none" w:sz="0" w:space="0" w:color="auto"/>
          </w:divBdr>
        </w:div>
        <w:div w:id="629675312">
          <w:marLeft w:val="0"/>
          <w:marRight w:val="0"/>
          <w:marTop w:val="0"/>
          <w:marBottom w:val="300"/>
          <w:divBdr>
            <w:top w:val="none" w:sz="0" w:space="0" w:color="auto"/>
            <w:left w:val="none" w:sz="0" w:space="0" w:color="auto"/>
            <w:bottom w:val="none" w:sz="0" w:space="0" w:color="auto"/>
            <w:right w:val="none" w:sz="0" w:space="0" w:color="auto"/>
          </w:divBdr>
        </w:div>
        <w:div w:id="1088498853">
          <w:marLeft w:val="0"/>
          <w:marRight w:val="0"/>
          <w:marTop w:val="0"/>
          <w:marBottom w:val="300"/>
          <w:divBdr>
            <w:top w:val="none" w:sz="0" w:space="0" w:color="auto"/>
            <w:left w:val="none" w:sz="0" w:space="0" w:color="auto"/>
            <w:bottom w:val="none" w:sz="0" w:space="0" w:color="auto"/>
            <w:right w:val="none" w:sz="0" w:space="0" w:color="auto"/>
          </w:divBdr>
        </w:div>
        <w:div w:id="1110662709">
          <w:marLeft w:val="0"/>
          <w:marRight w:val="0"/>
          <w:marTop w:val="0"/>
          <w:marBottom w:val="300"/>
          <w:divBdr>
            <w:top w:val="none" w:sz="0" w:space="0" w:color="auto"/>
            <w:left w:val="none" w:sz="0" w:space="0" w:color="auto"/>
            <w:bottom w:val="none" w:sz="0" w:space="0" w:color="auto"/>
            <w:right w:val="none" w:sz="0" w:space="0" w:color="auto"/>
          </w:divBdr>
        </w:div>
        <w:div w:id="1268121690">
          <w:marLeft w:val="0"/>
          <w:marRight w:val="0"/>
          <w:marTop w:val="0"/>
          <w:marBottom w:val="300"/>
          <w:divBdr>
            <w:top w:val="none" w:sz="0" w:space="0" w:color="auto"/>
            <w:left w:val="none" w:sz="0" w:space="0" w:color="auto"/>
            <w:bottom w:val="none" w:sz="0" w:space="0" w:color="auto"/>
            <w:right w:val="none" w:sz="0" w:space="0" w:color="auto"/>
          </w:divBdr>
        </w:div>
        <w:div w:id="1526821855">
          <w:marLeft w:val="0"/>
          <w:marRight w:val="0"/>
          <w:marTop w:val="0"/>
          <w:marBottom w:val="300"/>
          <w:divBdr>
            <w:top w:val="none" w:sz="0" w:space="0" w:color="auto"/>
            <w:left w:val="none" w:sz="0" w:space="0" w:color="auto"/>
            <w:bottom w:val="none" w:sz="0" w:space="0" w:color="auto"/>
            <w:right w:val="none" w:sz="0" w:space="0" w:color="auto"/>
          </w:divBdr>
        </w:div>
        <w:div w:id="1641350248">
          <w:marLeft w:val="0"/>
          <w:marRight w:val="0"/>
          <w:marTop w:val="0"/>
          <w:marBottom w:val="300"/>
          <w:divBdr>
            <w:top w:val="none" w:sz="0" w:space="0" w:color="auto"/>
            <w:left w:val="none" w:sz="0" w:space="0" w:color="auto"/>
            <w:bottom w:val="none" w:sz="0" w:space="0" w:color="auto"/>
            <w:right w:val="none" w:sz="0" w:space="0" w:color="auto"/>
          </w:divBdr>
        </w:div>
        <w:div w:id="1749694516">
          <w:marLeft w:val="0"/>
          <w:marRight w:val="0"/>
          <w:marTop w:val="0"/>
          <w:marBottom w:val="300"/>
          <w:divBdr>
            <w:top w:val="none" w:sz="0" w:space="0" w:color="auto"/>
            <w:left w:val="none" w:sz="0" w:space="0" w:color="auto"/>
            <w:bottom w:val="none" w:sz="0" w:space="0" w:color="auto"/>
            <w:right w:val="none" w:sz="0" w:space="0" w:color="auto"/>
          </w:divBdr>
        </w:div>
        <w:div w:id="1895391599">
          <w:marLeft w:val="0"/>
          <w:marRight w:val="0"/>
          <w:marTop w:val="0"/>
          <w:marBottom w:val="300"/>
          <w:divBdr>
            <w:top w:val="none" w:sz="0" w:space="0" w:color="auto"/>
            <w:left w:val="none" w:sz="0" w:space="0" w:color="auto"/>
            <w:bottom w:val="none" w:sz="0" w:space="0" w:color="auto"/>
            <w:right w:val="none" w:sz="0" w:space="0" w:color="auto"/>
          </w:divBdr>
        </w:div>
      </w:divsChild>
    </w:div>
    <w:div w:id="453714735">
      <w:bodyDiv w:val="1"/>
      <w:marLeft w:val="0"/>
      <w:marRight w:val="0"/>
      <w:marTop w:val="0"/>
      <w:marBottom w:val="0"/>
      <w:divBdr>
        <w:top w:val="none" w:sz="0" w:space="0" w:color="auto"/>
        <w:left w:val="none" w:sz="0" w:space="0" w:color="auto"/>
        <w:bottom w:val="none" w:sz="0" w:space="0" w:color="auto"/>
        <w:right w:val="none" w:sz="0" w:space="0" w:color="auto"/>
      </w:divBdr>
      <w:divsChild>
        <w:div w:id="307831084">
          <w:marLeft w:val="0"/>
          <w:marRight w:val="0"/>
          <w:marTop w:val="0"/>
          <w:marBottom w:val="300"/>
          <w:divBdr>
            <w:top w:val="none" w:sz="0" w:space="0" w:color="auto"/>
            <w:left w:val="none" w:sz="0" w:space="0" w:color="auto"/>
            <w:bottom w:val="none" w:sz="0" w:space="0" w:color="auto"/>
            <w:right w:val="none" w:sz="0" w:space="0" w:color="auto"/>
          </w:divBdr>
        </w:div>
        <w:div w:id="638220382">
          <w:marLeft w:val="0"/>
          <w:marRight w:val="0"/>
          <w:marTop w:val="0"/>
          <w:marBottom w:val="300"/>
          <w:divBdr>
            <w:top w:val="none" w:sz="0" w:space="0" w:color="auto"/>
            <w:left w:val="none" w:sz="0" w:space="0" w:color="auto"/>
            <w:bottom w:val="none" w:sz="0" w:space="0" w:color="auto"/>
            <w:right w:val="none" w:sz="0" w:space="0" w:color="auto"/>
          </w:divBdr>
        </w:div>
        <w:div w:id="1020736503">
          <w:marLeft w:val="0"/>
          <w:marRight w:val="0"/>
          <w:marTop w:val="0"/>
          <w:marBottom w:val="300"/>
          <w:divBdr>
            <w:top w:val="none" w:sz="0" w:space="0" w:color="auto"/>
            <w:left w:val="none" w:sz="0" w:space="0" w:color="auto"/>
            <w:bottom w:val="none" w:sz="0" w:space="0" w:color="auto"/>
            <w:right w:val="none" w:sz="0" w:space="0" w:color="auto"/>
          </w:divBdr>
        </w:div>
        <w:div w:id="1510212499">
          <w:marLeft w:val="0"/>
          <w:marRight w:val="0"/>
          <w:marTop w:val="0"/>
          <w:marBottom w:val="300"/>
          <w:divBdr>
            <w:top w:val="none" w:sz="0" w:space="0" w:color="auto"/>
            <w:left w:val="none" w:sz="0" w:space="0" w:color="auto"/>
            <w:bottom w:val="none" w:sz="0" w:space="0" w:color="auto"/>
            <w:right w:val="none" w:sz="0" w:space="0" w:color="auto"/>
          </w:divBdr>
        </w:div>
        <w:div w:id="1536428363">
          <w:marLeft w:val="0"/>
          <w:marRight w:val="0"/>
          <w:marTop w:val="0"/>
          <w:marBottom w:val="300"/>
          <w:divBdr>
            <w:top w:val="none" w:sz="0" w:space="0" w:color="auto"/>
            <w:left w:val="none" w:sz="0" w:space="0" w:color="auto"/>
            <w:bottom w:val="none" w:sz="0" w:space="0" w:color="auto"/>
            <w:right w:val="none" w:sz="0" w:space="0" w:color="auto"/>
          </w:divBdr>
        </w:div>
        <w:div w:id="1561094804">
          <w:marLeft w:val="0"/>
          <w:marRight w:val="0"/>
          <w:marTop w:val="0"/>
          <w:marBottom w:val="300"/>
          <w:divBdr>
            <w:top w:val="none" w:sz="0" w:space="0" w:color="auto"/>
            <w:left w:val="none" w:sz="0" w:space="0" w:color="auto"/>
            <w:bottom w:val="none" w:sz="0" w:space="0" w:color="auto"/>
            <w:right w:val="none" w:sz="0" w:space="0" w:color="auto"/>
          </w:divBdr>
        </w:div>
        <w:div w:id="1777551981">
          <w:marLeft w:val="0"/>
          <w:marRight w:val="0"/>
          <w:marTop w:val="0"/>
          <w:marBottom w:val="300"/>
          <w:divBdr>
            <w:top w:val="none" w:sz="0" w:space="0" w:color="auto"/>
            <w:left w:val="none" w:sz="0" w:space="0" w:color="auto"/>
            <w:bottom w:val="none" w:sz="0" w:space="0" w:color="auto"/>
            <w:right w:val="none" w:sz="0" w:space="0" w:color="auto"/>
          </w:divBdr>
        </w:div>
        <w:div w:id="2046370678">
          <w:marLeft w:val="0"/>
          <w:marRight w:val="0"/>
          <w:marTop w:val="0"/>
          <w:marBottom w:val="300"/>
          <w:divBdr>
            <w:top w:val="none" w:sz="0" w:space="0" w:color="auto"/>
            <w:left w:val="none" w:sz="0" w:space="0" w:color="auto"/>
            <w:bottom w:val="none" w:sz="0" w:space="0" w:color="auto"/>
            <w:right w:val="none" w:sz="0" w:space="0" w:color="auto"/>
          </w:divBdr>
        </w:div>
      </w:divsChild>
    </w:div>
    <w:div w:id="505094396">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621614018">
      <w:bodyDiv w:val="1"/>
      <w:marLeft w:val="0"/>
      <w:marRight w:val="0"/>
      <w:marTop w:val="0"/>
      <w:marBottom w:val="0"/>
      <w:divBdr>
        <w:top w:val="none" w:sz="0" w:space="0" w:color="auto"/>
        <w:left w:val="none" w:sz="0" w:space="0" w:color="auto"/>
        <w:bottom w:val="none" w:sz="0" w:space="0" w:color="auto"/>
        <w:right w:val="none" w:sz="0" w:space="0" w:color="auto"/>
      </w:divBdr>
    </w:div>
    <w:div w:id="636030857">
      <w:bodyDiv w:val="1"/>
      <w:marLeft w:val="0"/>
      <w:marRight w:val="0"/>
      <w:marTop w:val="0"/>
      <w:marBottom w:val="0"/>
      <w:divBdr>
        <w:top w:val="none" w:sz="0" w:space="0" w:color="auto"/>
        <w:left w:val="none" w:sz="0" w:space="0" w:color="auto"/>
        <w:bottom w:val="none" w:sz="0" w:space="0" w:color="auto"/>
        <w:right w:val="none" w:sz="0" w:space="0" w:color="auto"/>
      </w:divBdr>
    </w:div>
    <w:div w:id="904923043">
      <w:bodyDiv w:val="1"/>
      <w:marLeft w:val="0"/>
      <w:marRight w:val="0"/>
      <w:marTop w:val="0"/>
      <w:marBottom w:val="0"/>
      <w:divBdr>
        <w:top w:val="none" w:sz="0" w:space="0" w:color="auto"/>
        <w:left w:val="none" w:sz="0" w:space="0" w:color="auto"/>
        <w:bottom w:val="none" w:sz="0" w:space="0" w:color="auto"/>
        <w:right w:val="none" w:sz="0" w:space="0" w:color="auto"/>
      </w:divBdr>
    </w:div>
    <w:div w:id="996761669">
      <w:bodyDiv w:val="1"/>
      <w:marLeft w:val="0"/>
      <w:marRight w:val="0"/>
      <w:marTop w:val="0"/>
      <w:marBottom w:val="0"/>
      <w:divBdr>
        <w:top w:val="none" w:sz="0" w:space="0" w:color="auto"/>
        <w:left w:val="none" w:sz="0" w:space="0" w:color="auto"/>
        <w:bottom w:val="none" w:sz="0" w:space="0" w:color="auto"/>
        <w:right w:val="none" w:sz="0" w:space="0" w:color="auto"/>
      </w:divBdr>
    </w:div>
    <w:div w:id="1337418559">
      <w:bodyDiv w:val="1"/>
      <w:marLeft w:val="0"/>
      <w:marRight w:val="0"/>
      <w:marTop w:val="0"/>
      <w:marBottom w:val="0"/>
      <w:divBdr>
        <w:top w:val="none" w:sz="0" w:space="0" w:color="auto"/>
        <w:left w:val="none" w:sz="0" w:space="0" w:color="auto"/>
        <w:bottom w:val="none" w:sz="0" w:space="0" w:color="auto"/>
        <w:right w:val="none" w:sz="0" w:space="0" w:color="auto"/>
      </w:divBdr>
    </w:div>
    <w:div w:id="1399013012">
      <w:bodyDiv w:val="1"/>
      <w:marLeft w:val="0"/>
      <w:marRight w:val="0"/>
      <w:marTop w:val="0"/>
      <w:marBottom w:val="0"/>
      <w:divBdr>
        <w:top w:val="none" w:sz="0" w:space="0" w:color="auto"/>
        <w:left w:val="none" w:sz="0" w:space="0" w:color="auto"/>
        <w:bottom w:val="none" w:sz="0" w:space="0" w:color="auto"/>
        <w:right w:val="none" w:sz="0" w:space="0" w:color="auto"/>
      </w:divBdr>
    </w:div>
    <w:div w:id="1403798084">
      <w:bodyDiv w:val="1"/>
      <w:marLeft w:val="0"/>
      <w:marRight w:val="0"/>
      <w:marTop w:val="0"/>
      <w:marBottom w:val="0"/>
      <w:divBdr>
        <w:top w:val="none" w:sz="0" w:space="0" w:color="auto"/>
        <w:left w:val="none" w:sz="0" w:space="0" w:color="auto"/>
        <w:bottom w:val="none" w:sz="0" w:space="0" w:color="auto"/>
        <w:right w:val="none" w:sz="0" w:space="0" w:color="auto"/>
      </w:divBdr>
    </w:div>
    <w:div w:id="1464152665">
      <w:bodyDiv w:val="1"/>
      <w:marLeft w:val="0"/>
      <w:marRight w:val="0"/>
      <w:marTop w:val="0"/>
      <w:marBottom w:val="0"/>
      <w:divBdr>
        <w:top w:val="none" w:sz="0" w:space="0" w:color="auto"/>
        <w:left w:val="none" w:sz="0" w:space="0" w:color="auto"/>
        <w:bottom w:val="none" w:sz="0" w:space="0" w:color="auto"/>
        <w:right w:val="none" w:sz="0" w:space="0" w:color="auto"/>
      </w:divBdr>
    </w:div>
    <w:div w:id="1492719213">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650859871">
      <w:bodyDiv w:val="1"/>
      <w:marLeft w:val="0"/>
      <w:marRight w:val="0"/>
      <w:marTop w:val="0"/>
      <w:marBottom w:val="0"/>
      <w:divBdr>
        <w:top w:val="none" w:sz="0" w:space="0" w:color="auto"/>
        <w:left w:val="none" w:sz="0" w:space="0" w:color="auto"/>
        <w:bottom w:val="none" w:sz="0" w:space="0" w:color="auto"/>
        <w:right w:val="none" w:sz="0" w:space="0" w:color="auto"/>
      </w:divBdr>
    </w:div>
    <w:div w:id="1751734973">
      <w:bodyDiv w:val="1"/>
      <w:marLeft w:val="0"/>
      <w:marRight w:val="0"/>
      <w:marTop w:val="0"/>
      <w:marBottom w:val="0"/>
      <w:divBdr>
        <w:top w:val="none" w:sz="0" w:space="0" w:color="auto"/>
        <w:left w:val="none" w:sz="0" w:space="0" w:color="auto"/>
        <w:bottom w:val="none" w:sz="0" w:space="0" w:color="auto"/>
        <w:right w:val="none" w:sz="0" w:space="0" w:color="auto"/>
      </w:divBdr>
      <w:divsChild>
        <w:div w:id="1104306288">
          <w:marLeft w:val="0"/>
          <w:marRight w:val="0"/>
          <w:marTop w:val="0"/>
          <w:marBottom w:val="300"/>
          <w:divBdr>
            <w:top w:val="none" w:sz="0" w:space="0" w:color="auto"/>
            <w:left w:val="none" w:sz="0" w:space="0" w:color="auto"/>
            <w:bottom w:val="none" w:sz="0" w:space="0" w:color="auto"/>
            <w:right w:val="none" w:sz="0" w:space="0" w:color="auto"/>
          </w:divBdr>
        </w:div>
        <w:div w:id="1329752304">
          <w:marLeft w:val="0"/>
          <w:marRight w:val="0"/>
          <w:marTop w:val="0"/>
          <w:marBottom w:val="300"/>
          <w:divBdr>
            <w:top w:val="none" w:sz="0" w:space="0" w:color="auto"/>
            <w:left w:val="none" w:sz="0" w:space="0" w:color="auto"/>
            <w:bottom w:val="none" w:sz="0" w:space="0" w:color="auto"/>
            <w:right w:val="none" w:sz="0" w:space="0" w:color="auto"/>
          </w:divBdr>
        </w:div>
        <w:div w:id="1510024591">
          <w:marLeft w:val="0"/>
          <w:marRight w:val="0"/>
          <w:marTop w:val="0"/>
          <w:marBottom w:val="300"/>
          <w:divBdr>
            <w:top w:val="none" w:sz="0" w:space="0" w:color="auto"/>
            <w:left w:val="none" w:sz="0" w:space="0" w:color="auto"/>
            <w:bottom w:val="none" w:sz="0" w:space="0" w:color="auto"/>
            <w:right w:val="none" w:sz="0" w:space="0" w:color="auto"/>
          </w:divBdr>
        </w:div>
        <w:div w:id="1521966082">
          <w:marLeft w:val="0"/>
          <w:marRight w:val="0"/>
          <w:marTop w:val="0"/>
          <w:marBottom w:val="300"/>
          <w:divBdr>
            <w:top w:val="none" w:sz="0" w:space="0" w:color="auto"/>
            <w:left w:val="none" w:sz="0" w:space="0" w:color="auto"/>
            <w:bottom w:val="none" w:sz="0" w:space="0" w:color="auto"/>
            <w:right w:val="none" w:sz="0" w:space="0" w:color="auto"/>
          </w:divBdr>
        </w:div>
      </w:divsChild>
    </w:div>
    <w:div w:id="1945307697">
      <w:bodyDiv w:val="1"/>
      <w:marLeft w:val="0"/>
      <w:marRight w:val="0"/>
      <w:marTop w:val="0"/>
      <w:marBottom w:val="0"/>
      <w:divBdr>
        <w:top w:val="none" w:sz="0" w:space="0" w:color="auto"/>
        <w:left w:val="none" w:sz="0" w:space="0" w:color="auto"/>
        <w:bottom w:val="none" w:sz="0" w:space="0" w:color="auto"/>
        <w:right w:val="none" w:sz="0" w:space="0" w:color="auto"/>
      </w:divBdr>
    </w:div>
    <w:div w:id="1984889299">
      <w:bodyDiv w:val="1"/>
      <w:marLeft w:val="0"/>
      <w:marRight w:val="0"/>
      <w:marTop w:val="0"/>
      <w:marBottom w:val="0"/>
      <w:divBdr>
        <w:top w:val="none" w:sz="0" w:space="0" w:color="auto"/>
        <w:left w:val="none" w:sz="0" w:space="0" w:color="auto"/>
        <w:bottom w:val="none" w:sz="0" w:space="0" w:color="auto"/>
        <w:right w:val="none" w:sz="0" w:space="0" w:color="auto"/>
      </w:divBdr>
      <w:divsChild>
        <w:div w:id="329721895">
          <w:marLeft w:val="0"/>
          <w:marRight w:val="0"/>
          <w:marTop w:val="0"/>
          <w:marBottom w:val="300"/>
          <w:divBdr>
            <w:top w:val="none" w:sz="0" w:space="0" w:color="auto"/>
            <w:left w:val="none" w:sz="0" w:space="0" w:color="auto"/>
            <w:bottom w:val="none" w:sz="0" w:space="0" w:color="auto"/>
            <w:right w:val="none" w:sz="0" w:space="0" w:color="auto"/>
          </w:divBdr>
        </w:div>
        <w:div w:id="1817527984">
          <w:marLeft w:val="0"/>
          <w:marRight w:val="0"/>
          <w:marTop w:val="0"/>
          <w:marBottom w:val="300"/>
          <w:divBdr>
            <w:top w:val="none" w:sz="0" w:space="0" w:color="auto"/>
            <w:left w:val="none" w:sz="0" w:space="0" w:color="auto"/>
            <w:bottom w:val="none" w:sz="0" w:space="0" w:color="auto"/>
            <w:right w:val="none" w:sz="0" w:space="0" w:color="auto"/>
          </w:divBdr>
        </w:div>
      </w:divsChild>
    </w:div>
    <w:div w:id="212527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skunta.fi/FI/vaski/Kirjelma/Sivut/U_36+2018.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vm.fi/hanke?tunnus=VM099:00/2019"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7404\Desktop\S&#228;&#228;d&#246;spohjaSuomi.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EAD5BF-6723-4F71-857B-EC87190A0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SäädöspohjaSuomi.dot</Template>
  <TotalTime>197</TotalTime>
  <Pages>23</Pages>
  <Words>5508</Words>
  <Characters>44619</Characters>
  <Application>Microsoft Office Word</Application>
  <DocSecurity>0</DocSecurity>
  <Lines>371</Lines>
  <Paragraphs>100</Paragraphs>
  <ScaleCrop>false</ScaleCrop>
  <HeadingPairs>
    <vt:vector size="2" baseType="variant">
      <vt:variant>
        <vt:lpstr>Otsikko</vt:lpstr>
      </vt:variant>
      <vt:variant>
        <vt:i4>1</vt:i4>
      </vt:variant>
    </vt:vector>
  </HeadingPairs>
  <TitlesOfParts>
    <vt:vector size="1" baseType="lpstr">
      <vt:lpstr>1</vt:lpstr>
    </vt:vector>
  </TitlesOfParts>
  <Company>VM</Company>
  <LinksUpToDate>false</LinksUpToDate>
  <CharactersWithSpaces>50027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vmhellee</dc:creator>
  <cp:keywords/>
  <cp:lastModifiedBy>Juvonen Satu</cp:lastModifiedBy>
  <cp:revision>32</cp:revision>
  <cp:lastPrinted>2019-09-12T13:44:00Z</cp:lastPrinted>
  <dcterms:created xsi:type="dcterms:W3CDTF">2019-09-12T07:20:00Z</dcterms:created>
  <dcterms:modified xsi:type="dcterms:W3CDTF">2019-09-12T14:19:00Z</dcterms:modified>
</cp:coreProperties>
</file>